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201</w:t>
      </w:r>
      <w:r>
        <w:rPr>
          <w:rFonts w:ascii="宋体" w:hAnsi="宋体"/>
          <w:kern w:val="0"/>
          <w:sz w:val="36"/>
          <w:szCs w:val="36"/>
        </w:rPr>
        <w:t>6</w:t>
      </w:r>
      <w:r>
        <w:rPr>
          <w:rFonts w:hint="eastAsia"/>
          <w:kern w:val="0"/>
          <w:sz w:val="36"/>
          <w:szCs w:val="36"/>
        </w:rPr>
        <w:t>年学术交流工作先进单位申报表</w:t>
      </w:r>
    </w:p>
    <w:bookmarkEnd w:id="0"/>
    <w:tbl>
      <w:tblPr>
        <w:tblStyle w:val="3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00"/>
        <w:gridCol w:w="18"/>
        <w:gridCol w:w="882"/>
        <w:gridCol w:w="596"/>
        <w:gridCol w:w="484"/>
        <w:gridCol w:w="397"/>
        <w:gridCol w:w="199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年度学术交流活动次数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年度参会</w:t>
            </w:r>
          </w:p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代表总数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年度交流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论文总数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主要学术活动基本情况</w:t>
            </w: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会议规模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交流论文数量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8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8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提高学术交流活动质量的主要做法及活动取得的成效</w:t>
            </w:r>
          </w:p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5740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52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widowControl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（页码不够可另附页）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60EA1"/>
    <w:rsid w:val="6F360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2017-02-13T06:22:00Z</dcterms:created>
  <dc:creator>rds</dc:creator>
  <cp:lastModifiedBy>rds</cp:lastModifiedBy>
  <dcterms:modified xsi:type="dcterms:W3CDTF">2017-02-13T06:22:47Z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