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E8D37">
      <w:pPr>
        <w:spacing w:line="360" w:lineRule="auto"/>
        <w:rPr>
          <w:kern w:val="0"/>
          <w:sz w:val="28"/>
          <w:szCs w:val="28"/>
        </w:rPr>
      </w:pPr>
      <w:r>
        <w:rPr>
          <w:kern w:val="0"/>
          <w:sz w:val="28"/>
          <w:szCs w:val="28"/>
        </w:rPr>
        <w:t>附件二</w:t>
      </w:r>
    </w:p>
    <w:p w14:paraId="65A9EE05">
      <w:pPr>
        <w:adjustRightInd w:val="0"/>
        <w:snapToGrid w:val="0"/>
        <w:spacing w:line="360" w:lineRule="auto"/>
        <w:ind w:firstLine="643" w:firstLineChars="200"/>
        <w:jc w:val="center"/>
        <w:rPr>
          <w:rFonts w:eastAsia="仿宋_GB2312"/>
          <w:b/>
          <w:sz w:val="32"/>
          <w:szCs w:val="32"/>
        </w:rPr>
      </w:pPr>
    </w:p>
    <w:p w14:paraId="431D1AAC">
      <w:pPr>
        <w:adjustRightInd w:val="0"/>
        <w:snapToGrid w:val="0"/>
        <w:spacing w:line="360" w:lineRule="auto"/>
        <w:jc w:val="center"/>
        <w:rPr>
          <w:rFonts w:eastAsia="仿宋_GB2312"/>
          <w:b/>
          <w:sz w:val="32"/>
          <w:szCs w:val="32"/>
        </w:rPr>
      </w:pPr>
      <w:r>
        <w:rPr>
          <w:rFonts w:eastAsia="黑体"/>
          <w:b/>
          <w:kern w:val="0"/>
          <w:sz w:val="44"/>
          <w:szCs w:val="44"/>
        </w:rPr>
        <w:t>中国林学会团体标准</w:t>
      </w:r>
    </w:p>
    <w:p w14:paraId="4E94FEB1">
      <w:pPr>
        <w:adjustRightInd w:val="0"/>
        <w:snapToGrid w:val="0"/>
        <w:spacing w:line="360" w:lineRule="auto"/>
        <w:jc w:val="center"/>
        <w:rPr>
          <w:rFonts w:eastAsia="黑体"/>
          <w:b/>
          <w:kern w:val="0"/>
          <w:sz w:val="44"/>
          <w:szCs w:val="44"/>
        </w:rPr>
      </w:pPr>
      <w:r>
        <w:rPr>
          <w:rFonts w:eastAsia="黑体"/>
          <w:b/>
          <w:kern w:val="0"/>
          <w:sz w:val="44"/>
          <w:szCs w:val="44"/>
        </w:rPr>
        <w:t>《榛坚果采后商品化处理技术规范》</w:t>
      </w:r>
    </w:p>
    <w:p w14:paraId="44FBADB5">
      <w:pPr>
        <w:adjustRightInd w:val="0"/>
        <w:snapToGrid w:val="0"/>
        <w:spacing w:line="360" w:lineRule="auto"/>
        <w:jc w:val="center"/>
        <w:rPr>
          <w:rFonts w:eastAsia="仿宋_GB2312"/>
          <w:b/>
          <w:sz w:val="40"/>
          <w:szCs w:val="40"/>
        </w:rPr>
      </w:pPr>
    </w:p>
    <w:p w14:paraId="0643D7B1">
      <w:pPr>
        <w:adjustRightInd w:val="0"/>
        <w:snapToGrid w:val="0"/>
        <w:spacing w:line="360" w:lineRule="auto"/>
        <w:jc w:val="center"/>
        <w:rPr>
          <w:rFonts w:eastAsia="黑体"/>
          <w:b/>
          <w:kern w:val="0"/>
          <w:sz w:val="44"/>
          <w:szCs w:val="44"/>
        </w:rPr>
      </w:pPr>
    </w:p>
    <w:p w14:paraId="73B65A18">
      <w:pPr>
        <w:adjustRightInd w:val="0"/>
        <w:snapToGrid w:val="0"/>
        <w:spacing w:line="360" w:lineRule="auto"/>
        <w:jc w:val="center"/>
        <w:rPr>
          <w:rFonts w:eastAsia="黑体"/>
          <w:b/>
          <w:kern w:val="0"/>
          <w:sz w:val="44"/>
          <w:szCs w:val="44"/>
        </w:rPr>
      </w:pPr>
    </w:p>
    <w:p w14:paraId="35AB3EC9">
      <w:pPr>
        <w:adjustRightInd w:val="0"/>
        <w:snapToGrid w:val="0"/>
        <w:spacing w:line="360" w:lineRule="auto"/>
        <w:jc w:val="center"/>
        <w:rPr>
          <w:rFonts w:eastAsia="黑体"/>
          <w:b/>
          <w:kern w:val="0"/>
          <w:sz w:val="44"/>
          <w:szCs w:val="44"/>
        </w:rPr>
      </w:pPr>
      <w:r>
        <w:rPr>
          <w:rFonts w:eastAsia="黑体"/>
          <w:b/>
          <w:kern w:val="0"/>
          <w:sz w:val="44"/>
          <w:szCs w:val="44"/>
        </w:rPr>
        <w:t>编</w:t>
      </w:r>
    </w:p>
    <w:p w14:paraId="05946670">
      <w:pPr>
        <w:adjustRightInd w:val="0"/>
        <w:snapToGrid w:val="0"/>
        <w:spacing w:line="360" w:lineRule="auto"/>
        <w:jc w:val="center"/>
        <w:rPr>
          <w:rFonts w:eastAsia="黑体"/>
          <w:b/>
          <w:kern w:val="0"/>
          <w:sz w:val="44"/>
          <w:szCs w:val="44"/>
        </w:rPr>
      </w:pPr>
    </w:p>
    <w:p w14:paraId="292A79C1">
      <w:pPr>
        <w:adjustRightInd w:val="0"/>
        <w:snapToGrid w:val="0"/>
        <w:spacing w:line="360" w:lineRule="auto"/>
        <w:jc w:val="center"/>
        <w:rPr>
          <w:rFonts w:eastAsia="黑体"/>
          <w:b/>
          <w:kern w:val="0"/>
          <w:sz w:val="44"/>
          <w:szCs w:val="44"/>
        </w:rPr>
      </w:pPr>
      <w:r>
        <w:rPr>
          <w:rFonts w:eastAsia="黑体"/>
          <w:b/>
          <w:kern w:val="0"/>
          <w:sz w:val="44"/>
          <w:szCs w:val="44"/>
        </w:rPr>
        <w:t>制</w:t>
      </w:r>
    </w:p>
    <w:p w14:paraId="5D8DBB40">
      <w:pPr>
        <w:adjustRightInd w:val="0"/>
        <w:snapToGrid w:val="0"/>
        <w:spacing w:line="360" w:lineRule="auto"/>
        <w:jc w:val="center"/>
        <w:rPr>
          <w:rFonts w:eastAsia="黑体"/>
          <w:b/>
          <w:kern w:val="0"/>
          <w:sz w:val="44"/>
          <w:szCs w:val="44"/>
        </w:rPr>
      </w:pPr>
    </w:p>
    <w:p w14:paraId="215573CC">
      <w:pPr>
        <w:adjustRightInd w:val="0"/>
        <w:snapToGrid w:val="0"/>
        <w:spacing w:line="360" w:lineRule="auto"/>
        <w:jc w:val="center"/>
        <w:rPr>
          <w:rFonts w:eastAsia="黑体"/>
          <w:b/>
          <w:kern w:val="0"/>
          <w:sz w:val="44"/>
          <w:szCs w:val="44"/>
        </w:rPr>
      </w:pPr>
      <w:r>
        <w:rPr>
          <w:rFonts w:eastAsia="黑体"/>
          <w:b/>
          <w:kern w:val="0"/>
          <w:sz w:val="44"/>
          <w:szCs w:val="44"/>
        </w:rPr>
        <w:t>说</w:t>
      </w:r>
    </w:p>
    <w:p w14:paraId="66482203">
      <w:pPr>
        <w:adjustRightInd w:val="0"/>
        <w:snapToGrid w:val="0"/>
        <w:spacing w:line="360" w:lineRule="auto"/>
        <w:jc w:val="center"/>
        <w:rPr>
          <w:rFonts w:eastAsia="黑体"/>
          <w:b/>
          <w:kern w:val="0"/>
          <w:sz w:val="44"/>
          <w:szCs w:val="44"/>
        </w:rPr>
      </w:pPr>
    </w:p>
    <w:p w14:paraId="784DC32C">
      <w:pPr>
        <w:adjustRightInd w:val="0"/>
        <w:snapToGrid w:val="0"/>
        <w:spacing w:line="360" w:lineRule="auto"/>
        <w:jc w:val="center"/>
        <w:rPr>
          <w:rFonts w:eastAsia="黑体"/>
          <w:b/>
          <w:kern w:val="0"/>
          <w:sz w:val="44"/>
          <w:szCs w:val="44"/>
        </w:rPr>
      </w:pPr>
      <w:r>
        <w:rPr>
          <w:rFonts w:eastAsia="黑体"/>
          <w:b/>
          <w:kern w:val="0"/>
          <w:sz w:val="44"/>
          <w:szCs w:val="44"/>
        </w:rPr>
        <w:t>明</w:t>
      </w:r>
    </w:p>
    <w:p w14:paraId="5A457960">
      <w:pPr>
        <w:ind w:firstLine="883" w:firstLineChars="200"/>
        <w:jc w:val="center"/>
        <w:rPr>
          <w:rFonts w:eastAsia="黑体"/>
          <w:b/>
          <w:kern w:val="0"/>
          <w:sz w:val="44"/>
          <w:szCs w:val="44"/>
        </w:rPr>
      </w:pPr>
    </w:p>
    <w:p w14:paraId="364E4499">
      <w:pPr>
        <w:ind w:firstLine="643" w:firstLineChars="200"/>
        <w:jc w:val="center"/>
        <w:rPr>
          <w:rFonts w:eastAsia="仿宋_GB2312"/>
          <w:b/>
          <w:sz w:val="32"/>
          <w:szCs w:val="32"/>
        </w:rPr>
      </w:pPr>
    </w:p>
    <w:p w14:paraId="6BC6ED01">
      <w:pPr>
        <w:jc w:val="center"/>
        <w:rPr>
          <w:rFonts w:eastAsia="仿宋_GB2312"/>
          <w:b/>
          <w:sz w:val="32"/>
          <w:szCs w:val="32"/>
        </w:rPr>
      </w:pPr>
      <w:r>
        <w:rPr>
          <w:rFonts w:eastAsia="仿宋_GB2312"/>
          <w:b/>
          <w:sz w:val="32"/>
          <w:szCs w:val="32"/>
        </w:rPr>
        <w:t>《榛坚果采后商品化处理技术规范》编制工作组</w:t>
      </w:r>
    </w:p>
    <w:p w14:paraId="497F1F59">
      <w:pPr>
        <w:jc w:val="center"/>
        <w:rPr>
          <w:rFonts w:eastAsia="仿宋_GB2312"/>
          <w:b/>
          <w:sz w:val="32"/>
          <w:szCs w:val="32"/>
        </w:rPr>
      </w:pPr>
      <w:r>
        <w:rPr>
          <w:rFonts w:eastAsia="仿宋_GB2312"/>
          <w:b/>
          <w:sz w:val="32"/>
          <w:szCs w:val="32"/>
        </w:rPr>
        <w:t>2026.7.24</w:t>
      </w:r>
    </w:p>
    <w:p w14:paraId="2100B5BC">
      <w:pPr>
        <w:spacing w:line="360" w:lineRule="auto"/>
        <w:rPr>
          <w:kern w:val="0"/>
          <w:sz w:val="28"/>
          <w:szCs w:val="28"/>
        </w:rPr>
      </w:pPr>
      <w:r>
        <w:rPr>
          <w:rFonts w:eastAsia="仿宋_GB2312"/>
          <w:b/>
          <w:sz w:val="32"/>
          <w:szCs w:val="32"/>
        </w:rPr>
        <w:br w:type="page"/>
      </w:r>
      <w:bookmarkStart w:id="0" w:name="OLE_LINK48"/>
    </w:p>
    <w:bookmarkEnd w:id="0"/>
    <w:p w14:paraId="56F1C074">
      <w:pPr>
        <w:spacing w:line="360" w:lineRule="auto"/>
        <w:ind w:firstLine="482" w:firstLineChars="200"/>
        <w:rPr>
          <w:rFonts w:eastAsia="黑体"/>
          <w:b/>
          <w:bCs/>
          <w:kern w:val="0"/>
          <w:sz w:val="24"/>
          <w:szCs w:val="24"/>
        </w:rPr>
      </w:pPr>
      <w:r>
        <w:rPr>
          <w:rFonts w:eastAsia="黑体"/>
          <w:b/>
          <w:bCs/>
          <w:kern w:val="0"/>
          <w:sz w:val="24"/>
          <w:szCs w:val="24"/>
        </w:rPr>
        <w:t>一、工作简况：包括任务来源、协作单位、主要工作过程、起草组成员及其所做的主要工作等</w:t>
      </w:r>
    </w:p>
    <w:p w14:paraId="31023A1D">
      <w:pPr>
        <w:widowControl/>
        <w:adjustRightInd w:val="0"/>
        <w:snapToGrid w:val="0"/>
        <w:spacing w:before="50" w:after="156" w:afterLines="50" w:line="300" w:lineRule="auto"/>
        <w:rPr>
          <w:b/>
          <w:sz w:val="24"/>
          <w:szCs w:val="24"/>
        </w:rPr>
      </w:pPr>
      <w:r>
        <w:rPr>
          <w:b/>
          <w:sz w:val="24"/>
          <w:szCs w:val="24"/>
        </w:rPr>
        <w:t>1. 任务来源</w:t>
      </w:r>
    </w:p>
    <w:p w14:paraId="389A4B2C">
      <w:pPr>
        <w:adjustRightInd w:val="0"/>
        <w:snapToGrid w:val="0"/>
        <w:spacing w:before="50" w:after="156" w:afterLines="50" w:line="300" w:lineRule="auto"/>
        <w:ind w:firstLine="480" w:firstLineChars="200"/>
        <w:rPr>
          <w:sz w:val="24"/>
          <w:szCs w:val="24"/>
        </w:rPr>
      </w:pPr>
      <w:r>
        <w:rPr>
          <w:sz w:val="24"/>
          <w:szCs w:val="24"/>
        </w:rPr>
        <w:t>中国林业科学研究院林业研究所作为十四五国家重点研发计划课题“榛子产业关键技术研究与新产品创制（2022YFD1600404）”（课题执行期2022.11-2027.10）的主持单位，在课题执行过程中，根据课题任务要求、标准体系建设、榛子产业发展和市场需求，开展了榛坚果产地初加工与采后商品化技术研究工作，并进行了产业化示范应用，形成了可用于指导生产的榛坚果产地初加工与采后商品化处理技术。</w:t>
      </w:r>
    </w:p>
    <w:p w14:paraId="5F4FF6F9">
      <w:pPr>
        <w:widowControl/>
        <w:adjustRightInd w:val="0"/>
        <w:snapToGrid w:val="0"/>
        <w:spacing w:before="50" w:after="156" w:afterLines="50" w:line="300" w:lineRule="auto"/>
        <w:rPr>
          <w:b/>
          <w:sz w:val="24"/>
          <w:szCs w:val="24"/>
        </w:rPr>
      </w:pPr>
      <w:r>
        <w:rPr>
          <w:b/>
          <w:sz w:val="24"/>
          <w:szCs w:val="24"/>
        </w:rPr>
        <w:t>2. 协作单位</w:t>
      </w:r>
    </w:p>
    <w:p w14:paraId="470F23B1">
      <w:pPr>
        <w:adjustRightInd w:val="0"/>
        <w:snapToGrid w:val="0"/>
        <w:spacing w:before="50" w:after="156" w:afterLines="50" w:line="300" w:lineRule="auto"/>
        <w:ind w:firstLine="480" w:firstLineChars="200"/>
        <w:rPr>
          <w:sz w:val="24"/>
          <w:szCs w:val="24"/>
        </w:rPr>
      </w:pPr>
      <w:r>
        <w:rPr>
          <w:sz w:val="24"/>
          <w:szCs w:val="24"/>
        </w:rPr>
        <w:t>中国林业科学研究院林业研究所为牵头单位，中国农业科学院农产品加工研究所、吉林省索特科技有限公司、</w:t>
      </w:r>
      <w:bookmarkStart w:id="1" w:name="OLE_LINK51"/>
      <w:r>
        <w:rPr>
          <w:sz w:val="24"/>
          <w:szCs w:val="24"/>
        </w:rPr>
        <w:t>永吉县林业产业协会</w:t>
      </w:r>
      <w:bookmarkEnd w:id="1"/>
      <w:r>
        <w:rPr>
          <w:sz w:val="24"/>
          <w:szCs w:val="24"/>
        </w:rPr>
        <w:t>、吉林省爱特种植农民专业合作社、临江市诚源大榛子栽培农民专业合作社作为协作单位。</w:t>
      </w:r>
    </w:p>
    <w:p w14:paraId="5D75EE77">
      <w:pPr>
        <w:widowControl/>
        <w:adjustRightInd w:val="0"/>
        <w:snapToGrid w:val="0"/>
        <w:spacing w:before="50" w:after="156" w:afterLines="50" w:line="300" w:lineRule="auto"/>
        <w:rPr>
          <w:b/>
          <w:sz w:val="24"/>
          <w:szCs w:val="24"/>
        </w:rPr>
      </w:pPr>
      <w:r>
        <w:rPr>
          <w:b/>
          <w:sz w:val="24"/>
          <w:szCs w:val="24"/>
        </w:rPr>
        <w:t>3. 工作过程</w:t>
      </w:r>
    </w:p>
    <w:p w14:paraId="104A3E2C">
      <w:pPr>
        <w:adjustRightInd w:val="0"/>
        <w:snapToGrid w:val="0"/>
        <w:spacing w:before="50" w:after="156" w:afterLines="50" w:line="300" w:lineRule="auto"/>
        <w:ind w:firstLine="569" w:firstLineChars="236"/>
        <w:rPr>
          <w:b/>
          <w:sz w:val="24"/>
          <w:szCs w:val="24"/>
        </w:rPr>
      </w:pPr>
      <w:r>
        <w:rPr>
          <w:b/>
          <w:sz w:val="24"/>
          <w:szCs w:val="24"/>
        </w:rPr>
        <w:t>（1）成立《标准》制定小组，开展前期准备工作</w:t>
      </w:r>
    </w:p>
    <w:p w14:paraId="0B3FE9E4">
      <w:pPr>
        <w:adjustRightInd w:val="0"/>
        <w:snapToGrid w:val="0"/>
        <w:spacing w:before="50" w:after="156" w:afterLines="50" w:line="300" w:lineRule="auto"/>
        <w:ind w:firstLine="480" w:firstLineChars="200"/>
        <w:rPr>
          <w:sz w:val="24"/>
          <w:szCs w:val="24"/>
        </w:rPr>
      </w:pPr>
      <w:r>
        <w:rPr>
          <w:sz w:val="24"/>
          <w:szCs w:val="24"/>
        </w:rPr>
        <w:t>2022年11月任务下达后，中国林业科学院林业研究所按照国家标准的制订程序，联合上述协作单位相关人员成立了标准起草工作组。明确了主要起草单位和主要参与人，对有关标准制定原则及工作进行了说明和具体分工，工作组对标准的结构、技术要求等进行了全面探讨，并制定了工作计划。</w:t>
      </w:r>
    </w:p>
    <w:p w14:paraId="7D03453A">
      <w:pPr>
        <w:adjustRightInd w:val="0"/>
        <w:snapToGrid w:val="0"/>
        <w:spacing w:before="50" w:after="156" w:afterLines="50" w:line="300" w:lineRule="auto"/>
        <w:ind w:firstLine="569" w:firstLineChars="236"/>
        <w:rPr>
          <w:b/>
          <w:sz w:val="24"/>
          <w:szCs w:val="24"/>
        </w:rPr>
      </w:pPr>
      <w:bookmarkStart w:id="2" w:name="OLE_LINK52"/>
      <w:r>
        <w:rPr>
          <w:b/>
          <w:sz w:val="24"/>
          <w:szCs w:val="24"/>
        </w:rPr>
        <w:t>（2）开展技术资料收集和生产现状调研，制定工作计划</w:t>
      </w:r>
    </w:p>
    <w:bookmarkEnd w:id="2"/>
    <w:p w14:paraId="1D31DED1">
      <w:pPr>
        <w:adjustRightInd w:val="0"/>
        <w:snapToGrid w:val="0"/>
        <w:spacing w:before="50" w:after="156" w:afterLines="50" w:line="300" w:lineRule="auto"/>
        <w:ind w:firstLine="480" w:firstLineChars="200"/>
        <w:rPr>
          <w:sz w:val="24"/>
          <w:szCs w:val="24"/>
        </w:rPr>
      </w:pPr>
      <w:r>
        <w:rPr>
          <w:sz w:val="24"/>
          <w:szCs w:val="24"/>
        </w:rPr>
        <w:t>2023年1月~7月，工作组成员广泛查阅和收集了国内外与榛子采收与采后处理相关的文献资料，同时对相关榛子种植园、生产加工企业、</w:t>
      </w:r>
      <w:bookmarkStart w:id="3" w:name="OLE_LINK74"/>
      <w:r>
        <w:rPr>
          <w:sz w:val="24"/>
          <w:szCs w:val="24"/>
        </w:rPr>
        <w:t>坚果收购商与贸易企业</w:t>
      </w:r>
      <w:bookmarkEnd w:id="3"/>
      <w:r>
        <w:rPr>
          <w:sz w:val="24"/>
          <w:szCs w:val="24"/>
        </w:rPr>
        <w:t>等进行实地走访调研与电话咨询，充分了解榛子主产区在种植、栽培管理、采收、采后处理、贮藏、物流运输、市场销售等方面的现状、存在问题与行业发展需求；查阅了近十年出版和发表的国内外关于榛子种植与栽培管理、坚果加工、贮藏与物流运输等方面的著作和研究论文，以及世界榛子主产国官方信息发布网站，并对此进行了认真分析和整理。</w:t>
      </w:r>
    </w:p>
    <w:p w14:paraId="233DD33B">
      <w:pPr>
        <w:adjustRightInd w:val="0"/>
        <w:snapToGrid w:val="0"/>
        <w:spacing w:before="50" w:after="156" w:afterLines="50" w:line="300" w:lineRule="auto"/>
        <w:ind w:firstLine="569" w:firstLineChars="236"/>
        <w:rPr>
          <w:b/>
          <w:sz w:val="24"/>
          <w:szCs w:val="24"/>
        </w:rPr>
      </w:pPr>
      <w:r>
        <w:rPr>
          <w:b/>
          <w:sz w:val="24"/>
          <w:szCs w:val="24"/>
        </w:rPr>
        <w:t>（3）结合生产实际，开展关键技术参数优化，进行生产性试验示范，形成《榛坚果采后商品化处理技术规范》（工作组讨论稿）</w:t>
      </w:r>
    </w:p>
    <w:p w14:paraId="45DD1FEE">
      <w:pPr>
        <w:adjustRightInd w:val="0"/>
        <w:snapToGrid w:val="0"/>
        <w:spacing w:before="50" w:after="156" w:afterLines="50" w:line="300" w:lineRule="auto"/>
        <w:ind w:firstLine="480" w:firstLineChars="200"/>
        <w:rPr>
          <w:sz w:val="24"/>
          <w:szCs w:val="24"/>
        </w:rPr>
      </w:pPr>
      <w:r>
        <w:rPr>
          <w:sz w:val="24"/>
          <w:szCs w:val="24"/>
        </w:rPr>
        <w:t>2023年8月~2025年12月，先后开展了榛坚果采收方法改进、机械干燥方法关键技术实验与参数优化、榛子智能分选装备选型、去皮工艺优化、包装方式等研究，并在主产区龙头企业进行了生产性应用示范。在充分分析、整理和总结中国林业科学院林业研究所和中国农业科学院农产品加工研究所研究成果的基础上，结合我国榛子主产区相关种植、生产企业的实际应用效果，，进一步完善了榛坚果采后商品化处理的技术工艺，为本文件的制定提供了指导依据。经《标准》编制工作组成员多次研讨，形成了《榛坚果采后商品化处理技术规范》（工作组讨论稿）。</w:t>
      </w:r>
    </w:p>
    <w:p w14:paraId="4980A502">
      <w:pPr>
        <w:adjustRightInd w:val="0"/>
        <w:snapToGrid w:val="0"/>
        <w:spacing w:before="50" w:after="156" w:afterLines="50" w:line="300" w:lineRule="auto"/>
        <w:ind w:firstLine="569" w:firstLineChars="236"/>
        <w:rPr>
          <w:b/>
          <w:sz w:val="24"/>
          <w:szCs w:val="24"/>
        </w:rPr>
      </w:pPr>
      <w:r>
        <w:rPr>
          <w:b/>
          <w:sz w:val="24"/>
          <w:szCs w:val="24"/>
        </w:rPr>
        <w:t>（4）对《榛坚果采后商品化处理技术规范》（工作组讨论稿）进行广泛讨论，形成《标准》（征求意见稿）</w:t>
      </w:r>
    </w:p>
    <w:p w14:paraId="67470C53">
      <w:pPr>
        <w:adjustRightInd w:val="0"/>
        <w:snapToGrid w:val="0"/>
        <w:spacing w:before="50" w:after="156" w:afterLines="50" w:line="300" w:lineRule="auto"/>
        <w:ind w:firstLine="480" w:firstLineChars="200"/>
        <w:rPr>
          <w:sz w:val="24"/>
          <w:szCs w:val="24"/>
        </w:rPr>
      </w:pPr>
      <w:r>
        <w:rPr>
          <w:sz w:val="24"/>
          <w:szCs w:val="24"/>
        </w:rPr>
        <w:t>2026年3月~5月，工作组通过线上会议等形式多次对</w:t>
      </w:r>
      <w:bookmarkStart w:id="4" w:name="OLE_LINK55"/>
      <w:r>
        <w:rPr>
          <w:sz w:val="24"/>
          <w:szCs w:val="24"/>
        </w:rPr>
        <w:t>《榛坚果采后商品化处理技术规范》</w:t>
      </w:r>
      <w:bookmarkEnd w:id="4"/>
      <w:r>
        <w:rPr>
          <w:sz w:val="24"/>
          <w:szCs w:val="24"/>
        </w:rPr>
        <w:t>（工作组讨论稿）的内容及结构进行讨论、修改，在组内充分讨论和征求相关专家、榛子生产单位和销售企业意见的基础上，汇总各方意见后最终形成了</w:t>
      </w:r>
      <w:bookmarkStart w:id="5" w:name="OLE_LINK57"/>
      <w:r>
        <w:rPr>
          <w:sz w:val="24"/>
          <w:szCs w:val="24"/>
        </w:rPr>
        <w:t>《榛坚果采后商品化处理技术规范》</w:t>
      </w:r>
      <w:bookmarkEnd w:id="5"/>
      <w:r>
        <w:rPr>
          <w:sz w:val="24"/>
          <w:szCs w:val="24"/>
        </w:rPr>
        <w:t>（征求意见稿），并根据《国家标准管理办法》（2022年9月修订），编写了标准的编制说明。</w:t>
      </w:r>
    </w:p>
    <w:p w14:paraId="2BB0BAC0">
      <w:pPr>
        <w:adjustRightInd w:val="0"/>
        <w:snapToGrid w:val="0"/>
        <w:spacing w:before="50" w:after="156" w:afterLines="50" w:line="300" w:lineRule="auto"/>
        <w:ind w:firstLine="569" w:firstLineChars="236"/>
        <w:rPr>
          <w:b/>
          <w:sz w:val="24"/>
          <w:szCs w:val="24"/>
        </w:rPr>
      </w:pPr>
      <w:r>
        <w:rPr>
          <w:b/>
          <w:sz w:val="24"/>
          <w:szCs w:val="24"/>
        </w:rPr>
        <w:t>（5）标准征求意见</w:t>
      </w:r>
    </w:p>
    <w:p w14:paraId="48998287">
      <w:pPr>
        <w:adjustRightInd w:val="0"/>
        <w:snapToGrid w:val="0"/>
        <w:spacing w:before="50" w:after="156" w:afterLines="50" w:line="300" w:lineRule="auto"/>
        <w:ind w:firstLine="480" w:firstLineChars="200"/>
        <w:rPr>
          <w:sz w:val="24"/>
          <w:szCs w:val="24"/>
        </w:rPr>
      </w:pPr>
      <w:bookmarkStart w:id="6" w:name="_Hlk152437173"/>
      <w:r>
        <w:rPr>
          <w:sz w:val="24"/>
          <w:szCs w:val="24"/>
        </w:rPr>
        <w:t>计划于2026年8月向中国林学会提交标准征求意见稿，通过相关行业征求意见，发送“征求意见稿”的单位数符合中国林学会的相关规定，同时在规定网站公开征求意见。对反馈意见进行汇总整理，经修改后，形成标准《榛坚果采后商品化处理技术规范》（送审稿），并提交上报。</w:t>
      </w:r>
    </w:p>
    <w:p w14:paraId="44315D58">
      <w:pPr>
        <w:adjustRightInd w:val="0"/>
        <w:snapToGrid w:val="0"/>
        <w:spacing w:before="50" w:after="156" w:afterLines="50" w:line="300" w:lineRule="auto"/>
        <w:ind w:firstLine="569" w:firstLineChars="236"/>
        <w:rPr>
          <w:b/>
          <w:sz w:val="24"/>
          <w:szCs w:val="24"/>
        </w:rPr>
      </w:pPr>
      <w:r>
        <w:rPr>
          <w:b/>
          <w:sz w:val="24"/>
          <w:szCs w:val="24"/>
        </w:rPr>
        <w:t>（6）标准送审</w:t>
      </w:r>
    </w:p>
    <w:p w14:paraId="34D6CCD1">
      <w:pPr>
        <w:adjustRightInd w:val="0"/>
        <w:snapToGrid w:val="0"/>
        <w:spacing w:before="50" w:after="156" w:afterLines="50" w:line="300" w:lineRule="auto"/>
        <w:ind w:firstLine="480" w:firstLineChars="200"/>
        <w:rPr>
          <w:sz w:val="24"/>
          <w:szCs w:val="24"/>
        </w:rPr>
      </w:pPr>
      <w:r>
        <w:rPr>
          <w:sz w:val="24"/>
          <w:szCs w:val="24"/>
        </w:rPr>
        <w:t>计划于2026年10月~12月，由中国林学会组织召开标准审定会，根据审定会专家意见，对标准进行修改完善，形成《榛坚果采后商品化处理技术规范》（报批稿），并提交。</w:t>
      </w:r>
    </w:p>
    <w:p w14:paraId="2F7C2B38">
      <w:pPr>
        <w:adjustRightInd w:val="0"/>
        <w:snapToGrid w:val="0"/>
        <w:spacing w:before="50" w:after="156" w:afterLines="50" w:line="300" w:lineRule="auto"/>
        <w:ind w:firstLine="569" w:firstLineChars="236"/>
        <w:rPr>
          <w:b/>
          <w:sz w:val="24"/>
          <w:szCs w:val="24"/>
        </w:rPr>
      </w:pPr>
      <w:r>
        <w:rPr>
          <w:b/>
          <w:sz w:val="24"/>
          <w:szCs w:val="24"/>
        </w:rPr>
        <w:t>（7）标准报批</w:t>
      </w:r>
    </w:p>
    <w:p w14:paraId="4992CD26">
      <w:pPr>
        <w:adjustRightInd w:val="0"/>
        <w:snapToGrid w:val="0"/>
        <w:spacing w:before="50" w:after="156" w:afterLines="50" w:line="300" w:lineRule="auto"/>
        <w:ind w:firstLine="480" w:firstLineChars="200"/>
        <w:rPr>
          <w:sz w:val="24"/>
          <w:szCs w:val="24"/>
        </w:rPr>
      </w:pPr>
      <w:r>
        <w:rPr>
          <w:sz w:val="24"/>
          <w:szCs w:val="24"/>
        </w:rPr>
        <w:t>计划于2027年1月向中国林学会提交报批稿。</w:t>
      </w:r>
    </w:p>
    <w:p w14:paraId="48041F2A">
      <w:pPr>
        <w:widowControl/>
        <w:adjustRightInd w:val="0"/>
        <w:snapToGrid w:val="0"/>
        <w:spacing w:before="50" w:after="156" w:afterLines="50" w:line="300" w:lineRule="auto"/>
        <w:rPr>
          <w:b/>
          <w:sz w:val="24"/>
          <w:szCs w:val="24"/>
        </w:rPr>
      </w:pPr>
      <w:r>
        <w:rPr>
          <w:b/>
          <w:sz w:val="24"/>
          <w:szCs w:val="24"/>
        </w:rPr>
        <w:t>4. 标准项目工作组成员及其所做的工作（单位排序、人员排序和人员主要负责工作）</w:t>
      </w:r>
    </w:p>
    <w:p w14:paraId="612C7163">
      <w:pPr>
        <w:adjustRightInd w:val="0"/>
        <w:snapToGrid w:val="0"/>
        <w:spacing w:before="50" w:after="156" w:afterLines="50" w:line="300" w:lineRule="auto"/>
        <w:ind w:firstLine="480" w:firstLineChars="200"/>
        <w:rPr>
          <w:sz w:val="24"/>
          <w:szCs w:val="24"/>
        </w:rPr>
      </w:pPr>
      <w:r>
        <w:rPr>
          <w:sz w:val="24"/>
          <w:szCs w:val="24"/>
        </w:rPr>
        <w:t>标准修订参加单位包括：中国林业科学研究院林业研究所、中国农业科学院农产品加工研究所、</w:t>
      </w:r>
      <w:bookmarkStart w:id="7" w:name="OLE_LINK61"/>
      <w:r>
        <w:rPr>
          <w:sz w:val="24"/>
          <w:szCs w:val="24"/>
        </w:rPr>
        <w:t>吉林省索特科技有限公司</w:t>
      </w:r>
      <w:bookmarkEnd w:id="7"/>
      <w:r>
        <w:rPr>
          <w:sz w:val="24"/>
          <w:szCs w:val="24"/>
        </w:rPr>
        <w:t>、</w:t>
      </w:r>
      <w:bookmarkStart w:id="8" w:name="OLE_LINK67"/>
      <w:r>
        <w:rPr>
          <w:sz w:val="24"/>
          <w:szCs w:val="24"/>
        </w:rPr>
        <w:t>永吉县林业产业协会</w:t>
      </w:r>
      <w:bookmarkEnd w:id="8"/>
      <w:r>
        <w:rPr>
          <w:sz w:val="24"/>
          <w:szCs w:val="24"/>
        </w:rPr>
        <w:t>、</w:t>
      </w:r>
      <w:bookmarkStart w:id="9" w:name="OLE_LINK64"/>
      <w:r>
        <w:rPr>
          <w:sz w:val="24"/>
          <w:szCs w:val="24"/>
        </w:rPr>
        <w:t>吉林省爱特种植农民专业合作社</w:t>
      </w:r>
      <w:bookmarkEnd w:id="9"/>
      <w:r>
        <w:rPr>
          <w:sz w:val="24"/>
          <w:szCs w:val="24"/>
        </w:rPr>
        <w:t>、</w:t>
      </w:r>
      <w:bookmarkStart w:id="10" w:name="OLE_LINK71"/>
      <w:r>
        <w:rPr>
          <w:sz w:val="24"/>
          <w:szCs w:val="24"/>
        </w:rPr>
        <w:t>临江市诚源大榛子栽培农民专业合作社</w:t>
      </w:r>
      <w:bookmarkEnd w:id="10"/>
      <w:r>
        <w:rPr>
          <w:sz w:val="24"/>
          <w:szCs w:val="24"/>
        </w:rPr>
        <w:t>。</w:t>
      </w:r>
    </w:p>
    <w:p w14:paraId="0106C8B9">
      <w:pPr>
        <w:adjustRightInd w:val="0"/>
        <w:snapToGrid w:val="0"/>
        <w:spacing w:before="50" w:after="156" w:afterLines="50" w:line="300" w:lineRule="auto"/>
        <w:ind w:firstLine="480" w:firstLineChars="200"/>
        <w:rPr>
          <w:sz w:val="24"/>
          <w:szCs w:val="24"/>
        </w:rPr>
      </w:pPr>
      <w:r>
        <w:rPr>
          <w:sz w:val="24"/>
          <w:szCs w:val="24"/>
        </w:rPr>
        <w:t>主要起草人为：梁丽松、林碧辉、吴昕烨、林喜双、杨振、白玉红、马庆华、于爱香。</w:t>
      </w:r>
    </w:p>
    <w:p w14:paraId="7C4F07F1">
      <w:pPr>
        <w:adjustRightInd w:val="0"/>
        <w:snapToGrid w:val="0"/>
        <w:spacing w:before="50" w:after="156" w:afterLines="50" w:line="300" w:lineRule="auto"/>
        <w:ind w:firstLine="480" w:firstLineChars="200"/>
        <w:rPr>
          <w:sz w:val="24"/>
          <w:szCs w:val="24"/>
        </w:rPr>
      </w:pPr>
      <w:bookmarkStart w:id="11" w:name="OLE_LINK60"/>
      <w:r>
        <w:rPr>
          <w:sz w:val="24"/>
          <w:szCs w:val="24"/>
        </w:rPr>
        <w:t>梁丽松，研究员，</w:t>
      </w:r>
      <w:bookmarkStart w:id="12" w:name="OLE_LINK66"/>
      <w:r>
        <w:rPr>
          <w:sz w:val="24"/>
          <w:szCs w:val="24"/>
        </w:rPr>
        <w:t>中国林业科学研究员林业研究所，</w:t>
      </w:r>
      <w:bookmarkEnd w:id="12"/>
      <w:r>
        <w:rPr>
          <w:sz w:val="24"/>
          <w:szCs w:val="24"/>
        </w:rPr>
        <w:t>负责标准的框架的制订、标准文本和编制说明的的起草；</w:t>
      </w:r>
      <w:bookmarkEnd w:id="11"/>
    </w:p>
    <w:p w14:paraId="23FDBCB5">
      <w:pPr>
        <w:adjustRightInd w:val="0"/>
        <w:snapToGrid w:val="0"/>
        <w:spacing w:before="50" w:after="156" w:afterLines="50" w:line="300" w:lineRule="auto"/>
        <w:ind w:firstLine="480" w:firstLineChars="200"/>
        <w:rPr>
          <w:sz w:val="24"/>
          <w:szCs w:val="24"/>
        </w:rPr>
      </w:pPr>
      <w:r>
        <w:rPr>
          <w:sz w:val="24"/>
          <w:szCs w:val="24"/>
        </w:rPr>
        <w:t>林碧辉，技术总监，吉林省索特科技有限公司，</w:t>
      </w:r>
      <w:bookmarkStart w:id="13" w:name="OLE_LINK65"/>
      <w:r>
        <w:rPr>
          <w:sz w:val="24"/>
          <w:szCs w:val="24"/>
        </w:rPr>
        <w:t>负责标准相关技术参数在生产基地的优化试验</w:t>
      </w:r>
      <w:bookmarkEnd w:id="13"/>
      <w:r>
        <w:rPr>
          <w:sz w:val="24"/>
          <w:szCs w:val="24"/>
        </w:rPr>
        <w:t>；</w:t>
      </w:r>
    </w:p>
    <w:p w14:paraId="5B95AF75">
      <w:pPr>
        <w:adjustRightInd w:val="0"/>
        <w:snapToGrid w:val="0"/>
        <w:spacing w:before="50" w:after="156" w:afterLines="50" w:line="300" w:lineRule="auto"/>
        <w:ind w:firstLine="480" w:firstLineChars="200"/>
        <w:rPr>
          <w:sz w:val="24"/>
          <w:szCs w:val="24"/>
        </w:rPr>
      </w:pPr>
      <w:r>
        <w:rPr>
          <w:sz w:val="24"/>
          <w:szCs w:val="24"/>
        </w:rPr>
        <w:t>吴昕烨，副研究员，中国农业科学院农产品加工研究所，负责标准的框架的制订、标准文本的起草、相关技术工艺参数研究；</w:t>
      </w:r>
    </w:p>
    <w:p w14:paraId="499BA937">
      <w:pPr>
        <w:adjustRightInd w:val="0"/>
        <w:snapToGrid w:val="0"/>
        <w:spacing w:before="50" w:after="156" w:afterLines="50" w:line="300" w:lineRule="auto"/>
        <w:ind w:firstLine="480" w:firstLineChars="200"/>
        <w:rPr>
          <w:sz w:val="24"/>
          <w:szCs w:val="24"/>
        </w:rPr>
      </w:pPr>
      <w:r>
        <w:rPr>
          <w:sz w:val="24"/>
          <w:szCs w:val="24"/>
        </w:rPr>
        <w:t>林喜双，社长，吉林省爱特种植农民专业合作社，</w:t>
      </w:r>
      <w:bookmarkStart w:id="14" w:name="OLE_LINK68"/>
      <w:r>
        <w:rPr>
          <w:sz w:val="24"/>
          <w:szCs w:val="24"/>
        </w:rPr>
        <w:t>负责标准相关技术参数在生产基地的优化试验；</w:t>
      </w:r>
      <w:bookmarkEnd w:id="14"/>
    </w:p>
    <w:p w14:paraId="23AD3E6E">
      <w:pPr>
        <w:adjustRightInd w:val="0"/>
        <w:snapToGrid w:val="0"/>
        <w:spacing w:before="50" w:after="156" w:afterLines="50" w:line="300" w:lineRule="auto"/>
        <w:ind w:firstLine="480" w:firstLineChars="200"/>
        <w:rPr>
          <w:sz w:val="24"/>
          <w:szCs w:val="24"/>
        </w:rPr>
      </w:pPr>
      <w:r>
        <w:rPr>
          <w:sz w:val="24"/>
          <w:szCs w:val="24"/>
        </w:rPr>
        <w:t>杨振，副研究员，</w:t>
      </w:r>
      <w:bookmarkStart w:id="15" w:name="OLE_LINK69"/>
      <w:r>
        <w:rPr>
          <w:sz w:val="24"/>
          <w:szCs w:val="24"/>
        </w:rPr>
        <w:t>中国林业科学研究员林业研究所，</w:t>
      </w:r>
      <w:bookmarkEnd w:id="15"/>
      <w:r>
        <w:rPr>
          <w:sz w:val="24"/>
          <w:szCs w:val="24"/>
        </w:rPr>
        <w:t>负责</w:t>
      </w:r>
      <w:bookmarkStart w:id="16" w:name="OLE_LINK63"/>
      <w:r>
        <w:rPr>
          <w:sz w:val="24"/>
          <w:szCs w:val="24"/>
        </w:rPr>
        <w:t>标准相关技术参数优化试验数据分析与处理、标准编制说明的撰写；</w:t>
      </w:r>
    </w:p>
    <w:bookmarkEnd w:id="16"/>
    <w:p w14:paraId="7D74FCF0">
      <w:pPr>
        <w:adjustRightInd w:val="0"/>
        <w:snapToGrid w:val="0"/>
        <w:spacing w:before="50" w:after="156" w:afterLines="50" w:line="300" w:lineRule="auto"/>
        <w:ind w:firstLine="480" w:firstLineChars="200"/>
        <w:rPr>
          <w:sz w:val="24"/>
          <w:szCs w:val="24"/>
        </w:rPr>
      </w:pPr>
      <w:r>
        <w:rPr>
          <w:sz w:val="24"/>
          <w:szCs w:val="24"/>
        </w:rPr>
        <w:t>白玉红，会长，永吉县林业产业协会，负责标准相关技术参数在生产基地的优化试验、生产装备选型与生产示范；</w:t>
      </w:r>
    </w:p>
    <w:p w14:paraId="541CA272">
      <w:pPr>
        <w:adjustRightInd w:val="0"/>
        <w:snapToGrid w:val="0"/>
        <w:spacing w:before="50" w:after="156" w:afterLines="50" w:line="300" w:lineRule="auto"/>
        <w:ind w:firstLine="480" w:firstLineChars="200"/>
        <w:rPr>
          <w:sz w:val="24"/>
          <w:szCs w:val="24"/>
        </w:rPr>
      </w:pPr>
      <w:r>
        <w:rPr>
          <w:sz w:val="24"/>
          <w:szCs w:val="24"/>
        </w:rPr>
        <w:t>马庆华，研究员，中国林业科学研究员林业研究所，负责标准的框架的制订、文献收集与整理、试验材料收集；</w:t>
      </w:r>
    </w:p>
    <w:p w14:paraId="02703F3E">
      <w:pPr>
        <w:adjustRightInd w:val="0"/>
        <w:snapToGrid w:val="0"/>
        <w:spacing w:before="50" w:after="156" w:afterLines="50" w:line="300" w:lineRule="auto"/>
        <w:ind w:firstLine="480" w:firstLineChars="200"/>
        <w:rPr>
          <w:sz w:val="24"/>
          <w:szCs w:val="24"/>
        </w:rPr>
      </w:pPr>
      <w:r>
        <w:rPr>
          <w:sz w:val="24"/>
          <w:szCs w:val="24"/>
        </w:rPr>
        <w:t>于爱香，社长，临江市诚源大榛子栽培农民专业合作社，负责产业生产状况调研、样品收集、相关技术的产业化应用示范。</w:t>
      </w:r>
    </w:p>
    <w:bookmarkEnd w:id="6"/>
    <w:p w14:paraId="76BA86CB">
      <w:pPr>
        <w:adjustRightInd w:val="0"/>
        <w:snapToGrid w:val="0"/>
        <w:spacing w:before="50" w:after="156" w:afterLines="50" w:line="300" w:lineRule="auto"/>
        <w:ind w:firstLine="569" w:firstLineChars="236"/>
        <w:rPr>
          <w:rFonts w:eastAsia="黑体"/>
          <w:b/>
          <w:bCs/>
          <w:kern w:val="0"/>
          <w:sz w:val="24"/>
          <w:szCs w:val="24"/>
        </w:rPr>
      </w:pPr>
      <w:r>
        <w:rPr>
          <w:rFonts w:eastAsia="黑体"/>
          <w:b/>
          <w:bCs/>
          <w:kern w:val="0"/>
          <w:sz w:val="24"/>
          <w:szCs w:val="24"/>
        </w:rPr>
        <w:t>二、标准编制原则和确定标准主要内容（如技术指标、参数、公式、性能要求、试验方法、检验规则等）的论据（包括试验、统计数据）</w:t>
      </w:r>
    </w:p>
    <w:p w14:paraId="06B8036A">
      <w:pPr>
        <w:adjustRightInd w:val="0"/>
        <w:snapToGrid w:val="0"/>
        <w:spacing w:before="50" w:after="156" w:afterLines="50" w:line="300" w:lineRule="auto"/>
        <w:ind w:firstLine="569" w:firstLineChars="236"/>
        <w:rPr>
          <w:b/>
          <w:sz w:val="24"/>
          <w:szCs w:val="24"/>
        </w:rPr>
      </w:pPr>
      <w:r>
        <w:rPr>
          <w:b/>
          <w:sz w:val="24"/>
          <w:szCs w:val="24"/>
        </w:rPr>
        <w:t>1. 标准编写原则</w:t>
      </w:r>
    </w:p>
    <w:p w14:paraId="5C67B23A">
      <w:pPr>
        <w:adjustRightInd w:val="0"/>
        <w:snapToGrid w:val="0"/>
        <w:spacing w:before="50" w:after="156" w:afterLines="50" w:line="300" w:lineRule="auto"/>
        <w:ind w:firstLine="480" w:firstLineChars="200"/>
        <w:rPr>
          <w:sz w:val="24"/>
          <w:szCs w:val="24"/>
        </w:rPr>
      </w:pPr>
      <w:r>
        <w:rPr>
          <w:sz w:val="24"/>
          <w:szCs w:val="24"/>
        </w:rPr>
        <w:t>（1）认真贯彻标准化工作导则GB/T1.1-2020的有关规定，并做到该导则中总则的以下要求：</w:t>
      </w:r>
    </w:p>
    <w:p w14:paraId="112D482B">
      <w:pPr>
        <w:adjustRightInd w:val="0"/>
        <w:snapToGrid w:val="0"/>
        <w:spacing w:before="50" w:after="156" w:afterLines="50" w:line="300" w:lineRule="auto"/>
        <w:ind w:firstLine="480" w:firstLineChars="200"/>
        <w:rPr>
          <w:sz w:val="24"/>
          <w:szCs w:val="24"/>
        </w:rPr>
      </w:pPr>
      <w:r>
        <w:rPr>
          <w:sz w:val="24"/>
          <w:szCs w:val="24"/>
        </w:rPr>
        <w:t>1）本文件按照GB/T 1.1—2020《标准化工作导则 第一部分：标准化文件的结构和起草规则》的规定进行了标准化表述的修改。</w:t>
      </w:r>
    </w:p>
    <w:p w14:paraId="11365F15">
      <w:pPr>
        <w:adjustRightInd w:val="0"/>
        <w:snapToGrid w:val="0"/>
        <w:spacing w:before="50" w:after="156" w:afterLines="50" w:line="300" w:lineRule="auto"/>
        <w:ind w:firstLine="480" w:firstLineChars="200"/>
        <w:rPr>
          <w:sz w:val="24"/>
          <w:szCs w:val="24"/>
        </w:rPr>
      </w:pPr>
      <w:r>
        <w:rPr>
          <w:sz w:val="24"/>
          <w:szCs w:val="24"/>
        </w:rPr>
        <w:t>2）本文件制定过程中，遵循“面向市场，服务产业，及时修订，不断完善”的原则，注重标准制定与技术创新、试验验证、产业发展相结合。</w:t>
      </w:r>
    </w:p>
    <w:p w14:paraId="6DEA6AB7">
      <w:pPr>
        <w:adjustRightInd w:val="0"/>
        <w:snapToGrid w:val="0"/>
        <w:spacing w:before="50" w:after="156" w:afterLines="50" w:line="300" w:lineRule="auto"/>
        <w:ind w:firstLine="480" w:firstLineChars="200"/>
        <w:rPr>
          <w:sz w:val="24"/>
          <w:szCs w:val="24"/>
        </w:rPr>
      </w:pPr>
      <w:r>
        <w:rPr>
          <w:sz w:val="24"/>
          <w:szCs w:val="24"/>
        </w:rPr>
        <w:t>3）坚持标准服务行业的原则，制定标准时广泛征求榛子产业相关种植、科研、生产加工企业、坚果收购商与贸易企业等单位的意见，在其范围所规定的界限内按需要力求完整、清楚、准确、相互协调。</w:t>
      </w:r>
    </w:p>
    <w:p w14:paraId="550CD043">
      <w:pPr>
        <w:adjustRightInd w:val="0"/>
        <w:snapToGrid w:val="0"/>
        <w:spacing w:before="50" w:after="156" w:afterLines="50" w:line="300" w:lineRule="auto"/>
        <w:ind w:firstLine="480" w:firstLineChars="200"/>
        <w:rPr>
          <w:sz w:val="24"/>
          <w:szCs w:val="24"/>
        </w:rPr>
      </w:pPr>
      <w:r>
        <w:rPr>
          <w:sz w:val="24"/>
          <w:szCs w:val="24"/>
        </w:rPr>
        <w:t>4）坚持标准的广泛性原则，同时兼顾了不同品种、不同类型榛坚果产品的差别，使标准具有广泛的代表性，在实际生产中具有可行性。</w:t>
      </w:r>
    </w:p>
    <w:p w14:paraId="679E75D3">
      <w:pPr>
        <w:adjustRightInd w:val="0"/>
        <w:snapToGrid w:val="0"/>
        <w:spacing w:before="50" w:after="156" w:afterLines="50" w:line="300" w:lineRule="auto"/>
        <w:ind w:firstLine="480" w:firstLineChars="200"/>
        <w:rPr>
          <w:sz w:val="24"/>
          <w:szCs w:val="24"/>
        </w:rPr>
      </w:pPr>
      <w:r>
        <w:rPr>
          <w:sz w:val="24"/>
          <w:szCs w:val="24"/>
        </w:rPr>
        <w:t>5）坚持先进性的原则，标准内容既结合了我国榛子产区生产现状、品种及产品实际情况，又充分考虑先进性，积极引导产业提升质量，防止盲目追求高指标而脱离实际，为未来技术发展提供框架。</w:t>
      </w:r>
    </w:p>
    <w:p w14:paraId="598254F5">
      <w:pPr>
        <w:adjustRightInd w:val="0"/>
        <w:snapToGrid w:val="0"/>
        <w:spacing w:before="50" w:after="156" w:afterLines="50" w:line="300" w:lineRule="auto"/>
        <w:ind w:firstLine="480" w:firstLineChars="200"/>
        <w:rPr>
          <w:sz w:val="24"/>
          <w:szCs w:val="24"/>
        </w:rPr>
      </w:pPr>
      <w:r>
        <w:rPr>
          <w:sz w:val="24"/>
          <w:szCs w:val="24"/>
        </w:rPr>
        <w:t>（2）充分考虑榛坚果产销地域性、季节性、鲜活性、易腐性、加工性等特点，贯彻以下原则：</w:t>
      </w:r>
    </w:p>
    <w:p w14:paraId="78022C5E">
      <w:pPr>
        <w:adjustRightInd w:val="0"/>
        <w:snapToGrid w:val="0"/>
        <w:spacing w:before="50" w:after="156" w:afterLines="50" w:line="300" w:lineRule="auto"/>
        <w:ind w:firstLine="480" w:firstLineChars="200"/>
        <w:rPr>
          <w:sz w:val="24"/>
          <w:szCs w:val="24"/>
        </w:rPr>
      </w:pPr>
      <w:r>
        <w:rPr>
          <w:sz w:val="24"/>
          <w:szCs w:val="24"/>
        </w:rPr>
        <w:t>1）先进性和经济性兼顾，尽可能吸纳国内最成熟的先进技术，同时充分考虑我国榛坚果采收及产后生产加工与商品化处理的实际发展水平。</w:t>
      </w:r>
    </w:p>
    <w:p w14:paraId="066D0B89">
      <w:pPr>
        <w:adjustRightInd w:val="0"/>
        <w:snapToGrid w:val="0"/>
        <w:spacing w:before="50" w:after="156" w:afterLines="50" w:line="300" w:lineRule="auto"/>
        <w:ind w:firstLine="480" w:firstLineChars="200"/>
        <w:rPr>
          <w:sz w:val="24"/>
          <w:szCs w:val="24"/>
        </w:rPr>
      </w:pPr>
      <w:r>
        <w:rPr>
          <w:sz w:val="24"/>
          <w:szCs w:val="24"/>
        </w:rPr>
        <w:t>2）保持标准的系统性，使</w:t>
      </w:r>
      <w:bookmarkStart w:id="17" w:name="OLE_LINK75"/>
      <w:r>
        <w:rPr>
          <w:sz w:val="24"/>
          <w:szCs w:val="24"/>
        </w:rPr>
        <w:t>《榛坚果采后商品化处理技术规范》</w:t>
      </w:r>
      <w:bookmarkEnd w:id="17"/>
      <w:r>
        <w:rPr>
          <w:sz w:val="24"/>
          <w:szCs w:val="24"/>
        </w:rPr>
        <w:t>能与系统内、外的相关标准协调、配套，以发挥标准的整体功能。</w:t>
      </w:r>
    </w:p>
    <w:p w14:paraId="20604423">
      <w:pPr>
        <w:adjustRightInd w:val="0"/>
        <w:snapToGrid w:val="0"/>
        <w:spacing w:before="50" w:after="156" w:afterLines="50" w:line="300" w:lineRule="auto"/>
        <w:ind w:firstLine="480" w:firstLineChars="200"/>
        <w:rPr>
          <w:sz w:val="24"/>
          <w:szCs w:val="24"/>
        </w:rPr>
      </w:pPr>
      <w:r>
        <w:rPr>
          <w:sz w:val="24"/>
          <w:szCs w:val="24"/>
        </w:rPr>
        <w:t>3）</w:t>
      </w:r>
      <w:bookmarkStart w:id="18" w:name="OLE_LINK78"/>
      <w:r>
        <w:rPr>
          <w:sz w:val="24"/>
          <w:szCs w:val="24"/>
        </w:rPr>
        <w:t>《榛坚果采后商品化处理技术规范》</w:t>
      </w:r>
      <w:bookmarkEnd w:id="18"/>
      <w:r>
        <w:rPr>
          <w:sz w:val="24"/>
          <w:szCs w:val="24"/>
        </w:rPr>
        <w:t>尽可能地面向主产区域，面向生产、贸易、加工、物流企业，以更大程度地发挥本规程的使用价值。</w:t>
      </w:r>
    </w:p>
    <w:p w14:paraId="2822C37D">
      <w:pPr>
        <w:adjustRightInd w:val="0"/>
        <w:snapToGrid w:val="0"/>
        <w:spacing w:before="50" w:after="156" w:afterLines="50" w:line="300" w:lineRule="auto"/>
        <w:ind w:firstLine="569" w:firstLineChars="236"/>
        <w:rPr>
          <w:b/>
          <w:sz w:val="24"/>
          <w:szCs w:val="24"/>
        </w:rPr>
      </w:pPr>
      <w:r>
        <w:rPr>
          <w:b/>
          <w:sz w:val="24"/>
          <w:szCs w:val="24"/>
        </w:rPr>
        <w:t>2. 主要内容及其确定依据</w:t>
      </w:r>
    </w:p>
    <w:p w14:paraId="53DD6495">
      <w:pPr>
        <w:adjustRightInd w:val="0"/>
        <w:snapToGrid w:val="0"/>
        <w:spacing w:before="50" w:after="156" w:afterLines="50" w:line="300" w:lineRule="auto"/>
        <w:ind w:firstLine="480" w:firstLineChars="200"/>
        <w:rPr>
          <w:sz w:val="24"/>
          <w:szCs w:val="24"/>
        </w:rPr>
      </w:pPr>
      <w:r>
        <w:rPr>
          <w:sz w:val="24"/>
          <w:szCs w:val="24"/>
        </w:rPr>
        <w:t>（1）结构和内容项目的设置</w:t>
      </w:r>
    </w:p>
    <w:p w14:paraId="570DE38D">
      <w:pPr>
        <w:adjustRightInd w:val="0"/>
        <w:snapToGrid w:val="0"/>
        <w:spacing w:before="50" w:after="156" w:afterLines="50" w:line="300" w:lineRule="auto"/>
        <w:ind w:firstLine="480" w:firstLineChars="200"/>
        <w:rPr>
          <w:sz w:val="24"/>
          <w:szCs w:val="24"/>
        </w:rPr>
      </w:pPr>
      <w:r>
        <w:rPr>
          <w:sz w:val="24"/>
          <w:szCs w:val="24"/>
        </w:rPr>
        <w:t>按照GB/T1.1—2020《标准化工作导则第1部分：标准的结构和编写规则》的规定，结合我国榛子生产、采收、采后处理、贮藏、坚果收购与销售等的生产现状，以及国内外相关学术研究成果，工作组确定了《榛坚果采后商品化处理技术规范》的结构和内容项目设置，如表1：</w:t>
      </w:r>
    </w:p>
    <w:p w14:paraId="1B14AD51">
      <w:pPr>
        <w:adjustRightInd w:val="0"/>
        <w:snapToGrid w:val="0"/>
        <w:spacing w:before="50" w:after="156" w:afterLines="50" w:line="300" w:lineRule="auto"/>
        <w:jc w:val="center"/>
        <w:rPr>
          <w:sz w:val="24"/>
          <w:szCs w:val="24"/>
        </w:rPr>
      </w:pPr>
      <w:r>
        <w:rPr>
          <w:b/>
          <w:sz w:val="24"/>
          <w:szCs w:val="24"/>
        </w:rPr>
        <w:t>表1 《榛坚果采后商品化处理技术规范》的结构和内容项目设置</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5"/>
        <w:gridCol w:w="5196"/>
      </w:tblGrid>
      <w:tr w14:paraId="2B98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65" w:type="dxa"/>
            <w:vAlign w:val="center"/>
          </w:tcPr>
          <w:p w14:paraId="0349AC02">
            <w:pPr>
              <w:adjustRightInd w:val="0"/>
              <w:snapToGrid w:val="0"/>
              <w:jc w:val="center"/>
              <w:rPr>
                <w:sz w:val="21"/>
                <w:szCs w:val="21"/>
              </w:rPr>
            </w:pPr>
            <w:r>
              <w:rPr>
                <w:sz w:val="21"/>
                <w:szCs w:val="21"/>
              </w:rPr>
              <w:t>结构要素的类型</w:t>
            </w:r>
          </w:p>
        </w:tc>
        <w:tc>
          <w:tcPr>
            <w:tcW w:w="5196" w:type="dxa"/>
            <w:vAlign w:val="center"/>
          </w:tcPr>
          <w:p w14:paraId="3C588951">
            <w:pPr>
              <w:adjustRightInd w:val="0"/>
              <w:snapToGrid w:val="0"/>
              <w:jc w:val="center"/>
              <w:rPr>
                <w:sz w:val="21"/>
                <w:szCs w:val="21"/>
              </w:rPr>
            </w:pPr>
            <w:r>
              <w:rPr>
                <w:sz w:val="21"/>
                <w:szCs w:val="21"/>
              </w:rPr>
              <w:t>结构要素的内容和项目</w:t>
            </w:r>
          </w:p>
        </w:tc>
      </w:tr>
      <w:tr w14:paraId="456E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restart"/>
            <w:vAlign w:val="center"/>
          </w:tcPr>
          <w:p w14:paraId="1BEEEF93">
            <w:pPr>
              <w:adjustRightInd w:val="0"/>
              <w:snapToGrid w:val="0"/>
              <w:jc w:val="center"/>
              <w:rPr>
                <w:sz w:val="21"/>
                <w:szCs w:val="21"/>
              </w:rPr>
            </w:pPr>
            <w:r>
              <w:rPr>
                <w:sz w:val="21"/>
                <w:szCs w:val="21"/>
              </w:rPr>
              <w:t>资料性概述要素</w:t>
            </w:r>
          </w:p>
        </w:tc>
        <w:tc>
          <w:tcPr>
            <w:tcW w:w="5196" w:type="dxa"/>
            <w:vAlign w:val="center"/>
          </w:tcPr>
          <w:p w14:paraId="38699466">
            <w:pPr>
              <w:adjustRightInd w:val="0"/>
              <w:snapToGrid w:val="0"/>
              <w:rPr>
                <w:sz w:val="21"/>
                <w:szCs w:val="21"/>
              </w:rPr>
            </w:pPr>
            <w:r>
              <w:rPr>
                <w:sz w:val="21"/>
                <w:szCs w:val="21"/>
              </w:rPr>
              <w:t>封面</w:t>
            </w:r>
          </w:p>
        </w:tc>
      </w:tr>
      <w:tr w14:paraId="2BDF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48410C06">
            <w:pPr>
              <w:adjustRightInd w:val="0"/>
              <w:snapToGrid w:val="0"/>
              <w:jc w:val="center"/>
              <w:rPr>
                <w:sz w:val="21"/>
                <w:szCs w:val="21"/>
              </w:rPr>
            </w:pPr>
          </w:p>
        </w:tc>
        <w:tc>
          <w:tcPr>
            <w:tcW w:w="5196" w:type="dxa"/>
            <w:vAlign w:val="center"/>
          </w:tcPr>
          <w:p w14:paraId="02770AA4">
            <w:pPr>
              <w:adjustRightInd w:val="0"/>
              <w:snapToGrid w:val="0"/>
              <w:rPr>
                <w:sz w:val="21"/>
                <w:szCs w:val="21"/>
              </w:rPr>
            </w:pPr>
            <w:r>
              <w:rPr>
                <w:sz w:val="21"/>
                <w:szCs w:val="21"/>
              </w:rPr>
              <w:t>前言</w:t>
            </w:r>
          </w:p>
        </w:tc>
      </w:tr>
      <w:tr w14:paraId="0CA7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restart"/>
            <w:vAlign w:val="center"/>
          </w:tcPr>
          <w:p w14:paraId="45F4472B">
            <w:pPr>
              <w:adjustRightInd w:val="0"/>
              <w:snapToGrid w:val="0"/>
              <w:jc w:val="center"/>
              <w:rPr>
                <w:sz w:val="21"/>
                <w:szCs w:val="21"/>
              </w:rPr>
            </w:pPr>
            <w:r>
              <w:rPr>
                <w:sz w:val="21"/>
                <w:szCs w:val="21"/>
              </w:rPr>
              <w:t>规范性一般要素</w:t>
            </w:r>
          </w:p>
        </w:tc>
        <w:tc>
          <w:tcPr>
            <w:tcW w:w="5196" w:type="dxa"/>
            <w:vAlign w:val="center"/>
          </w:tcPr>
          <w:p w14:paraId="475B17A9">
            <w:pPr>
              <w:adjustRightInd w:val="0"/>
              <w:snapToGrid w:val="0"/>
              <w:rPr>
                <w:sz w:val="21"/>
                <w:szCs w:val="21"/>
              </w:rPr>
            </w:pPr>
            <w:r>
              <w:rPr>
                <w:sz w:val="21"/>
                <w:szCs w:val="21"/>
              </w:rPr>
              <w:t>名称</w:t>
            </w:r>
          </w:p>
        </w:tc>
      </w:tr>
      <w:tr w14:paraId="0B88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105EEBC7">
            <w:pPr>
              <w:adjustRightInd w:val="0"/>
              <w:snapToGrid w:val="0"/>
              <w:jc w:val="center"/>
              <w:rPr>
                <w:sz w:val="21"/>
                <w:szCs w:val="21"/>
              </w:rPr>
            </w:pPr>
          </w:p>
        </w:tc>
        <w:tc>
          <w:tcPr>
            <w:tcW w:w="5196" w:type="dxa"/>
            <w:vAlign w:val="center"/>
          </w:tcPr>
          <w:p w14:paraId="2487DF27">
            <w:pPr>
              <w:adjustRightInd w:val="0"/>
              <w:snapToGrid w:val="0"/>
              <w:rPr>
                <w:sz w:val="21"/>
                <w:szCs w:val="21"/>
              </w:rPr>
            </w:pPr>
            <w:r>
              <w:rPr>
                <w:sz w:val="21"/>
                <w:szCs w:val="21"/>
              </w:rPr>
              <w:t>范围</w:t>
            </w:r>
          </w:p>
        </w:tc>
      </w:tr>
      <w:tr w14:paraId="2252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11C696C1">
            <w:pPr>
              <w:adjustRightInd w:val="0"/>
              <w:snapToGrid w:val="0"/>
              <w:jc w:val="center"/>
              <w:rPr>
                <w:sz w:val="21"/>
                <w:szCs w:val="21"/>
              </w:rPr>
            </w:pPr>
          </w:p>
        </w:tc>
        <w:tc>
          <w:tcPr>
            <w:tcW w:w="5196" w:type="dxa"/>
            <w:vAlign w:val="center"/>
          </w:tcPr>
          <w:p w14:paraId="0A921C3E">
            <w:pPr>
              <w:adjustRightInd w:val="0"/>
              <w:snapToGrid w:val="0"/>
              <w:rPr>
                <w:sz w:val="21"/>
                <w:szCs w:val="21"/>
              </w:rPr>
            </w:pPr>
            <w:r>
              <w:rPr>
                <w:sz w:val="21"/>
                <w:szCs w:val="21"/>
              </w:rPr>
              <w:t>规范性引用文件</w:t>
            </w:r>
          </w:p>
        </w:tc>
      </w:tr>
      <w:tr w14:paraId="3A97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restart"/>
            <w:vAlign w:val="center"/>
          </w:tcPr>
          <w:p w14:paraId="481BD166">
            <w:pPr>
              <w:adjustRightInd w:val="0"/>
              <w:snapToGrid w:val="0"/>
              <w:jc w:val="center"/>
              <w:rPr>
                <w:sz w:val="21"/>
                <w:szCs w:val="21"/>
              </w:rPr>
            </w:pPr>
            <w:r>
              <w:rPr>
                <w:sz w:val="21"/>
                <w:szCs w:val="21"/>
              </w:rPr>
              <w:t>规范性技术要素</w:t>
            </w:r>
          </w:p>
        </w:tc>
        <w:tc>
          <w:tcPr>
            <w:tcW w:w="5196" w:type="dxa"/>
            <w:vAlign w:val="center"/>
          </w:tcPr>
          <w:p w14:paraId="6E3D23E6">
            <w:pPr>
              <w:adjustRightInd w:val="0"/>
              <w:snapToGrid w:val="0"/>
              <w:rPr>
                <w:sz w:val="21"/>
                <w:szCs w:val="21"/>
              </w:rPr>
            </w:pPr>
            <w:r>
              <w:rPr>
                <w:sz w:val="21"/>
                <w:szCs w:val="21"/>
              </w:rPr>
              <w:t>术语和定义</w:t>
            </w:r>
          </w:p>
        </w:tc>
      </w:tr>
      <w:tr w14:paraId="70BA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50CD898E">
            <w:pPr>
              <w:adjustRightInd w:val="0"/>
              <w:snapToGrid w:val="0"/>
              <w:jc w:val="center"/>
              <w:rPr>
                <w:sz w:val="21"/>
                <w:szCs w:val="21"/>
              </w:rPr>
            </w:pPr>
          </w:p>
        </w:tc>
        <w:tc>
          <w:tcPr>
            <w:tcW w:w="5196" w:type="dxa"/>
            <w:vAlign w:val="center"/>
          </w:tcPr>
          <w:p w14:paraId="7822F914">
            <w:pPr>
              <w:adjustRightInd w:val="0"/>
              <w:snapToGrid w:val="0"/>
              <w:rPr>
                <w:sz w:val="21"/>
                <w:szCs w:val="21"/>
              </w:rPr>
            </w:pPr>
            <w:bookmarkStart w:id="19" w:name="OLE_LINK79"/>
            <w:r>
              <w:rPr>
                <w:kern w:val="0"/>
                <w:sz w:val="21"/>
                <w:szCs w:val="21"/>
              </w:rPr>
              <w:t>采收</w:t>
            </w:r>
            <w:bookmarkEnd w:id="19"/>
          </w:p>
        </w:tc>
      </w:tr>
      <w:tr w14:paraId="5C63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3C29F04E">
            <w:pPr>
              <w:adjustRightInd w:val="0"/>
              <w:snapToGrid w:val="0"/>
              <w:jc w:val="center"/>
              <w:rPr>
                <w:sz w:val="21"/>
                <w:szCs w:val="21"/>
              </w:rPr>
            </w:pPr>
          </w:p>
        </w:tc>
        <w:tc>
          <w:tcPr>
            <w:tcW w:w="5196" w:type="dxa"/>
            <w:vAlign w:val="center"/>
          </w:tcPr>
          <w:p w14:paraId="2FF4C62A">
            <w:pPr>
              <w:adjustRightInd w:val="0"/>
              <w:snapToGrid w:val="0"/>
              <w:rPr>
                <w:sz w:val="21"/>
                <w:szCs w:val="21"/>
              </w:rPr>
            </w:pPr>
            <w:r>
              <w:rPr>
                <w:kern w:val="0"/>
                <w:sz w:val="21"/>
                <w:szCs w:val="21"/>
              </w:rPr>
              <w:t>脱苞</w:t>
            </w:r>
          </w:p>
        </w:tc>
      </w:tr>
      <w:tr w14:paraId="76AF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5F0321B6">
            <w:pPr>
              <w:adjustRightInd w:val="0"/>
              <w:snapToGrid w:val="0"/>
              <w:jc w:val="center"/>
              <w:rPr>
                <w:sz w:val="21"/>
                <w:szCs w:val="21"/>
              </w:rPr>
            </w:pPr>
          </w:p>
        </w:tc>
        <w:tc>
          <w:tcPr>
            <w:tcW w:w="5196" w:type="dxa"/>
            <w:vAlign w:val="center"/>
          </w:tcPr>
          <w:p w14:paraId="163126ED">
            <w:pPr>
              <w:adjustRightInd w:val="0"/>
              <w:snapToGrid w:val="0"/>
              <w:rPr>
                <w:sz w:val="21"/>
                <w:szCs w:val="21"/>
              </w:rPr>
            </w:pPr>
            <w:r>
              <w:rPr>
                <w:kern w:val="0"/>
                <w:sz w:val="21"/>
                <w:szCs w:val="21"/>
              </w:rPr>
              <w:t>干燥</w:t>
            </w:r>
          </w:p>
        </w:tc>
      </w:tr>
      <w:tr w14:paraId="03C9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33252DB2">
            <w:pPr>
              <w:adjustRightInd w:val="0"/>
              <w:snapToGrid w:val="0"/>
              <w:jc w:val="center"/>
              <w:rPr>
                <w:sz w:val="21"/>
                <w:szCs w:val="21"/>
              </w:rPr>
            </w:pPr>
          </w:p>
        </w:tc>
        <w:tc>
          <w:tcPr>
            <w:tcW w:w="5196" w:type="dxa"/>
            <w:vAlign w:val="center"/>
          </w:tcPr>
          <w:p w14:paraId="3456DF81">
            <w:pPr>
              <w:adjustRightInd w:val="0"/>
              <w:snapToGrid w:val="0"/>
              <w:rPr>
                <w:sz w:val="21"/>
                <w:szCs w:val="21"/>
              </w:rPr>
            </w:pPr>
            <w:r>
              <w:rPr>
                <w:kern w:val="0"/>
                <w:sz w:val="21"/>
                <w:szCs w:val="21"/>
              </w:rPr>
              <w:t>分选</w:t>
            </w:r>
          </w:p>
        </w:tc>
      </w:tr>
      <w:tr w14:paraId="17CD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574B4628">
            <w:pPr>
              <w:adjustRightInd w:val="0"/>
              <w:snapToGrid w:val="0"/>
              <w:jc w:val="center"/>
              <w:rPr>
                <w:sz w:val="21"/>
                <w:szCs w:val="21"/>
              </w:rPr>
            </w:pPr>
          </w:p>
        </w:tc>
        <w:tc>
          <w:tcPr>
            <w:tcW w:w="5196" w:type="dxa"/>
            <w:vAlign w:val="center"/>
          </w:tcPr>
          <w:p w14:paraId="7DCF611E">
            <w:pPr>
              <w:adjustRightInd w:val="0"/>
              <w:snapToGrid w:val="0"/>
              <w:rPr>
                <w:sz w:val="21"/>
                <w:szCs w:val="21"/>
              </w:rPr>
            </w:pPr>
            <w:r>
              <w:rPr>
                <w:sz w:val="21"/>
                <w:szCs w:val="21"/>
              </w:rPr>
              <w:t>分级</w:t>
            </w:r>
          </w:p>
        </w:tc>
      </w:tr>
      <w:tr w14:paraId="4BCF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48999B81">
            <w:pPr>
              <w:adjustRightInd w:val="0"/>
              <w:snapToGrid w:val="0"/>
              <w:jc w:val="center"/>
              <w:rPr>
                <w:sz w:val="21"/>
                <w:szCs w:val="21"/>
              </w:rPr>
            </w:pPr>
          </w:p>
        </w:tc>
        <w:tc>
          <w:tcPr>
            <w:tcW w:w="5196" w:type="dxa"/>
            <w:vAlign w:val="center"/>
          </w:tcPr>
          <w:p w14:paraId="47EF8BB7">
            <w:pPr>
              <w:adjustRightInd w:val="0"/>
              <w:snapToGrid w:val="0"/>
              <w:rPr>
                <w:sz w:val="21"/>
                <w:szCs w:val="21"/>
              </w:rPr>
            </w:pPr>
            <w:r>
              <w:rPr>
                <w:sz w:val="21"/>
                <w:szCs w:val="21"/>
              </w:rPr>
              <w:t>脱壳</w:t>
            </w:r>
          </w:p>
        </w:tc>
      </w:tr>
      <w:tr w14:paraId="7E6A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7B677CC1">
            <w:pPr>
              <w:adjustRightInd w:val="0"/>
              <w:snapToGrid w:val="0"/>
              <w:jc w:val="center"/>
              <w:rPr>
                <w:sz w:val="21"/>
                <w:szCs w:val="21"/>
              </w:rPr>
            </w:pPr>
          </w:p>
        </w:tc>
        <w:tc>
          <w:tcPr>
            <w:tcW w:w="5196" w:type="dxa"/>
            <w:vAlign w:val="center"/>
          </w:tcPr>
          <w:p w14:paraId="4C29E608">
            <w:pPr>
              <w:adjustRightInd w:val="0"/>
              <w:snapToGrid w:val="0"/>
              <w:rPr>
                <w:sz w:val="21"/>
                <w:szCs w:val="21"/>
              </w:rPr>
            </w:pPr>
            <w:r>
              <w:rPr>
                <w:sz w:val="21"/>
                <w:szCs w:val="21"/>
              </w:rPr>
              <w:t>去皮</w:t>
            </w:r>
          </w:p>
        </w:tc>
      </w:tr>
      <w:tr w14:paraId="2E25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5D714405">
            <w:pPr>
              <w:adjustRightInd w:val="0"/>
              <w:snapToGrid w:val="0"/>
              <w:jc w:val="center"/>
              <w:rPr>
                <w:sz w:val="21"/>
                <w:szCs w:val="21"/>
              </w:rPr>
            </w:pPr>
          </w:p>
        </w:tc>
        <w:tc>
          <w:tcPr>
            <w:tcW w:w="5196" w:type="dxa"/>
            <w:vAlign w:val="center"/>
          </w:tcPr>
          <w:p w14:paraId="5D4B55BF">
            <w:pPr>
              <w:adjustRightInd w:val="0"/>
              <w:snapToGrid w:val="0"/>
              <w:rPr>
                <w:sz w:val="21"/>
                <w:szCs w:val="21"/>
              </w:rPr>
            </w:pPr>
            <w:r>
              <w:rPr>
                <w:sz w:val="21"/>
                <w:szCs w:val="21"/>
              </w:rPr>
              <w:t>包装</w:t>
            </w:r>
          </w:p>
        </w:tc>
      </w:tr>
      <w:tr w14:paraId="116B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71623333">
            <w:pPr>
              <w:adjustRightInd w:val="0"/>
              <w:snapToGrid w:val="0"/>
              <w:jc w:val="center"/>
              <w:rPr>
                <w:sz w:val="21"/>
                <w:szCs w:val="21"/>
              </w:rPr>
            </w:pPr>
          </w:p>
        </w:tc>
        <w:tc>
          <w:tcPr>
            <w:tcW w:w="5196" w:type="dxa"/>
            <w:vAlign w:val="center"/>
          </w:tcPr>
          <w:p w14:paraId="5F531579">
            <w:pPr>
              <w:adjustRightInd w:val="0"/>
              <w:snapToGrid w:val="0"/>
              <w:rPr>
                <w:sz w:val="21"/>
                <w:szCs w:val="21"/>
              </w:rPr>
            </w:pPr>
            <w:r>
              <w:rPr>
                <w:sz w:val="21"/>
                <w:szCs w:val="21"/>
              </w:rPr>
              <w:t>标识</w:t>
            </w:r>
          </w:p>
        </w:tc>
      </w:tr>
      <w:tr w14:paraId="7EA1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265" w:type="dxa"/>
            <w:vMerge w:val="continue"/>
            <w:vAlign w:val="center"/>
          </w:tcPr>
          <w:p w14:paraId="1CB20342">
            <w:pPr>
              <w:adjustRightInd w:val="0"/>
              <w:snapToGrid w:val="0"/>
              <w:jc w:val="center"/>
              <w:rPr>
                <w:sz w:val="21"/>
                <w:szCs w:val="21"/>
              </w:rPr>
            </w:pPr>
          </w:p>
        </w:tc>
        <w:tc>
          <w:tcPr>
            <w:tcW w:w="5196" w:type="dxa"/>
            <w:vAlign w:val="center"/>
          </w:tcPr>
          <w:p w14:paraId="7433B485">
            <w:pPr>
              <w:adjustRightInd w:val="0"/>
              <w:snapToGrid w:val="0"/>
              <w:rPr>
                <w:sz w:val="21"/>
                <w:szCs w:val="21"/>
              </w:rPr>
            </w:pPr>
            <w:r>
              <w:rPr>
                <w:sz w:val="21"/>
                <w:szCs w:val="21"/>
              </w:rPr>
              <w:t>贮存</w:t>
            </w:r>
          </w:p>
        </w:tc>
      </w:tr>
    </w:tbl>
    <w:p w14:paraId="6C5639F8">
      <w:pPr>
        <w:adjustRightInd w:val="0"/>
        <w:snapToGrid w:val="0"/>
        <w:spacing w:before="50" w:after="156" w:afterLines="50" w:line="300" w:lineRule="auto"/>
        <w:ind w:firstLine="480" w:firstLineChars="200"/>
        <w:rPr>
          <w:sz w:val="24"/>
          <w:szCs w:val="24"/>
        </w:rPr>
      </w:pPr>
    </w:p>
    <w:p w14:paraId="52EAED2B">
      <w:pPr>
        <w:adjustRightInd w:val="0"/>
        <w:snapToGrid w:val="0"/>
        <w:spacing w:before="50" w:after="156" w:afterLines="50" w:line="300" w:lineRule="auto"/>
        <w:ind w:firstLine="480" w:firstLineChars="200"/>
        <w:rPr>
          <w:sz w:val="24"/>
          <w:szCs w:val="24"/>
        </w:rPr>
      </w:pPr>
      <w:r>
        <w:rPr>
          <w:sz w:val="24"/>
          <w:szCs w:val="24"/>
        </w:rPr>
        <w:t>（2）第1章 范围</w:t>
      </w:r>
    </w:p>
    <w:p w14:paraId="790E1E34">
      <w:pPr>
        <w:adjustRightInd w:val="0"/>
        <w:snapToGrid w:val="0"/>
        <w:spacing w:before="50" w:after="156" w:afterLines="50" w:line="300" w:lineRule="auto"/>
        <w:ind w:firstLine="480" w:firstLineChars="200"/>
        <w:rPr>
          <w:sz w:val="24"/>
          <w:szCs w:val="24"/>
        </w:rPr>
      </w:pPr>
      <w:r>
        <w:rPr>
          <w:sz w:val="24"/>
          <w:szCs w:val="24"/>
        </w:rPr>
        <w:t>根据榛子种植、生产与采后实际应用情况，规定了本文件的内容和适用范围。</w:t>
      </w:r>
    </w:p>
    <w:p w14:paraId="00796FE7">
      <w:pPr>
        <w:adjustRightInd w:val="0"/>
        <w:snapToGrid w:val="0"/>
        <w:spacing w:before="50" w:after="156" w:afterLines="50" w:line="300" w:lineRule="auto"/>
        <w:ind w:firstLine="480" w:firstLineChars="200"/>
        <w:rPr>
          <w:sz w:val="24"/>
          <w:szCs w:val="24"/>
        </w:rPr>
      </w:pPr>
      <w:r>
        <w:rPr>
          <w:sz w:val="24"/>
          <w:szCs w:val="24"/>
        </w:rPr>
        <w:t>（3）第2章 规范性引用文件</w:t>
      </w:r>
    </w:p>
    <w:p w14:paraId="591C02AC">
      <w:pPr>
        <w:adjustRightInd w:val="0"/>
        <w:snapToGrid w:val="0"/>
        <w:spacing w:before="50" w:after="156" w:afterLines="50" w:line="300" w:lineRule="auto"/>
        <w:ind w:firstLine="480" w:firstLineChars="200"/>
        <w:rPr>
          <w:sz w:val="24"/>
          <w:szCs w:val="24"/>
        </w:rPr>
      </w:pPr>
      <w:r>
        <w:rPr>
          <w:sz w:val="24"/>
          <w:szCs w:val="24"/>
        </w:rPr>
        <w:t>规范性引用文件的列示采用了GB/T1.1—2020要求的格式。根据文本技术内容的要求，引用有关文件6项。卫生指标、重金属和农残</w:t>
      </w:r>
      <w:bookmarkStart w:id="20" w:name="OLE_LINK89"/>
      <w:r>
        <w:rPr>
          <w:sz w:val="24"/>
          <w:szCs w:val="24"/>
        </w:rPr>
        <w:t>等属于国家强制性要求，根据GB/T1.1—2020的规定，国家强制标准无需列出。</w:t>
      </w:r>
      <w:bookmarkEnd w:id="20"/>
    </w:p>
    <w:p w14:paraId="4E7F75A9">
      <w:pPr>
        <w:adjustRightInd w:val="0"/>
        <w:snapToGrid w:val="0"/>
        <w:spacing w:before="50" w:after="156" w:afterLines="50" w:line="300" w:lineRule="auto"/>
        <w:ind w:firstLine="480" w:firstLineChars="200"/>
        <w:rPr>
          <w:sz w:val="24"/>
          <w:szCs w:val="24"/>
        </w:rPr>
      </w:pPr>
      <w:r>
        <w:rPr>
          <w:sz w:val="24"/>
          <w:szCs w:val="24"/>
        </w:rPr>
        <w:t xml:space="preserve">（4）第4章 </w:t>
      </w:r>
      <w:bookmarkStart w:id="21" w:name="OLE_LINK87"/>
      <w:bookmarkStart w:id="22" w:name="OLE_LINK92"/>
      <w:bookmarkStart w:id="23" w:name="OLE_LINK93"/>
      <w:r>
        <w:rPr>
          <w:sz w:val="24"/>
          <w:szCs w:val="24"/>
        </w:rPr>
        <w:t>榛坚果采后商品化处理程序</w:t>
      </w:r>
      <w:bookmarkEnd w:id="21"/>
      <w:r>
        <w:rPr>
          <w:sz w:val="24"/>
          <w:szCs w:val="24"/>
        </w:rPr>
        <w:t>的构成</w:t>
      </w:r>
      <w:bookmarkEnd w:id="22"/>
    </w:p>
    <w:p w14:paraId="0AD1C16B">
      <w:pPr>
        <w:adjustRightInd w:val="0"/>
        <w:snapToGrid w:val="0"/>
        <w:spacing w:before="50" w:after="156" w:afterLines="50" w:line="300" w:lineRule="auto"/>
        <w:ind w:firstLine="480" w:firstLineChars="200"/>
        <w:rPr>
          <w:sz w:val="24"/>
          <w:szCs w:val="24"/>
        </w:rPr>
      </w:pPr>
      <w:r>
        <w:rPr>
          <w:sz w:val="24"/>
          <w:szCs w:val="24"/>
        </w:rPr>
        <w:t>按照GB/T1.1—2020给出的规则，绘制了程序流程图，如图1：</w:t>
      </w:r>
    </w:p>
    <w:p w14:paraId="2BF5E45D">
      <w:pPr>
        <w:adjustRightInd w:val="0"/>
        <w:snapToGrid w:val="0"/>
        <w:spacing w:before="50" w:after="156" w:afterLines="50" w:line="300" w:lineRule="auto"/>
        <w:ind w:firstLine="420" w:firstLineChars="200"/>
        <w:jc w:val="center"/>
        <w:rPr>
          <w:szCs w:val="21"/>
        </w:rPr>
      </w:pPr>
      <w:r>
        <w:rPr>
          <w:szCs w:val="21"/>
        </w:rPr>
        <w:drawing>
          <wp:inline distT="0" distB="0" distL="0" distR="0">
            <wp:extent cx="4935220" cy="2122805"/>
            <wp:effectExtent l="0" t="0" r="17780" b="10795"/>
            <wp:docPr id="14135105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10542" name="图片 1"/>
                    <pic:cNvPicPr>
                      <a:picLocks noChangeAspect="1"/>
                    </pic:cNvPicPr>
                  </pic:nvPicPr>
                  <pic:blipFill>
                    <a:blip r:embed="rId5"/>
                    <a:stretch>
                      <a:fillRect/>
                    </a:stretch>
                  </pic:blipFill>
                  <pic:spPr>
                    <a:xfrm>
                      <a:off x="0" y="0"/>
                      <a:ext cx="4935220" cy="2122805"/>
                    </a:xfrm>
                    <a:prstGeom prst="rect">
                      <a:avLst/>
                    </a:prstGeom>
                  </pic:spPr>
                </pic:pic>
              </a:graphicData>
            </a:graphic>
          </wp:inline>
        </w:drawing>
      </w:r>
    </w:p>
    <w:p w14:paraId="134689FF">
      <w:pPr>
        <w:pStyle w:val="13"/>
        <w:ind w:firstLine="0" w:firstLineChars="0"/>
        <w:jc w:val="center"/>
        <w:rPr>
          <w:rFonts w:ascii="Times New Roman"/>
          <w:sz w:val="24"/>
          <w:szCs w:val="24"/>
        </w:rPr>
      </w:pPr>
      <w:r>
        <w:rPr>
          <w:rFonts w:ascii="Times New Roman"/>
          <w:b/>
          <w:sz w:val="24"/>
          <w:szCs w:val="24"/>
        </w:rPr>
        <w:t xml:space="preserve">图1 </w:t>
      </w:r>
      <w:bookmarkStart w:id="24" w:name="OLE_LINK94"/>
      <w:r>
        <w:rPr>
          <w:rFonts w:ascii="Times New Roman"/>
          <w:sz w:val="24"/>
          <w:szCs w:val="24"/>
        </w:rPr>
        <w:t>榛坚果采后商品化处理程序流程图</w:t>
      </w:r>
      <w:bookmarkEnd w:id="24"/>
    </w:p>
    <w:bookmarkEnd w:id="23"/>
    <w:p w14:paraId="1428B6AF">
      <w:pPr>
        <w:pStyle w:val="13"/>
        <w:ind w:firstLine="0" w:firstLineChars="0"/>
        <w:jc w:val="center"/>
        <w:rPr>
          <w:rFonts w:ascii="Times New Roman"/>
          <w:b/>
          <w:sz w:val="24"/>
          <w:szCs w:val="24"/>
        </w:rPr>
      </w:pPr>
    </w:p>
    <w:p w14:paraId="78F51024">
      <w:pPr>
        <w:adjustRightInd w:val="0"/>
        <w:snapToGrid w:val="0"/>
        <w:spacing w:before="50" w:after="156" w:afterLines="50" w:line="300" w:lineRule="auto"/>
        <w:ind w:firstLine="480" w:firstLineChars="200"/>
        <w:rPr>
          <w:sz w:val="24"/>
          <w:szCs w:val="24"/>
        </w:rPr>
      </w:pPr>
      <w:r>
        <w:rPr>
          <w:sz w:val="24"/>
          <w:szCs w:val="24"/>
        </w:rPr>
        <w:t>（5）第5章 采收</w:t>
      </w:r>
    </w:p>
    <w:p w14:paraId="6C793A99">
      <w:pPr>
        <w:adjustRightInd w:val="0"/>
        <w:snapToGrid w:val="0"/>
        <w:spacing w:before="50" w:after="156" w:afterLines="50" w:line="300" w:lineRule="auto"/>
        <w:ind w:firstLine="480" w:firstLineChars="200"/>
        <w:rPr>
          <w:sz w:val="24"/>
          <w:szCs w:val="24"/>
        </w:rPr>
      </w:pPr>
      <w:r>
        <w:rPr>
          <w:sz w:val="24"/>
          <w:szCs w:val="24"/>
        </w:rPr>
        <w:t>坚果成熟度、坚果成熟自然落地后的及时捡拾以及采收后及时摊晾是保障坚果具有良好感官品质和营养品质、减少霉变的重要操作环节。本章节对加工用榛坚果的采收成熟度、采收方法和采后处置方法进行了规定，对于指导生产具有重要意义。</w:t>
      </w:r>
    </w:p>
    <w:p w14:paraId="74002E41">
      <w:pPr>
        <w:adjustRightInd w:val="0"/>
        <w:snapToGrid w:val="0"/>
        <w:spacing w:before="50" w:after="156" w:afterLines="50" w:line="300" w:lineRule="auto"/>
        <w:ind w:firstLine="480" w:firstLineChars="200"/>
        <w:rPr>
          <w:sz w:val="24"/>
          <w:szCs w:val="24"/>
        </w:rPr>
      </w:pPr>
      <w:r>
        <w:rPr>
          <w:sz w:val="24"/>
          <w:szCs w:val="24"/>
        </w:rPr>
        <w:t>（6）</w:t>
      </w:r>
      <w:bookmarkStart w:id="25" w:name="OLE_LINK91"/>
      <w:r>
        <w:rPr>
          <w:sz w:val="24"/>
          <w:szCs w:val="24"/>
        </w:rPr>
        <w:t>第6章</w:t>
      </w:r>
      <w:bookmarkEnd w:id="25"/>
      <w:r>
        <w:rPr>
          <w:sz w:val="24"/>
          <w:szCs w:val="24"/>
        </w:rPr>
        <w:t xml:space="preserve"> 脱苞</w:t>
      </w:r>
    </w:p>
    <w:p w14:paraId="57BFAB77">
      <w:pPr>
        <w:adjustRightInd w:val="0"/>
        <w:snapToGrid w:val="0"/>
        <w:spacing w:before="50" w:after="156" w:afterLines="50" w:line="300" w:lineRule="auto"/>
        <w:ind w:firstLine="480" w:firstLineChars="200"/>
        <w:rPr>
          <w:sz w:val="24"/>
          <w:szCs w:val="24"/>
        </w:rPr>
      </w:pPr>
      <w:r>
        <w:rPr>
          <w:sz w:val="24"/>
          <w:szCs w:val="24"/>
        </w:rPr>
        <w:t>成熟坚果采收时通常带果苞。采收后及时进行脱苞处理是保障坚果良好外观和减少坚果霉烂变质的必要流程。本章节规定了榛坚果采收后应采用榛子专用脱包机及时脱除果苞。</w:t>
      </w:r>
    </w:p>
    <w:p w14:paraId="1BF1D87F">
      <w:pPr>
        <w:adjustRightInd w:val="0"/>
        <w:snapToGrid w:val="0"/>
        <w:spacing w:before="50" w:after="156" w:afterLines="50" w:line="300" w:lineRule="auto"/>
        <w:ind w:firstLine="480" w:firstLineChars="200"/>
        <w:rPr>
          <w:sz w:val="24"/>
          <w:szCs w:val="24"/>
        </w:rPr>
      </w:pPr>
      <w:r>
        <w:rPr>
          <w:sz w:val="24"/>
          <w:szCs w:val="24"/>
        </w:rPr>
        <w:t>（7）第7章 干燥</w:t>
      </w:r>
    </w:p>
    <w:p w14:paraId="7F8FF8B7">
      <w:pPr>
        <w:adjustRightInd w:val="0"/>
        <w:snapToGrid w:val="0"/>
        <w:spacing w:before="50" w:after="156" w:afterLines="50" w:line="300" w:lineRule="auto"/>
        <w:ind w:firstLine="480" w:firstLineChars="200"/>
        <w:rPr>
          <w:sz w:val="24"/>
          <w:szCs w:val="24"/>
        </w:rPr>
      </w:pPr>
      <w:r>
        <w:rPr>
          <w:sz w:val="24"/>
          <w:szCs w:val="24"/>
        </w:rPr>
        <w:t>成熟榛坚果采收时含水量较高。国内外通行的作为干坚果进行市场交易时的含水量要求不高于10%。因此，采后干燥是榛坚果采后处理的重要环节。本章节对榛坚果采后干燥处理的方法进行了规定，提出了保证坚果质量的干燥技术参数。</w:t>
      </w:r>
    </w:p>
    <w:p w14:paraId="5AB5BC5B">
      <w:pPr>
        <w:adjustRightInd w:val="0"/>
        <w:snapToGrid w:val="0"/>
        <w:spacing w:before="50" w:after="156" w:afterLines="50" w:line="300" w:lineRule="auto"/>
        <w:ind w:firstLine="480" w:firstLineChars="200"/>
        <w:rPr>
          <w:sz w:val="24"/>
          <w:szCs w:val="24"/>
        </w:rPr>
      </w:pPr>
      <w:r>
        <w:rPr>
          <w:sz w:val="24"/>
          <w:szCs w:val="24"/>
        </w:rPr>
        <w:t>（8）第8章 分选</w:t>
      </w:r>
    </w:p>
    <w:p w14:paraId="641BD743">
      <w:pPr>
        <w:adjustRightInd w:val="0"/>
        <w:snapToGrid w:val="0"/>
        <w:spacing w:before="50" w:after="156" w:afterLines="50" w:line="300" w:lineRule="auto"/>
        <w:ind w:firstLine="480" w:firstLineChars="200"/>
        <w:rPr>
          <w:sz w:val="24"/>
          <w:szCs w:val="24"/>
        </w:rPr>
      </w:pPr>
      <w:r>
        <w:rPr>
          <w:sz w:val="24"/>
          <w:szCs w:val="24"/>
        </w:rPr>
        <w:t>良好的品质是榛坚果加工利用的必要条件，因此在坚果收购和市场交易时往往对原料的好果率有要求，即原料中的空壳果、腐烂果、缺陷果、畸形果等残次果以及物理杂质的比例不能高于限定值。通常智能机械分选的榛坚果及果仁原料的收购价格要远高于未经分选的原料价格。因此，本章节对原料分选环节进行了规定，作为榛坚果采后商品化处理的必要技术环节之一。</w:t>
      </w:r>
    </w:p>
    <w:p w14:paraId="6A4628B3">
      <w:pPr>
        <w:adjustRightInd w:val="0"/>
        <w:snapToGrid w:val="0"/>
        <w:spacing w:before="50" w:after="156" w:afterLines="50" w:line="300" w:lineRule="auto"/>
        <w:ind w:firstLine="480" w:firstLineChars="200"/>
        <w:rPr>
          <w:sz w:val="24"/>
          <w:szCs w:val="24"/>
        </w:rPr>
      </w:pPr>
      <w:r>
        <w:rPr>
          <w:sz w:val="24"/>
          <w:szCs w:val="24"/>
        </w:rPr>
        <w:t>（9）第9章 分级</w:t>
      </w:r>
    </w:p>
    <w:p w14:paraId="617EE879">
      <w:pPr>
        <w:adjustRightInd w:val="0"/>
        <w:snapToGrid w:val="0"/>
        <w:spacing w:before="50" w:after="156" w:afterLines="50" w:line="300" w:lineRule="auto"/>
        <w:ind w:firstLine="480" w:firstLineChars="200"/>
        <w:rPr>
          <w:sz w:val="24"/>
          <w:szCs w:val="24"/>
        </w:rPr>
      </w:pPr>
      <w:r>
        <w:rPr>
          <w:sz w:val="24"/>
          <w:szCs w:val="24"/>
        </w:rPr>
        <w:t>分级是榛坚果采后商品化处理的环节之一。对于需要进行脱壳处理的坚果而言，分级是必要的技术环节。此外，分级后的坚果及果仁在市场交易中的价格存在等级差异。榛坚果通常按照大小进行分级，具有相同等级的坚果在脱壳处理时由于有着相近的果径而使其在常规挤压式脱壳机中更容易获得完整榛仁，显著提高整仁率。因此，本章节对原料分级环节进行了规定，提出了坚果及果仁分级的参考依据。</w:t>
      </w:r>
    </w:p>
    <w:p w14:paraId="0C67678D">
      <w:pPr>
        <w:adjustRightInd w:val="0"/>
        <w:snapToGrid w:val="0"/>
        <w:spacing w:before="50" w:after="156" w:afterLines="50" w:line="300" w:lineRule="auto"/>
        <w:ind w:firstLine="480" w:firstLineChars="200"/>
        <w:rPr>
          <w:sz w:val="24"/>
          <w:szCs w:val="24"/>
        </w:rPr>
      </w:pPr>
      <w:r>
        <w:rPr>
          <w:sz w:val="24"/>
          <w:szCs w:val="24"/>
        </w:rPr>
        <w:t>（10）第10章 脱壳</w:t>
      </w:r>
    </w:p>
    <w:p w14:paraId="11FC15A1">
      <w:pPr>
        <w:adjustRightInd w:val="0"/>
        <w:snapToGrid w:val="0"/>
        <w:spacing w:before="50" w:after="156" w:afterLines="50" w:line="300" w:lineRule="auto"/>
        <w:ind w:firstLine="480" w:firstLineChars="200"/>
        <w:rPr>
          <w:sz w:val="24"/>
          <w:szCs w:val="24"/>
        </w:rPr>
      </w:pPr>
      <w:r>
        <w:rPr>
          <w:sz w:val="24"/>
          <w:szCs w:val="24"/>
        </w:rPr>
        <w:t xml:space="preserve">榛仁是食品加工的重要原辅料，广泛用于各种类型的加工产品中。脱壳的目的是获得榛仁，是榛坚果采后商品化处理的重要环节之一。本章节对榛坚果脱壳处理进行了规定。 </w:t>
      </w:r>
    </w:p>
    <w:p w14:paraId="3F4B94A3">
      <w:pPr>
        <w:adjustRightInd w:val="0"/>
        <w:snapToGrid w:val="0"/>
        <w:spacing w:before="50" w:after="156" w:afterLines="50" w:line="300" w:lineRule="auto"/>
        <w:ind w:firstLine="480" w:firstLineChars="200"/>
        <w:rPr>
          <w:sz w:val="24"/>
          <w:szCs w:val="24"/>
        </w:rPr>
      </w:pPr>
      <w:r>
        <w:rPr>
          <w:sz w:val="24"/>
          <w:szCs w:val="24"/>
        </w:rPr>
        <w:t>（11）第11章 去皮</w:t>
      </w:r>
    </w:p>
    <w:p w14:paraId="30C369C3">
      <w:pPr>
        <w:adjustRightInd w:val="0"/>
        <w:snapToGrid w:val="0"/>
        <w:spacing w:before="50" w:after="156" w:afterLines="50" w:line="300" w:lineRule="auto"/>
        <w:ind w:firstLine="480" w:firstLineChars="200"/>
        <w:rPr>
          <w:sz w:val="24"/>
          <w:szCs w:val="24"/>
        </w:rPr>
      </w:pPr>
      <w:r>
        <w:rPr>
          <w:sz w:val="24"/>
          <w:szCs w:val="24"/>
        </w:rPr>
        <w:t>去皮榛仁是生产榛子碎、榛子片、榛子粉等初级加工原辅料和榛榛子乳等精深加工产品的重要原料，因此坚果收购和加工市场对去皮榛仁的需求十分旺盛。本章节根据生产实际对榛仁去皮的技术环节进行了规定，特别强调了湿法去皮后要将榛仁含水量降至10%以下的技术操作流程。</w:t>
      </w:r>
    </w:p>
    <w:p w14:paraId="3AC3FC02">
      <w:pPr>
        <w:adjustRightInd w:val="0"/>
        <w:snapToGrid w:val="0"/>
        <w:spacing w:before="50" w:after="156" w:afterLines="50" w:line="300" w:lineRule="auto"/>
        <w:ind w:firstLine="480" w:firstLineChars="200"/>
        <w:rPr>
          <w:sz w:val="24"/>
          <w:szCs w:val="24"/>
        </w:rPr>
      </w:pPr>
      <w:r>
        <w:rPr>
          <w:sz w:val="24"/>
          <w:szCs w:val="24"/>
        </w:rPr>
        <w:t>（12）第12章 包装</w:t>
      </w:r>
    </w:p>
    <w:p w14:paraId="1D2987B1">
      <w:pPr>
        <w:adjustRightInd w:val="0"/>
        <w:snapToGrid w:val="0"/>
        <w:spacing w:before="50" w:after="156" w:afterLines="50" w:line="300" w:lineRule="auto"/>
        <w:ind w:firstLine="480" w:firstLineChars="200"/>
        <w:rPr>
          <w:sz w:val="24"/>
          <w:szCs w:val="24"/>
        </w:rPr>
      </w:pPr>
      <w:r>
        <w:rPr>
          <w:sz w:val="24"/>
          <w:szCs w:val="24"/>
        </w:rPr>
        <w:t>包装是榛坚果采后商品化处理的重要技术环节。包装质量直接影响榛坚果及果仁产品的贮藏加工品质。本章节对榛坚果及果仁的包装材料和包装方式提出了建议。</w:t>
      </w:r>
    </w:p>
    <w:p w14:paraId="64C2054B">
      <w:pPr>
        <w:adjustRightInd w:val="0"/>
        <w:snapToGrid w:val="0"/>
        <w:spacing w:before="50" w:after="156" w:afterLines="50" w:line="300" w:lineRule="auto"/>
        <w:ind w:firstLine="480" w:firstLineChars="200"/>
        <w:rPr>
          <w:sz w:val="24"/>
          <w:szCs w:val="24"/>
        </w:rPr>
      </w:pPr>
      <w:r>
        <w:rPr>
          <w:sz w:val="24"/>
          <w:szCs w:val="24"/>
        </w:rPr>
        <w:t>（13）第13章 标识</w:t>
      </w:r>
    </w:p>
    <w:p w14:paraId="119CBBE7">
      <w:pPr>
        <w:adjustRightInd w:val="0"/>
        <w:snapToGrid w:val="0"/>
        <w:spacing w:before="50" w:after="156" w:afterLines="50" w:line="300" w:lineRule="auto"/>
        <w:ind w:firstLine="480" w:firstLineChars="200"/>
        <w:rPr>
          <w:sz w:val="24"/>
          <w:szCs w:val="24"/>
        </w:rPr>
      </w:pPr>
      <w:r>
        <w:rPr>
          <w:sz w:val="24"/>
          <w:szCs w:val="24"/>
        </w:rPr>
        <w:t>本章节对包装标识的内容提出了建议，主要包括产品名称、产地、品种、等级规格、重量、采收日期、贮藏方式等，便于在收储、查验、流通等环节对产品基本信息进行识别。</w:t>
      </w:r>
    </w:p>
    <w:p w14:paraId="789D20E0">
      <w:pPr>
        <w:adjustRightInd w:val="0"/>
        <w:snapToGrid w:val="0"/>
        <w:spacing w:before="50" w:after="156" w:afterLines="50" w:line="300" w:lineRule="auto"/>
        <w:ind w:firstLine="480" w:firstLineChars="200"/>
        <w:rPr>
          <w:sz w:val="24"/>
          <w:szCs w:val="24"/>
        </w:rPr>
      </w:pPr>
      <w:r>
        <w:rPr>
          <w:sz w:val="24"/>
          <w:szCs w:val="24"/>
        </w:rPr>
        <w:t>（14）第14章 贮存</w:t>
      </w:r>
    </w:p>
    <w:p w14:paraId="159DA1A1">
      <w:pPr>
        <w:adjustRightInd w:val="0"/>
        <w:snapToGrid w:val="0"/>
        <w:spacing w:before="50" w:after="156" w:afterLines="50" w:line="300" w:lineRule="auto"/>
        <w:ind w:firstLine="480" w:firstLineChars="200"/>
        <w:rPr>
          <w:sz w:val="24"/>
          <w:szCs w:val="24"/>
        </w:rPr>
      </w:pPr>
      <w:r>
        <w:rPr>
          <w:sz w:val="24"/>
          <w:szCs w:val="24"/>
        </w:rPr>
        <w:t>榛坚果采收后经过上述一系列处理后获得的坚果及果仁产品在进入流通或加工利用环节之前需要进行贮存。贮存环境的温湿度、卫生等条件对产品品质和保质期有着重要影响。本章节引用了相关文件对榛坚果及果仁产品的贮存环节的技术进行了规定。</w:t>
      </w:r>
    </w:p>
    <w:p w14:paraId="70A7DC0B">
      <w:pPr>
        <w:spacing w:line="360" w:lineRule="auto"/>
        <w:ind w:firstLine="482" w:firstLineChars="200"/>
        <w:rPr>
          <w:rFonts w:eastAsia="黑体"/>
          <w:b/>
          <w:bCs/>
          <w:kern w:val="0"/>
          <w:sz w:val="24"/>
          <w:szCs w:val="24"/>
        </w:rPr>
      </w:pPr>
      <w:r>
        <w:rPr>
          <w:rFonts w:eastAsia="黑体"/>
          <w:b/>
          <w:bCs/>
          <w:kern w:val="0"/>
          <w:sz w:val="24"/>
          <w:szCs w:val="24"/>
        </w:rPr>
        <w:t>三、主要试验（或验证）的分析、综述报告，技术经济论证，预期的经济效果</w:t>
      </w:r>
    </w:p>
    <w:p w14:paraId="288C8FFC">
      <w:pPr>
        <w:spacing w:line="360" w:lineRule="auto"/>
        <w:ind w:firstLine="482" w:firstLineChars="200"/>
        <w:rPr>
          <w:b/>
          <w:sz w:val="24"/>
          <w:szCs w:val="24"/>
        </w:rPr>
      </w:pPr>
      <w:r>
        <w:rPr>
          <w:b/>
          <w:sz w:val="24"/>
          <w:szCs w:val="24"/>
        </w:rPr>
        <w:t>1. 试验验证的分析与综述报告</w:t>
      </w:r>
    </w:p>
    <w:p w14:paraId="1BBAB276">
      <w:pPr>
        <w:adjustRightInd w:val="0"/>
        <w:snapToGrid w:val="0"/>
        <w:spacing w:before="50" w:after="156" w:afterLines="50" w:line="300" w:lineRule="auto"/>
        <w:ind w:firstLine="480" w:firstLineChars="200"/>
        <w:rPr>
          <w:sz w:val="24"/>
          <w:szCs w:val="24"/>
        </w:rPr>
      </w:pPr>
      <w:r>
        <w:rPr>
          <w:sz w:val="24"/>
          <w:szCs w:val="24"/>
        </w:rPr>
        <w:t>榛子是世界上最有价值的树坚果之一，</w:t>
      </w:r>
      <w:bookmarkStart w:id="26" w:name="OLE_LINK62"/>
      <w:r>
        <w:rPr>
          <w:sz w:val="24"/>
          <w:szCs w:val="24"/>
        </w:rPr>
        <w:t>因其浓郁的风味和丰富的营养，已成为全球众多美食中不可或缺的元素，在食品加工中占据越来越重要的地位</w:t>
      </w:r>
      <w:bookmarkEnd w:id="26"/>
      <w:r>
        <w:rPr>
          <w:sz w:val="24"/>
          <w:szCs w:val="24"/>
        </w:rPr>
        <w:t>。在欧美国家以及传统榛子生产国，每年收获的榛子中</w:t>
      </w:r>
      <w:bookmarkStart w:id="27" w:name="OLE_LINK58"/>
      <w:r>
        <w:rPr>
          <w:sz w:val="24"/>
          <w:szCs w:val="24"/>
        </w:rPr>
        <w:t>大约5%左右以带壳焙烤坚果</w:t>
      </w:r>
      <w:bookmarkEnd w:id="27"/>
      <w:r>
        <w:rPr>
          <w:sz w:val="24"/>
          <w:szCs w:val="24"/>
        </w:rPr>
        <w:t>的形式上市销售，其余95%的坚果以榛仁、榛仁碎、榛子酱等不同的形式作为食品加工的原辅料制作成各类产品，如糖果、巧克力、甜点、榛子油、榛子乳饮品等；在很多传统的榛子生产国中，榛子还是各式菜肴的重要食材。</w:t>
      </w:r>
    </w:p>
    <w:p w14:paraId="4782EE1D">
      <w:pPr>
        <w:adjustRightInd w:val="0"/>
        <w:snapToGrid w:val="0"/>
        <w:spacing w:before="50" w:after="156" w:afterLines="50" w:line="300" w:lineRule="auto"/>
        <w:ind w:firstLine="480" w:firstLineChars="200"/>
        <w:rPr>
          <w:sz w:val="24"/>
          <w:szCs w:val="24"/>
        </w:rPr>
      </w:pPr>
      <w:r>
        <w:rPr>
          <w:sz w:val="24"/>
          <w:szCs w:val="24"/>
        </w:rPr>
        <w:t>榛子作为我国新兴的重要木本林粮经济林树种，是重要的优质森林食物来源。近年来，我国榛子种植范围逐渐扩大，种植面积逐年增加，榛子产业快速发展。随着更多榛园逐渐进入盛果期，我国榛坚果产量迅速增加。目前，我国在榛坚果采收及采收生产环节的规范技术缺失，没有统一的标准，因坚果采收不及时、采收和采后处理方法不当导致商品坚果中腐烂霉变和空壳瘪仁率高、品种混杂、成熟度不一致等，严重影响了榛坚果的整体商品质量，“品质差、价格低、卖果难”的状况持续深刻影响着整个榛子产业的健康发展。因此，急需制定《榛坚果采后商品化处理技术规范》，明确榛坚果采收及采后商品化处理各环节的关键技术参数与操作要求。本项目结合申请单位已有研究成果，提出榛坚果的采收、脱苞、干燥、分选、脱壳、去皮、包装和贮存等技术要求，是榛坚果产地初加工和采后商品化处理的技术依据，对于指导用户按标准操作，规范参作流程，减少榛坚果采后损失、提高产品质量具有重要意义，对提高我国榛坚果国际市场竞争力具有积极的促进作用。</w:t>
      </w:r>
    </w:p>
    <w:p w14:paraId="5385FCEF">
      <w:pPr>
        <w:spacing w:line="360" w:lineRule="auto"/>
        <w:ind w:firstLine="482" w:firstLineChars="200"/>
        <w:rPr>
          <w:b/>
          <w:sz w:val="24"/>
          <w:szCs w:val="24"/>
        </w:rPr>
      </w:pPr>
      <w:bookmarkStart w:id="28" w:name="OLE_LINK1"/>
      <w:r>
        <w:rPr>
          <w:b/>
          <w:sz w:val="24"/>
          <w:szCs w:val="24"/>
        </w:rPr>
        <w:t>（1）榛坚果发育期品质变化规律与采收成熟度</w:t>
      </w:r>
    </w:p>
    <w:bookmarkEnd w:id="28"/>
    <w:p w14:paraId="320854D5">
      <w:pPr>
        <w:adjustRightInd w:val="0"/>
        <w:snapToGrid w:val="0"/>
        <w:spacing w:before="50" w:after="156" w:afterLines="50" w:line="300" w:lineRule="auto"/>
        <w:ind w:firstLine="480" w:firstLineChars="200"/>
        <w:rPr>
          <w:sz w:val="24"/>
          <w:szCs w:val="24"/>
        </w:rPr>
      </w:pPr>
      <w:r>
        <w:rPr>
          <w:sz w:val="24"/>
          <w:szCs w:val="24"/>
        </w:rPr>
        <w:t>坚果的成熟度对于其食用品质和加工产品的质量至关重要，这与坚果含水量和干物质累积水平密切相关。因此，应根据不同用途控制坚果的采收成熟度。果实生长到一定成熟度后才具有良好的可食性，此时果实基本完成营养物质积累并具有良好的风味和口感。不同成熟度果实的品质存在很大差异。图2为榛坚果的发育过程的形态特征。</w:t>
      </w:r>
    </w:p>
    <w:p w14:paraId="1B335BE0">
      <w:pPr>
        <w:adjustRightInd w:val="0"/>
        <w:snapToGrid w:val="0"/>
        <w:spacing w:before="50" w:after="156" w:afterLines="50" w:line="300" w:lineRule="auto"/>
        <w:jc w:val="center"/>
        <w:rPr>
          <w:sz w:val="28"/>
          <w:szCs w:val="28"/>
        </w:rPr>
      </w:pPr>
      <w:r>
        <w:rPr>
          <w:sz w:val="28"/>
          <w:szCs w:val="28"/>
        </w:rPr>
        <w:drawing>
          <wp:inline distT="0" distB="0" distL="0" distR="0">
            <wp:extent cx="4483100" cy="2192655"/>
            <wp:effectExtent l="0" t="0" r="0" b="0"/>
            <wp:docPr id="6657341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34195" name="图片 1"/>
                    <pic:cNvPicPr>
                      <a:picLocks noChangeAspect="1"/>
                    </pic:cNvPicPr>
                  </pic:nvPicPr>
                  <pic:blipFill>
                    <a:blip r:embed="rId6"/>
                    <a:stretch>
                      <a:fillRect/>
                    </a:stretch>
                  </pic:blipFill>
                  <pic:spPr>
                    <a:xfrm>
                      <a:off x="0" y="0"/>
                      <a:ext cx="4492906" cy="2197805"/>
                    </a:xfrm>
                    <a:prstGeom prst="rect">
                      <a:avLst/>
                    </a:prstGeom>
                  </pic:spPr>
                </pic:pic>
              </a:graphicData>
            </a:graphic>
          </wp:inline>
        </w:drawing>
      </w:r>
    </w:p>
    <w:p w14:paraId="07FF510C">
      <w:pPr>
        <w:adjustRightInd w:val="0"/>
        <w:snapToGrid w:val="0"/>
        <w:spacing w:before="50" w:after="156" w:afterLines="50" w:line="300" w:lineRule="auto"/>
        <w:jc w:val="center"/>
        <w:rPr>
          <w:sz w:val="24"/>
          <w:szCs w:val="24"/>
        </w:rPr>
      </w:pPr>
      <w:r>
        <w:rPr>
          <w:sz w:val="24"/>
          <w:szCs w:val="24"/>
        </w:rPr>
        <w:t>图2 榛坚果发育过程</w:t>
      </w:r>
    </w:p>
    <w:p w14:paraId="5F15026B">
      <w:pPr>
        <w:adjustRightInd w:val="0"/>
        <w:snapToGrid w:val="0"/>
        <w:spacing w:before="50" w:after="156" w:afterLines="50" w:line="300" w:lineRule="auto"/>
        <w:ind w:firstLine="480" w:firstLineChars="200"/>
        <w:rPr>
          <w:sz w:val="24"/>
          <w:szCs w:val="24"/>
        </w:rPr>
      </w:pPr>
      <w:r>
        <w:rPr>
          <w:sz w:val="24"/>
          <w:szCs w:val="24"/>
        </w:rPr>
        <w:t>绝大部分榛坚果是在其完全成熟后采收，然后以干坚果（含水量10%以下）的形式进入后续加工或市场流通环节。果苞出现“黄绕”被认为是榛坚果完全成熟的标志，此时榛仁已完成了营养物质积累，含水量也降至较低的水平（通常人工从树上采摘的榛坚果果仁含水量通常在30%左右，自然脱落的榛坚果其果仁含水量在25%左右，甚至更低），榛仁饱满，为后续加工提供了必要的物质基础。过早采收的坚果由于具有较高含水量和干物质积累不足，会导致其在后续加工过程中经历干燥环节后出现因水分丧失而形成的“瘪仁”现象，严重影响产品质量。</w:t>
      </w:r>
    </w:p>
    <w:p w14:paraId="10A6483A">
      <w:pPr>
        <w:adjustRightInd w:val="0"/>
        <w:snapToGrid w:val="0"/>
        <w:spacing w:before="50" w:after="156" w:afterLines="50" w:line="300" w:lineRule="auto"/>
        <w:ind w:firstLine="480" w:firstLineChars="200"/>
        <w:rPr>
          <w:sz w:val="24"/>
          <w:szCs w:val="24"/>
        </w:rPr>
      </w:pPr>
    </w:p>
    <w:p w14:paraId="0AAFF7DD">
      <w:pPr>
        <w:ind w:firstLine="420" w:firstLineChars="200"/>
        <w:jc w:val="center"/>
      </w:pPr>
      <w:r>
        <w:drawing>
          <wp:inline distT="0" distB="0" distL="0" distR="0">
            <wp:extent cx="4572000" cy="215900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BC48B1D">
      <w:pPr>
        <w:ind w:firstLine="480" w:firstLineChars="200"/>
        <w:jc w:val="center"/>
        <w:rPr>
          <w:sz w:val="24"/>
          <w:szCs w:val="24"/>
        </w:rPr>
      </w:pPr>
      <w:r>
        <w:rPr>
          <w:sz w:val="24"/>
          <w:szCs w:val="24"/>
        </w:rPr>
        <w:t>图3 榛坚果种仁生长发育期含水量动态变化</w:t>
      </w:r>
    </w:p>
    <w:p w14:paraId="0E2985AB">
      <w:pPr>
        <w:ind w:firstLine="480" w:firstLineChars="200"/>
        <w:jc w:val="center"/>
        <w:rPr>
          <w:sz w:val="24"/>
          <w:szCs w:val="24"/>
        </w:rPr>
      </w:pPr>
    </w:p>
    <w:p w14:paraId="6B52286D">
      <w:pPr>
        <w:adjustRightInd w:val="0"/>
        <w:snapToGrid w:val="0"/>
        <w:spacing w:before="50" w:after="156" w:afterLines="50" w:line="300" w:lineRule="auto"/>
        <w:ind w:firstLine="480" w:firstLineChars="200"/>
        <w:rPr>
          <w:sz w:val="24"/>
          <w:szCs w:val="24"/>
        </w:rPr>
      </w:pPr>
      <w:r>
        <w:rPr>
          <w:sz w:val="24"/>
          <w:szCs w:val="24"/>
        </w:rPr>
        <w:t>如图3可见，榛坚果果苞含水量在整个坚果种仁生长发育期间变化不大，含水量在77.2%-80.7%之间。在“种仁充实期”之前，坚果壳和种仁含水量随着种仁生长发育迅速下降，分别从“果壳硬化前期”的51.7%和88.6%降至“种仁充实期”的26.0%和38.2%；在“种仁充实期”之后，坚果壳的含水量变化不大，种仁含水量略有降低。</w:t>
      </w:r>
    </w:p>
    <w:p w14:paraId="7285A577">
      <w:pPr>
        <w:ind w:firstLine="420" w:firstLineChars="200"/>
      </w:pPr>
      <w:r>
        <w:drawing>
          <wp:inline distT="0" distB="0" distL="0" distR="0">
            <wp:extent cx="2387600" cy="1498600"/>
            <wp:effectExtent l="0" t="0" r="0" b="6350"/>
            <wp:docPr id="8"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drawing>
          <wp:inline distT="0" distB="0" distL="0" distR="0">
            <wp:extent cx="2470150" cy="1504950"/>
            <wp:effectExtent l="0" t="0" r="635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C29B32E">
      <w:pPr>
        <w:ind w:firstLine="420" w:firstLineChars="200"/>
      </w:pPr>
      <w:r>
        <w:drawing>
          <wp:inline distT="0" distB="0" distL="0" distR="0">
            <wp:extent cx="2311400" cy="1524000"/>
            <wp:effectExtent l="0" t="0" r="0" b="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t xml:space="preserve"> </w:t>
      </w:r>
      <w:r>
        <w:drawing>
          <wp:inline distT="0" distB="0" distL="0" distR="0">
            <wp:extent cx="2311400" cy="1517650"/>
            <wp:effectExtent l="0" t="0" r="0" b="635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CBA362">
      <w:pPr>
        <w:ind w:firstLine="420" w:firstLineChars="200"/>
        <w:jc w:val="center"/>
      </w:pPr>
      <w:r>
        <w:drawing>
          <wp:inline distT="0" distB="0" distL="0" distR="0">
            <wp:extent cx="2311400" cy="151130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drawing>
          <wp:inline distT="0" distB="0" distL="0" distR="0">
            <wp:extent cx="2317750" cy="1498600"/>
            <wp:effectExtent l="0" t="0" r="6350" b="63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47BEDE">
      <w:pPr>
        <w:ind w:firstLine="480" w:firstLineChars="200"/>
        <w:jc w:val="center"/>
        <w:rPr>
          <w:sz w:val="24"/>
          <w:szCs w:val="24"/>
        </w:rPr>
      </w:pPr>
      <w:r>
        <w:rPr>
          <w:sz w:val="24"/>
          <w:szCs w:val="24"/>
        </w:rPr>
        <w:t>图4 榛坚果种仁生长发育期种仁营养物质动态变化</w:t>
      </w:r>
    </w:p>
    <w:p w14:paraId="2F52A78E">
      <w:pPr>
        <w:adjustRightInd w:val="0"/>
        <w:snapToGrid w:val="0"/>
        <w:spacing w:before="50" w:after="156" w:afterLines="50" w:line="300" w:lineRule="auto"/>
        <w:ind w:firstLine="480" w:firstLineChars="200"/>
        <w:rPr>
          <w:sz w:val="24"/>
          <w:szCs w:val="24"/>
        </w:rPr>
      </w:pPr>
      <w:r>
        <w:rPr>
          <w:sz w:val="24"/>
          <w:szCs w:val="24"/>
        </w:rPr>
        <w:t>如图4可见榛坚果种仁主要营养物质在整个种仁生长发育期间的变化趋势和规律。坚果种仁粗脂肪含量、蛋白质含量和可溶性糖含量均随着种仁生长发育逐渐增加，其中：“果壳硬化前期”到“种仁充实期”这段时期是粗脂肪的快速积累期，从26.3%迅速增加至56.7%，粗脂肪含量显著增加（p&lt;0.05）；“果壳硬化期”到“种仁发育期”和“种仁充实期”到“坚果成熟期”这两段时期是可溶性糖的快速积累期，分别从0.16g/100g·FW迅速增加到0.39g/100g·FW和0.44g/100g·FW升至0.57g/100g·FW，含量显著增加（p&lt;0.05）；“果壳硬化前期”至“坚果成熟期”这段时期是可溶性蛋白质的快速积累期，其含量由19.4mg/g·FW迅速增升至51.9mg/g·FW，显著增加（p&lt;0.05）；总蛋白质的快速积累期为“果壳硬化前期”到“种仁充实期”这段时期，其含量有4.39g/100g·FW迅速增至11.42g/100g·FW。在“坚果成熟期”之后，以上各营养物质含量基本保持稳定或有少许增加。榛坚果Vc含量和GSH含量均在“种仁充实期”出现峰值，分别为63.84 mg/g·FW和408.15 μg/g·FW ；Vc含量在种仁生长发育期间呈波动变化，GSH含量在“果壳硬化前期”到“种仁充实期”这段时期迅速积累。</w:t>
      </w:r>
    </w:p>
    <w:p w14:paraId="17FE69D4">
      <w:pPr>
        <w:adjustRightInd w:val="0"/>
        <w:snapToGrid w:val="0"/>
        <w:spacing w:before="50" w:after="156" w:afterLines="50" w:line="300" w:lineRule="auto"/>
        <w:ind w:firstLine="480" w:firstLineChars="200"/>
        <w:rPr>
          <w:sz w:val="24"/>
          <w:szCs w:val="24"/>
        </w:rPr>
      </w:pPr>
      <w:r>
        <w:rPr>
          <w:sz w:val="24"/>
          <w:szCs w:val="24"/>
        </w:rPr>
        <w:t>以上分析可见，榛坚果种仁主要营养物质含量在整个坚果种仁生长发育期间呈现规律性变化，随着坚果种仁生长发育进程的发展，种仁水分含量逐渐减少，脂肪含量、蛋白质含量、可溶性糖含量等营养物质逐渐增加累积，并在“坚果成熟期”时基本完成物质积累。因此，过早采收由于营养物质积累不足、且榛仁含水量过高将影响坚果加工特性和加工产品质量。</w:t>
      </w:r>
    </w:p>
    <w:p w14:paraId="4BD7D5A4">
      <w:pPr>
        <w:spacing w:line="360" w:lineRule="auto"/>
        <w:ind w:firstLine="482" w:firstLineChars="200"/>
        <w:rPr>
          <w:b/>
          <w:sz w:val="24"/>
          <w:szCs w:val="24"/>
        </w:rPr>
      </w:pPr>
      <w:r>
        <w:rPr>
          <w:b/>
          <w:sz w:val="24"/>
          <w:szCs w:val="24"/>
        </w:rPr>
        <w:t>（2）榛坚果干燥工艺</w:t>
      </w:r>
    </w:p>
    <w:p w14:paraId="75300D7E">
      <w:pPr>
        <w:adjustRightInd w:val="0"/>
        <w:snapToGrid w:val="0"/>
        <w:spacing w:before="50" w:after="156" w:afterLines="50" w:line="300" w:lineRule="auto"/>
        <w:ind w:firstLine="480" w:firstLineChars="200"/>
        <w:rPr>
          <w:sz w:val="24"/>
          <w:szCs w:val="24"/>
        </w:rPr>
      </w:pPr>
      <w:r>
        <w:rPr>
          <w:sz w:val="24"/>
          <w:szCs w:val="24"/>
        </w:rPr>
        <w:t>“干燥”是榛坚果采后贮藏加工过程中第一个工艺环节，也是最重要的工艺环节，它直接影响坚果原料品质及其加工产品的质量，但这个环节往往被忽视。榛坚果完全成熟后被人工从树上摘取采收或直接落地后采收。采收后的榛坚果含水量（25%以上，甚至更高）远远高于其作为加工原料所需的含水量（10%以下，甚至更低），高含水量极易引起果实腐烂，不利于后续贮存与加工利用。因此，采收后的榛坚果必须尽快进行干燥。</w:t>
      </w:r>
    </w:p>
    <w:p w14:paraId="4F828432">
      <w:pPr>
        <w:adjustRightInd w:val="0"/>
        <w:snapToGrid w:val="0"/>
        <w:spacing w:before="50" w:after="156" w:afterLines="50" w:line="300" w:lineRule="auto"/>
        <w:ind w:firstLine="480" w:firstLineChars="200"/>
        <w:rPr>
          <w:sz w:val="24"/>
          <w:szCs w:val="24"/>
        </w:rPr>
      </w:pPr>
      <w:r>
        <w:rPr>
          <w:sz w:val="24"/>
          <w:szCs w:val="24"/>
        </w:rPr>
        <w:t>传统的自然晾晒干燥法一直沿用至今，目前仍是土耳其、阿塞拜疆、格鲁吉亚等榛子生产国的主要干燥方式。自然晾晒分为2个阶段：第一阶段是晾晒脱苞，即将采收后的带果苞榛果堆放在干燥的晾晒场地上，约2-3d即可使坚果和果苞完全分离；第二阶段是坚果干燥，即将脱苞后的坚果平摊在干燥的晾晒场地上，靠自然日照和风干使坚果含水量将至10%以下，这一过程大约需要10-15d的时间。整个干燥期间需要人工每天翻扒使上下层坚果晾晒均匀，还需要有避雨措施，以免坚果返潮、堆沤等，严重影响果实原料品质及其加工产品质量。传统方法受天气影响非常大，而且需要有较大的场地满足大量坚果晾晒的需求。</w:t>
      </w:r>
    </w:p>
    <w:p w14:paraId="5D1661E1">
      <w:pPr>
        <w:adjustRightInd w:val="0"/>
        <w:snapToGrid w:val="0"/>
        <w:spacing w:before="50" w:after="156" w:afterLines="50" w:line="300" w:lineRule="auto"/>
        <w:ind w:firstLine="480" w:firstLineChars="200"/>
        <w:rPr>
          <w:sz w:val="24"/>
          <w:szCs w:val="24"/>
        </w:rPr>
      </w:pPr>
      <w:r>
        <w:rPr>
          <w:sz w:val="24"/>
          <w:szCs w:val="24"/>
        </w:rPr>
        <w:t>机械干燥被越来越多的榛子生产者所使用。这种方式不再受到天气的影响，也无需较大的场地，同时整个干燥过程可控，干燥时间显著缩短，在大大提高生产效率的同时更有利于保持良好的品质，是大规模商业化生产的首选方法。目前主要的机械干燥方式是使用干燥仓进行干燥，通过传送带将脱苞后的榛坚果从进料口输送至仓内，在设置好的温度条件下进行鼓风干燥，常用的干燥温度在40-50℃左右。干燥时间根据坚果装载量、原料含水量以及干燥仓工作温度等不同而异，如在40℃条件下、坚果含水量25%左右、装满20t容积的干燥仓可在30h小时左右使坚果含水量将至10%以下。干燥好的坚果被从出料口送出，装袋后进行贮存用于后续加工销售。另一种干燥装备是分层托盘干燥箱或干燥室，即将新鲜坚果分装到托盘中，置于干燥箱或干燥室内进行热干燥。干燥箱/干燥室内有风循环装置，可以使干燥环境内温度均匀一致。</w:t>
      </w:r>
    </w:p>
    <w:p w14:paraId="49E56BA5">
      <w:pPr>
        <w:adjustRightInd w:val="0"/>
        <w:snapToGrid w:val="0"/>
        <w:spacing w:before="50" w:after="156" w:afterLines="50" w:line="300" w:lineRule="auto"/>
        <w:ind w:firstLine="480" w:firstLineChars="200"/>
        <w:rPr>
          <w:sz w:val="24"/>
          <w:szCs w:val="24"/>
        </w:rPr>
      </w:pPr>
      <w:r>
        <w:rPr>
          <w:sz w:val="24"/>
          <w:szCs w:val="24"/>
        </w:rPr>
        <w:t>1）干燥温度和坚果含水量对焙烤榛子感官评价结果</w:t>
      </w:r>
    </w:p>
    <w:p w14:paraId="7413B3B8">
      <w:pPr>
        <w:adjustRightInd w:val="0"/>
        <w:snapToGrid w:val="0"/>
        <w:spacing w:before="50" w:after="156" w:afterLines="50" w:line="300" w:lineRule="auto"/>
        <w:jc w:val="center"/>
        <w:rPr>
          <w:sz w:val="24"/>
          <w:szCs w:val="24"/>
        </w:rPr>
      </w:pPr>
      <w:bookmarkStart w:id="29" w:name="OLE_LINK11"/>
      <w:r>
        <w:rPr>
          <w:sz w:val="24"/>
          <w:szCs w:val="24"/>
        </w:rPr>
        <w:t>表1 30℃干燥样品焙烤后的感官评分</w:t>
      </w:r>
    </w:p>
    <w:bookmarkEnd w:id="29"/>
    <w:p w14:paraId="69F86AF2">
      <w:pPr>
        <w:adjustRightInd w:val="0"/>
        <w:snapToGrid w:val="0"/>
        <w:spacing w:before="50" w:after="156" w:afterLines="50" w:line="300" w:lineRule="auto"/>
        <w:jc w:val="center"/>
        <w:rPr>
          <w:sz w:val="28"/>
          <w:szCs w:val="28"/>
        </w:rPr>
      </w:pPr>
      <w:r>
        <w:rPr>
          <w:sz w:val="28"/>
          <w:szCs w:val="28"/>
        </w:rPr>
        <w:drawing>
          <wp:inline distT="0" distB="0" distL="0" distR="0">
            <wp:extent cx="4736465" cy="2912110"/>
            <wp:effectExtent l="0" t="0" r="6985" b="2540"/>
            <wp:docPr id="18288435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43503" name="图片 1"/>
                    <pic:cNvPicPr>
                      <a:picLocks noChangeAspect="1"/>
                    </pic:cNvPicPr>
                  </pic:nvPicPr>
                  <pic:blipFill>
                    <a:blip r:embed="rId14"/>
                    <a:stretch>
                      <a:fillRect/>
                    </a:stretch>
                  </pic:blipFill>
                  <pic:spPr>
                    <a:xfrm>
                      <a:off x="0" y="0"/>
                      <a:ext cx="4736465" cy="2912110"/>
                    </a:xfrm>
                    <a:prstGeom prst="rect">
                      <a:avLst/>
                    </a:prstGeom>
                  </pic:spPr>
                </pic:pic>
              </a:graphicData>
            </a:graphic>
          </wp:inline>
        </w:drawing>
      </w:r>
    </w:p>
    <w:p w14:paraId="093A1866">
      <w:pPr>
        <w:adjustRightInd w:val="0"/>
        <w:snapToGrid w:val="0"/>
        <w:spacing w:before="50" w:after="156" w:afterLines="50" w:line="300" w:lineRule="auto"/>
        <w:jc w:val="center"/>
        <w:rPr>
          <w:sz w:val="24"/>
          <w:szCs w:val="24"/>
        </w:rPr>
      </w:pPr>
      <w:r>
        <w:rPr>
          <w:sz w:val="24"/>
          <w:szCs w:val="24"/>
        </w:rPr>
        <w:t>表2 40℃干燥样品焙烤后的感官评分</w:t>
      </w:r>
    </w:p>
    <w:p w14:paraId="13AC20CD">
      <w:pPr>
        <w:adjustRightInd w:val="0"/>
        <w:snapToGrid w:val="0"/>
        <w:spacing w:before="50" w:after="156" w:afterLines="50" w:line="300" w:lineRule="auto"/>
        <w:jc w:val="center"/>
        <w:rPr>
          <w:sz w:val="28"/>
          <w:szCs w:val="28"/>
        </w:rPr>
      </w:pPr>
      <w:r>
        <w:rPr>
          <w:sz w:val="28"/>
          <w:szCs w:val="28"/>
        </w:rPr>
        <w:drawing>
          <wp:inline distT="0" distB="0" distL="0" distR="0">
            <wp:extent cx="4956175" cy="3037205"/>
            <wp:effectExtent l="0" t="0" r="15875" b="10795"/>
            <wp:docPr id="9607334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33491" name="图片 1"/>
                    <pic:cNvPicPr>
                      <a:picLocks noChangeAspect="1"/>
                    </pic:cNvPicPr>
                  </pic:nvPicPr>
                  <pic:blipFill>
                    <a:blip r:embed="rId15"/>
                    <a:stretch>
                      <a:fillRect/>
                    </a:stretch>
                  </pic:blipFill>
                  <pic:spPr>
                    <a:xfrm>
                      <a:off x="0" y="0"/>
                      <a:ext cx="4956175" cy="3037205"/>
                    </a:xfrm>
                    <a:prstGeom prst="rect">
                      <a:avLst/>
                    </a:prstGeom>
                  </pic:spPr>
                </pic:pic>
              </a:graphicData>
            </a:graphic>
          </wp:inline>
        </w:drawing>
      </w:r>
    </w:p>
    <w:p w14:paraId="3162EC09">
      <w:pPr>
        <w:adjustRightInd w:val="0"/>
        <w:snapToGrid w:val="0"/>
        <w:spacing w:before="50" w:after="156" w:afterLines="50" w:line="300" w:lineRule="auto"/>
        <w:jc w:val="center"/>
        <w:rPr>
          <w:sz w:val="24"/>
          <w:szCs w:val="24"/>
        </w:rPr>
      </w:pPr>
    </w:p>
    <w:p w14:paraId="4722D971">
      <w:pPr>
        <w:adjustRightInd w:val="0"/>
        <w:snapToGrid w:val="0"/>
        <w:spacing w:before="50" w:after="156" w:afterLines="50" w:line="300" w:lineRule="auto"/>
        <w:jc w:val="center"/>
        <w:rPr>
          <w:sz w:val="24"/>
          <w:szCs w:val="24"/>
        </w:rPr>
      </w:pPr>
      <w:r>
        <w:rPr>
          <w:sz w:val="24"/>
          <w:szCs w:val="24"/>
        </w:rPr>
        <w:t xml:space="preserve">表3 </w:t>
      </w:r>
      <w:bookmarkStart w:id="30" w:name="OLE_LINK12"/>
      <w:r>
        <w:rPr>
          <w:sz w:val="24"/>
          <w:szCs w:val="24"/>
        </w:rPr>
        <w:t>50℃干燥样品焙烤后的感官评分</w:t>
      </w:r>
      <w:bookmarkEnd w:id="30"/>
    </w:p>
    <w:p w14:paraId="15EC7A39">
      <w:pPr>
        <w:adjustRightInd w:val="0"/>
        <w:snapToGrid w:val="0"/>
        <w:spacing w:before="50" w:after="156" w:afterLines="50" w:line="300" w:lineRule="auto"/>
        <w:jc w:val="center"/>
        <w:rPr>
          <w:sz w:val="28"/>
          <w:szCs w:val="28"/>
        </w:rPr>
      </w:pPr>
      <w:r>
        <w:rPr>
          <w:sz w:val="28"/>
          <w:szCs w:val="28"/>
        </w:rPr>
        <w:drawing>
          <wp:inline distT="0" distB="0" distL="0" distR="0">
            <wp:extent cx="5182235" cy="3191510"/>
            <wp:effectExtent l="0" t="0" r="18415" b="8890"/>
            <wp:docPr id="7904419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41997" name="图片 1"/>
                    <pic:cNvPicPr>
                      <a:picLocks noChangeAspect="1"/>
                    </pic:cNvPicPr>
                  </pic:nvPicPr>
                  <pic:blipFill>
                    <a:blip r:embed="rId16"/>
                    <a:stretch>
                      <a:fillRect/>
                    </a:stretch>
                  </pic:blipFill>
                  <pic:spPr>
                    <a:xfrm>
                      <a:off x="0" y="0"/>
                      <a:ext cx="5182235" cy="3191510"/>
                    </a:xfrm>
                    <a:prstGeom prst="rect">
                      <a:avLst/>
                    </a:prstGeom>
                  </pic:spPr>
                </pic:pic>
              </a:graphicData>
            </a:graphic>
          </wp:inline>
        </w:drawing>
      </w:r>
    </w:p>
    <w:p w14:paraId="72CD7C50">
      <w:pPr>
        <w:adjustRightInd w:val="0"/>
        <w:snapToGrid w:val="0"/>
        <w:spacing w:before="50" w:after="156" w:afterLines="50" w:line="300" w:lineRule="auto"/>
        <w:jc w:val="center"/>
        <w:rPr>
          <w:sz w:val="24"/>
          <w:szCs w:val="24"/>
        </w:rPr>
      </w:pPr>
    </w:p>
    <w:p w14:paraId="11EC162D">
      <w:pPr>
        <w:adjustRightInd w:val="0"/>
        <w:snapToGrid w:val="0"/>
        <w:spacing w:before="50" w:after="156" w:afterLines="50" w:line="300" w:lineRule="auto"/>
        <w:jc w:val="center"/>
        <w:rPr>
          <w:sz w:val="24"/>
          <w:szCs w:val="24"/>
        </w:rPr>
      </w:pPr>
      <w:r>
        <w:rPr>
          <w:sz w:val="24"/>
          <w:szCs w:val="24"/>
        </w:rPr>
        <w:t>表4 60℃干燥样品焙烤后的感官评分</w:t>
      </w:r>
    </w:p>
    <w:p w14:paraId="5EB99F18">
      <w:pPr>
        <w:adjustRightInd w:val="0"/>
        <w:snapToGrid w:val="0"/>
        <w:spacing w:before="50" w:after="156" w:afterLines="50" w:line="300" w:lineRule="auto"/>
        <w:jc w:val="center"/>
        <w:rPr>
          <w:sz w:val="28"/>
          <w:szCs w:val="28"/>
        </w:rPr>
      </w:pPr>
      <w:r>
        <w:rPr>
          <w:sz w:val="28"/>
          <w:szCs w:val="28"/>
        </w:rPr>
        <w:drawing>
          <wp:inline distT="0" distB="0" distL="0" distR="0">
            <wp:extent cx="5574665" cy="3436620"/>
            <wp:effectExtent l="0" t="0" r="6985" b="11430"/>
            <wp:docPr id="20759584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58431" name="图片 1"/>
                    <pic:cNvPicPr>
                      <a:picLocks noChangeAspect="1"/>
                    </pic:cNvPicPr>
                  </pic:nvPicPr>
                  <pic:blipFill>
                    <a:blip r:embed="rId17"/>
                    <a:stretch>
                      <a:fillRect/>
                    </a:stretch>
                  </pic:blipFill>
                  <pic:spPr>
                    <a:xfrm>
                      <a:off x="0" y="0"/>
                      <a:ext cx="5574665" cy="3436620"/>
                    </a:xfrm>
                    <a:prstGeom prst="rect">
                      <a:avLst/>
                    </a:prstGeom>
                  </pic:spPr>
                </pic:pic>
              </a:graphicData>
            </a:graphic>
          </wp:inline>
        </w:drawing>
      </w:r>
    </w:p>
    <w:p w14:paraId="75B07DF3">
      <w:pPr>
        <w:adjustRightInd w:val="0"/>
        <w:snapToGrid w:val="0"/>
        <w:spacing w:before="50" w:after="156" w:afterLines="50" w:line="300" w:lineRule="auto"/>
        <w:jc w:val="center"/>
        <w:rPr>
          <w:sz w:val="24"/>
          <w:szCs w:val="24"/>
        </w:rPr>
      </w:pPr>
    </w:p>
    <w:p w14:paraId="1709FDF8">
      <w:pPr>
        <w:adjustRightInd w:val="0"/>
        <w:snapToGrid w:val="0"/>
        <w:spacing w:before="50" w:after="156" w:afterLines="50" w:line="300" w:lineRule="auto"/>
        <w:jc w:val="center"/>
        <w:rPr>
          <w:sz w:val="24"/>
          <w:szCs w:val="24"/>
        </w:rPr>
      </w:pPr>
    </w:p>
    <w:p w14:paraId="02B84E9E">
      <w:pPr>
        <w:adjustRightInd w:val="0"/>
        <w:snapToGrid w:val="0"/>
        <w:spacing w:before="50" w:after="156" w:afterLines="50" w:line="300" w:lineRule="auto"/>
        <w:jc w:val="center"/>
        <w:rPr>
          <w:sz w:val="24"/>
          <w:szCs w:val="24"/>
        </w:rPr>
      </w:pPr>
      <w:r>
        <w:rPr>
          <w:sz w:val="24"/>
          <w:szCs w:val="24"/>
        </w:rPr>
        <w:t>表5 70℃干燥样品焙烤后的感官评分</w:t>
      </w:r>
    </w:p>
    <w:p w14:paraId="66FBE718">
      <w:pPr>
        <w:adjustRightInd w:val="0"/>
        <w:snapToGrid w:val="0"/>
        <w:spacing w:before="50" w:after="156" w:afterLines="50" w:line="300" w:lineRule="auto"/>
        <w:jc w:val="center"/>
        <w:rPr>
          <w:sz w:val="28"/>
          <w:szCs w:val="28"/>
        </w:rPr>
      </w:pPr>
      <w:r>
        <w:rPr>
          <w:sz w:val="28"/>
          <w:szCs w:val="28"/>
        </w:rPr>
        <w:drawing>
          <wp:inline distT="0" distB="0" distL="0" distR="0">
            <wp:extent cx="3956685" cy="2432685"/>
            <wp:effectExtent l="0" t="0" r="5715" b="5715"/>
            <wp:docPr id="9928862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886285" name="图片 1"/>
                    <pic:cNvPicPr>
                      <a:picLocks noChangeAspect="1"/>
                    </pic:cNvPicPr>
                  </pic:nvPicPr>
                  <pic:blipFill>
                    <a:blip r:embed="rId18"/>
                    <a:stretch>
                      <a:fillRect/>
                    </a:stretch>
                  </pic:blipFill>
                  <pic:spPr>
                    <a:xfrm>
                      <a:off x="0" y="0"/>
                      <a:ext cx="3956685" cy="2432685"/>
                    </a:xfrm>
                    <a:prstGeom prst="rect">
                      <a:avLst/>
                    </a:prstGeom>
                  </pic:spPr>
                </pic:pic>
              </a:graphicData>
            </a:graphic>
          </wp:inline>
        </w:drawing>
      </w:r>
    </w:p>
    <w:p w14:paraId="2EA1CA10">
      <w:pPr>
        <w:adjustRightInd w:val="0"/>
        <w:snapToGrid w:val="0"/>
        <w:spacing w:before="50" w:after="156" w:afterLines="50" w:line="300" w:lineRule="auto"/>
        <w:ind w:firstLine="480" w:firstLineChars="200"/>
        <w:rPr>
          <w:sz w:val="24"/>
          <w:szCs w:val="24"/>
        </w:rPr>
      </w:pPr>
      <w:r>
        <w:rPr>
          <w:sz w:val="24"/>
          <w:szCs w:val="24"/>
        </w:rPr>
        <w:t>在五个干燥温度（30 °C、40 °C、50 °C、60 °C、70 °C）下（表1-表5），分别将四种样品（DW，DWK，YZ，YZK）干燥到三个含水量阶段（3-5%、6-8%、10-12%）后进行焙烤，根据感官评分结果可知，五个干燥温度干燥后进行焙烤，四种样品均表现为在含水量 3-5%时焙烤得分最高，且都可以达到让人喜欢的程度，在含水量 6-8%时焙烤得分表现与 3-5%时焙烤相差大约 0.2 倍左右，在含水量 10-12%时焙烤，感官得分最差；在含水量 3-5%时焙烤，干燥温度为 50 °C 时是五个温度中感官得分最高的干燥温度。此外，从感官得分还可以得出，DWK 比 DW 更受欢迎，YZ 比 YZK 更受欢迎。</w:t>
      </w:r>
    </w:p>
    <w:p w14:paraId="609B9901">
      <w:pPr>
        <w:adjustRightInd w:val="0"/>
        <w:snapToGrid w:val="0"/>
        <w:spacing w:before="50" w:after="156" w:afterLines="50" w:line="300" w:lineRule="auto"/>
        <w:ind w:firstLine="480" w:firstLineChars="200"/>
        <w:rPr>
          <w:sz w:val="24"/>
          <w:szCs w:val="24"/>
        </w:rPr>
      </w:pPr>
      <w:r>
        <w:rPr>
          <w:sz w:val="24"/>
          <w:szCs w:val="24"/>
        </w:rPr>
        <w:t>2）干燥温度和含水量对榛子质构结果分析</w:t>
      </w:r>
    </w:p>
    <w:p w14:paraId="2328DB99">
      <w:pPr>
        <w:adjustRightInd w:val="0"/>
        <w:snapToGrid w:val="0"/>
        <w:spacing w:before="50" w:after="156" w:afterLines="50" w:line="300" w:lineRule="auto"/>
        <w:jc w:val="center"/>
        <w:rPr>
          <w:sz w:val="24"/>
          <w:szCs w:val="24"/>
        </w:rPr>
      </w:pPr>
      <w:r>
        <w:rPr>
          <w:sz w:val="24"/>
          <w:szCs w:val="24"/>
        </w:rPr>
        <w:t>表6 30℃干燥样品焙烤前和焙烤后的质构分析</w:t>
      </w:r>
    </w:p>
    <w:p w14:paraId="06416BF3">
      <w:pPr>
        <w:adjustRightInd w:val="0"/>
        <w:snapToGrid w:val="0"/>
        <w:spacing w:before="50" w:after="156" w:afterLines="50" w:line="300" w:lineRule="auto"/>
        <w:jc w:val="center"/>
        <w:rPr>
          <w:sz w:val="28"/>
          <w:szCs w:val="28"/>
        </w:rPr>
      </w:pPr>
      <w:r>
        <w:rPr>
          <w:sz w:val="28"/>
          <w:szCs w:val="28"/>
        </w:rPr>
        <w:drawing>
          <wp:inline distT="0" distB="0" distL="0" distR="0">
            <wp:extent cx="4144010" cy="2585085"/>
            <wp:effectExtent l="0" t="0" r="8890" b="5715"/>
            <wp:docPr id="19082732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73212" name="图片 1"/>
                    <pic:cNvPicPr>
                      <a:picLocks noChangeAspect="1"/>
                    </pic:cNvPicPr>
                  </pic:nvPicPr>
                  <pic:blipFill>
                    <a:blip r:embed="rId19"/>
                    <a:stretch>
                      <a:fillRect/>
                    </a:stretch>
                  </pic:blipFill>
                  <pic:spPr>
                    <a:xfrm>
                      <a:off x="0" y="0"/>
                      <a:ext cx="4144010" cy="2585085"/>
                    </a:xfrm>
                    <a:prstGeom prst="rect">
                      <a:avLst/>
                    </a:prstGeom>
                  </pic:spPr>
                </pic:pic>
              </a:graphicData>
            </a:graphic>
          </wp:inline>
        </w:drawing>
      </w:r>
    </w:p>
    <w:p w14:paraId="740E3299">
      <w:pPr>
        <w:adjustRightInd w:val="0"/>
        <w:snapToGrid w:val="0"/>
        <w:spacing w:before="50" w:after="156" w:afterLines="50" w:line="300" w:lineRule="auto"/>
        <w:jc w:val="center"/>
        <w:rPr>
          <w:sz w:val="24"/>
          <w:szCs w:val="24"/>
        </w:rPr>
      </w:pPr>
      <w:r>
        <w:rPr>
          <w:sz w:val="24"/>
          <w:szCs w:val="24"/>
        </w:rPr>
        <w:t>表7 40℃干燥样品焙烤前和焙烤后的质构分析</w:t>
      </w:r>
    </w:p>
    <w:p w14:paraId="37A9411A">
      <w:pPr>
        <w:adjustRightInd w:val="0"/>
        <w:snapToGrid w:val="0"/>
        <w:spacing w:before="50" w:after="156" w:afterLines="50" w:line="300" w:lineRule="auto"/>
        <w:jc w:val="center"/>
        <w:rPr>
          <w:sz w:val="28"/>
          <w:szCs w:val="28"/>
        </w:rPr>
      </w:pPr>
      <w:r>
        <w:rPr>
          <w:sz w:val="28"/>
          <w:szCs w:val="28"/>
        </w:rPr>
        <w:drawing>
          <wp:inline distT="0" distB="0" distL="0" distR="0">
            <wp:extent cx="4662805" cy="3124200"/>
            <wp:effectExtent l="0" t="0" r="4445" b="0"/>
            <wp:docPr id="17209532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53292" name="图片 1"/>
                    <pic:cNvPicPr>
                      <a:picLocks noChangeAspect="1"/>
                    </pic:cNvPicPr>
                  </pic:nvPicPr>
                  <pic:blipFill>
                    <a:blip r:embed="rId20"/>
                    <a:stretch>
                      <a:fillRect/>
                    </a:stretch>
                  </pic:blipFill>
                  <pic:spPr>
                    <a:xfrm>
                      <a:off x="0" y="0"/>
                      <a:ext cx="4662805" cy="3124200"/>
                    </a:xfrm>
                    <a:prstGeom prst="rect">
                      <a:avLst/>
                    </a:prstGeom>
                  </pic:spPr>
                </pic:pic>
              </a:graphicData>
            </a:graphic>
          </wp:inline>
        </w:drawing>
      </w:r>
    </w:p>
    <w:p w14:paraId="2307023D">
      <w:pPr>
        <w:adjustRightInd w:val="0"/>
        <w:snapToGrid w:val="0"/>
        <w:spacing w:before="50" w:after="156" w:afterLines="50" w:line="300" w:lineRule="auto"/>
        <w:jc w:val="center"/>
        <w:rPr>
          <w:sz w:val="24"/>
          <w:szCs w:val="24"/>
        </w:rPr>
      </w:pPr>
    </w:p>
    <w:p w14:paraId="39FDCF5C">
      <w:pPr>
        <w:adjustRightInd w:val="0"/>
        <w:snapToGrid w:val="0"/>
        <w:spacing w:before="50" w:after="156" w:afterLines="50" w:line="300" w:lineRule="auto"/>
        <w:jc w:val="center"/>
        <w:rPr>
          <w:sz w:val="24"/>
          <w:szCs w:val="24"/>
        </w:rPr>
      </w:pPr>
      <w:r>
        <w:rPr>
          <w:sz w:val="24"/>
          <w:szCs w:val="24"/>
        </w:rPr>
        <w:t>表8 50℃干燥样品焙烤前和焙烤后的质构分析</w:t>
      </w:r>
    </w:p>
    <w:p w14:paraId="6FC02AB7">
      <w:pPr>
        <w:adjustRightInd w:val="0"/>
        <w:snapToGrid w:val="0"/>
        <w:spacing w:before="50" w:after="156" w:afterLines="50" w:line="300" w:lineRule="auto"/>
        <w:jc w:val="center"/>
        <w:rPr>
          <w:sz w:val="28"/>
          <w:szCs w:val="28"/>
        </w:rPr>
      </w:pPr>
      <w:r>
        <w:rPr>
          <w:sz w:val="28"/>
          <w:szCs w:val="28"/>
        </w:rPr>
        <w:drawing>
          <wp:inline distT="0" distB="0" distL="0" distR="0">
            <wp:extent cx="4836795" cy="2891155"/>
            <wp:effectExtent l="0" t="0" r="1905" b="4445"/>
            <wp:docPr id="15791665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66581" name="图片 1"/>
                    <pic:cNvPicPr>
                      <a:picLocks noChangeAspect="1"/>
                    </pic:cNvPicPr>
                  </pic:nvPicPr>
                  <pic:blipFill>
                    <a:blip r:embed="rId21"/>
                    <a:stretch>
                      <a:fillRect/>
                    </a:stretch>
                  </pic:blipFill>
                  <pic:spPr>
                    <a:xfrm>
                      <a:off x="0" y="0"/>
                      <a:ext cx="4836795" cy="2891155"/>
                    </a:xfrm>
                    <a:prstGeom prst="rect">
                      <a:avLst/>
                    </a:prstGeom>
                  </pic:spPr>
                </pic:pic>
              </a:graphicData>
            </a:graphic>
          </wp:inline>
        </w:drawing>
      </w:r>
    </w:p>
    <w:p w14:paraId="2CC73173">
      <w:pPr>
        <w:adjustRightInd w:val="0"/>
        <w:snapToGrid w:val="0"/>
        <w:spacing w:before="50" w:after="156" w:afterLines="50" w:line="300" w:lineRule="auto"/>
        <w:jc w:val="center"/>
        <w:rPr>
          <w:sz w:val="24"/>
          <w:szCs w:val="24"/>
        </w:rPr>
      </w:pPr>
    </w:p>
    <w:p w14:paraId="70353E7F">
      <w:pPr>
        <w:adjustRightInd w:val="0"/>
        <w:snapToGrid w:val="0"/>
        <w:spacing w:before="50" w:after="156" w:afterLines="50" w:line="300" w:lineRule="auto"/>
        <w:jc w:val="center"/>
        <w:rPr>
          <w:sz w:val="24"/>
          <w:szCs w:val="24"/>
        </w:rPr>
      </w:pPr>
    </w:p>
    <w:p w14:paraId="4DE72CEC">
      <w:pPr>
        <w:adjustRightInd w:val="0"/>
        <w:snapToGrid w:val="0"/>
        <w:spacing w:before="50" w:after="156" w:afterLines="50" w:line="300" w:lineRule="auto"/>
        <w:jc w:val="center"/>
        <w:rPr>
          <w:sz w:val="24"/>
          <w:szCs w:val="24"/>
        </w:rPr>
      </w:pPr>
    </w:p>
    <w:p w14:paraId="2A0D2AA2">
      <w:pPr>
        <w:adjustRightInd w:val="0"/>
        <w:snapToGrid w:val="0"/>
        <w:spacing w:before="50" w:after="156" w:afterLines="50" w:line="300" w:lineRule="auto"/>
        <w:jc w:val="center"/>
        <w:rPr>
          <w:sz w:val="24"/>
          <w:szCs w:val="24"/>
        </w:rPr>
      </w:pPr>
    </w:p>
    <w:p w14:paraId="5DFD5FD8">
      <w:pPr>
        <w:adjustRightInd w:val="0"/>
        <w:snapToGrid w:val="0"/>
        <w:spacing w:before="50" w:after="156" w:afterLines="50" w:line="300" w:lineRule="auto"/>
        <w:jc w:val="center"/>
        <w:rPr>
          <w:sz w:val="24"/>
          <w:szCs w:val="24"/>
        </w:rPr>
      </w:pPr>
      <w:r>
        <w:rPr>
          <w:sz w:val="24"/>
          <w:szCs w:val="24"/>
        </w:rPr>
        <w:t>表9 60℃干燥样品焙烤前和焙烤后的质构分析</w:t>
      </w:r>
    </w:p>
    <w:p w14:paraId="40F514C8">
      <w:pPr>
        <w:adjustRightInd w:val="0"/>
        <w:snapToGrid w:val="0"/>
        <w:spacing w:before="50" w:after="156" w:afterLines="50" w:line="300" w:lineRule="auto"/>
        <w:jc w:val="center"/>
        <w:rPr>
          <w:sz w:val="28"/>
          <w:szCs w:val="28"/>
        </w:rPr>
      </w:pPr>
      <w:r>
        <w:rPr>
          <w:sz w:val="28"/>
          <w:szCs w:val="28"/>
        </w:rPr>
        <w:drawing>
          <wp:inline distT="0" distB="0" distL="0" distR="0">
            <wp:extent cx="4949825" cy="3293110"/>
            <wp:effectExtent l="0" t="0" r="3175" b="2540"/>
            <wp:docPr id="1687210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1063" name="图片 1"/>
                    <pic:cNvPicPr>
                      <a:picLocks noChangeAspect="1"/>
                    </pic:cNvPicPr>
                  </pic:nvPicPr>
                  <pic:blipFill>
                    <a:blip r:embed="rId22"/>
                    <a:stretch>
                      <a:fillRect/>
                    </a:stretch>
                  </pic:blipFill>
                  <pic:spPr>
                    <a:xfrm>
                      <a:off x="0" y="0"/>
                      <a:ext cx="4949825" cy="3293110"/>
                    </a:xfrm>
                    <a:prstGeom prst="rect">
                      <a:avLst/>
                    </a:prstGeom>
                  </pic:spPr>
                </pic:pic>
              </a:graphicData>
            </a:graphic>
          </wp:inline>
        </w:drawing>
      </w:r>
    </w:p>
    <w:p w14:paraId="13B41477">
      <w:pPr>
        <w:adjustRightInd w:val="0"/>
        <w:snapToGrid w:val="0"/>
        <w:spacing w:before="50" w:after="156" w:afterLines="50" w:line="300" w:lineRule="auto"/>
        <w:jc w:val="center"/>
        <w:rPr>
          <w:sz w:val="24"/>
          <w:szCs w:val="24"/>
        </w:rPr>
      </w:pPr>
    </w:p>
    <w:p w14:paraId="4C87CE82">
      <w:pPr>
        <w:adjustRightInd w:val="0"/>
        <w:snapToGrid w:val="0"/>
        <w:spacing w:before="50" w:after="156" w:afterLines="50" w:line="300" w:lineRule="auto"/>
        <w:jc w:val="center"/>
        <w:rPr>
          <w:sz w:val="24"/>
          <w:szCs w:val="24"/>
        </w:rPr>
      </w:pPr>
      <w:r>
        <w:rPr>
          <w:sz w:val="24"/>
          <w:szCs w:val="24"/>
        </w:rPr>
        <w:t>表10 70℃干燥样品焙烤前和焙烤后的质构分析</w:t>
      </w:r>
    </w:p>
    <w:p w14:paraId="7FD2FB53">
      <w:pPr>
        <w:adjustRightInd w:val="0"/>
        <w:snapToGrid w:val="0"/>
        <w:spacing w:before="50" w:after="156" w:afterLines="50" w:line="300" w:lineRule="auto"/>
        <w:jc w:val="center"/>
        <w:rPr>
          <w:sz w:val="28"/>
          <w:szCs w:val="28"/>
        </w:rPr>
      </w:pPr>
      <w:r>
        <w:rPr>
          <w:sz w:val="28"/>
          <w:szCs w:val="28"/>
        </w:rPr>
        <w:drawing>
          <wp:inline distT="0" distB="0" distL="0" distR="0">
            <wp:extent cx="5176520" cy="2901315"/>
            <wp:effectExtent l="0" t="0" r="5080" b="13335"/>
            <wp:docPr id="32811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194" name="图片 1"/>
                    <pic:cNvPicPr>
                      <a:picLocks noChangeAspect="1"/>
                    </pic:cNvPicPr>
                  </pic:nvPicPr>
                  <pic:blipFill>
                    <a:blip r:embed="rId23"/>
                    <a:stretch>
                      <a:fillRect/>
                    </a:stretch>
                  </pic:blipFill>
                  <pic:spPr>
                    <a:xfrm>
                      <a:off x="0" y="0"/>
                      <a:ext cx="5176520" cy="2901315"/>
                    </a:xfrm>
                    <a:prstGeom prst="rect">
                      <a:avLst/>
                    </a:prstGeom>
                  </pic:spPr>
                </pic:pic>
              </a:graphicData>
            </a:graphic>
          </wp:inline>
        </w:drawing>
      </w:r>
    </w:p>
    <w:p w14:paraId="42914925">
      <w:pPr>
        <w:adjustRightInd w:val="0"/>
        <w:snapToGrid w:val="0"/>
        <w:spacing w:before="50" w:after="156" w:afterLines="50" w:line="300" w:lineRule="auto"/>
        <w:ind w:firstLine="480" w:firstLineChars="200"/>
        <w:rPr>
          <w:sz w:val="24"/>
          <w:szCs w:val="24"/>
        </w:rPr>
      </w:pPr>
      <w:r>
        <w:rPr>
          <w:sz w:val="24"/>
          <w:szCs w:val="24"/>
        </w:rPr>
        <w:t>DW，YZ，DWK 和 YZK 四种样品，分别在 30 °C、40 °C、50 °C、60 °C、70 °C 干燥温度下干燥至含水量 3-5%，6-8%，和 10-12%，对干燥后（焙烤前）测定质构，以及在 135 °C，35 min 焙烤后进行质构测定，通过脆度和硬度来评价质构结果，质构结果表现为，四种样品在五个干燥温度下，干燥后（焙烤前）在含水量 3-5%时脆度最大硬度最小，在含水量 6-8%时表现次之，在含水量 10-12%时表现最差；在焙烤后，整体脆度变大，整体硬度变小。</w:t>
      </w:r>
    </w:p>
    <w:p w14:paraId="4A0B1EE8">
      <w:pPr>
        <w:spacing w:line="360" w:lineRule="auto"/>
        <w:ind w:firstLine="482" w:firstLineChars="200"/>
        <w:rPr>
          <w:b/>
          <w:sz w:val="24"/>
          <w:szCs w:val="24"/>
        </w:rPr>
      </w:pPr>
      <w:r>
        <w:rPr>
          <w:b/>
          <w:sz w:val="24"/>
          <w:szCs w:val="24"/>
        </w:rPr>
        <w:t>（3）榛坚果的分选</w:t>
      </w:r>
    </w:p>
    <w:p w14:paraId="24D01798">
      <w:pPr>
        <w:adjustRightInd w:val="0"/>
        <w:snapToGrid w:val="0"/>
        <w:spacing w:before="50" w:after="156" w:afterLines="50" w:line="300" w:lineRule="auto"/>
        <w:ind w:firstLine="480" w:firstLineChars="200"/>
        <w:rPr>
          <w:sz w:val="24"/>
          <w:szCs w:val="24"/>
        </w:rPr>
      </w:pPr>
      <w:r>
        <w:rPr>
          <w:sz w:val="24"/>
          <w:szCs w:val="24"/>
        </w:rPr>
        <w:t>分选是现代果蔬高质量贮藏加工的重要环节。当前，坚果分选技术正从传统的风选全面转向以机器视觉、光谱分析、人工智能为核心的智能分选，即通过高精度识别实现产品的精细分级，实现从“合格率”到“优质率”的跨越。近年来，智能X光机和色选机在榛坚果及果仁的“缺陷果”及“等外果”筛选上的应用越来越普遍，它们既可以将带壳坚果中的“瘪仁”、“霉仁”、“空仁”、“病虫果”、“裂果”等残次果以及果壳、枯枝、石块等杂质高效率地筛分出来，还可用于分选去皮榛仁产品中的等外果（如去皮不完全果、外观颜色异常果等），分辨率可高达95%以上，极大地提高了原料的“优质率”。事实证明，尽管经过智能分选的高质量榛坚果原料的市场售价要明显高于未经分选的产品，但更多的生产商和加工企业依然愿意采购经过智能分选的榛坚果及果仁，以保障其生产高质量的加工产品。</w:t>
      </w:r>
    </w:p>
    <w:p w14:paraId="20818B77">
      <w:pPr>
        <w:adjustRightInd w:val="0"/>
        <w:snapToGrid w:val="0"/>
        <w:spacing w:before="50" w:after="156" w:afterLines="50" w:line="300" w:lineRule="auto"/>
        <w:rPr>
          <w:sz w:val="24"/>
          <w:szCs w:val="24"/>
        </w:rPr>
      </w:pPr>
      <w:r>
        <w:rPr>
          <w:sz w:val="24"/>
          <w:szCs w:val="24"/>
        </w:rPr>
        <w:drawing>
          <wp:inline distT="0" distB="0" distL="0" distR="0">
            <wp:extent cx="5278120" cy="1389380"/>
            <wp:effectExtent l="0" t="0" r="0" b="1270"/>
            <wp:docPr id="16042552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55219" name="图片 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8120" cy="1389380"/>
                    </a:xfrm>
                    <a:prstGeom prst="rect">
                      <a:avLst/>
                    </a:prstGeom>
                  </pic:spPr>
                </pic:pic>
              </a:graphicData>
            </a:graphic>
          </wp:inline>
        </w:drawing>
      </w:r>
    </w:p>
    <w:p w14:paraId="4276B86B">
      <w:pPr>
        <w:adjustRightInd w:val="0"/>
        <w:snapToGrid w:val="0"/>
        <w:spacing w:before="50" w:after="156" w:afterLines="50" w:line="300" w:lineRule="auto"/>
        <w:jc w:val="center"/>
        <w:rPr>
          <w:sz w:val="24"/>
          <w:szCs w:val="24"/>
        </w:rPr>
      </w:pPr>
      <w:r>
        <w:rPr>
          <w:sz w:val="24"/>
          <w:szCs w:val="24"/>
        </w:rPr>
        <w:t>图5 榛坚果采后商品化处理产线装备</w:t>
      </w:r>
    </w:p>
    <w:p w14:paraId="666E1F41">
      <w:pPr>
        <w:spacing w:line="360" w:lineRule="auto"/>
        <w:ind w:firstLine="482" w:firstLineChars="200"/>
        <w:rPr>
          <w:b/>
          <w:sz w:val="24"/>
          <w:szCs w:val="24"/>
        </w:rPr>
      </w:pPr>
      <w:bookmarkStart w:id="31" w:name="OLE_LINK13"/>
      <w:r>
        <w:rPr>
          <w:b/>
          <w:sz w:val="24"/>
          <w:szCs w:val="24"/>
        </w:rPr>
        <w:t>（4）榛坚果的脱皮工艺</w:t>
      </w:r>
    </w:p>
    <w:bookmarkEnd w:id="31"/>
    <w:p w14:paraId="48374B33">
      <w:pPr>
        <w:adjustRightInd w:val="0"/>
        <w:snapToGrid w:val="0"/>
        <w:spacing w:before="50" w:after="156" w:afterLines="50" w:line="300" w:lineRule="auto"/>
        <w:ind w:firstLine="480" w:firstLineChars="200"/>
        <w:rPr>
          <w:sz w:val="24"/>
          <w:szCs w:val="24"/>
        </w:rPr>
      </w:pPr>
      <w:r>
        <w:rPr>
          <w:sz w:val="24"/>
          <w:szCs w:val="24"/>
        </w:rPr>
        <w:t>将紧密包裹在榛仁外的种皮脱除以获得光洁的果仁有利于其进一步加工利用。脱皮榛仁尤其在生产榛子乳饮料产品方面更为有利，因为种皮的存在对乳制品的感官品质和物理稳定性影响显著。</w:t>
      </w:r>
    </w:p>
    <w:p w14:paraId="0C4CCF0E">
      <w:pPr>
        <w:adjustRightInd w:val="0"/>
        <w:snapToGrid w:val="0"/>
        <w:spacing w:before="50" w:after="156" w:afterLines="50" w:line="300" w:lineRule="auto"/>
        <w:ind w:firstLine="480" w:firstLineChars="200"/>
        <w:rPr>
          <w:sz w:val="24"/>
          <w:szCs w:val="24"/>
        </w:rPr>
      </w:pPr>
      <w:r>
        <w:rPr>
          <w:sz w:val="24"/>
          <w:szCs w:val="24"/>
        </w:rPr>
        <w:t>脱皮工艺是生产优质初级加工产品的关键控制点之一。目前在生产上使用的榛仁脱皮工艺仍以“湿法脱皮”为主，将在高温浸泡液中浸泡后的榛仁采用高压水喷淋装置将种皮与果仁分离脱除，随后经过干燥环节将榛仁表面水分吹干并将榛仁含水量控制在5%以下。这一方法可以获得种皮残留量在10%以内的脱皮效果；如需更高要求，可以通过人工再分选的方式将残留有种皮的果仁挑出。传统的碱液脱皮法是一种成熟的脱皮方法，尽管这一方法的脱皮效果很好，但随着人们环保意识和食品安全意识的增强，这一方法受到了挑战。人们试图通过其他更安全的方式解决脱皮问题，如提高水浸泡液的温度和延长浸泡时间、酶法脱皮、冻融脱皮、高温高压蒸汽脱皮、烘烤干热脱皮等，但这些方法都会在一定程度上对果仁品质造成不良影响（如质地变软、干燥后易破碎、果仁外观变暗、加工风味不足等），因此脱皮技术还有待进一步改进和提升。</w:t>
      </w:r>
    </w:p>
    <w:p w14:paraId="1C5E0839">
      <w:pPr>
        <w:spacing w:line="360" w:lineRule="auto"/>
        <w:ind w:firstLine="482" w:firstLineChars="200"/>
        <w:rPr>
          <w:b/>
          <w:sz w:val="24"/>
          <w:szCs w:val="24"/>
        </w:rPr>
      </w:pPr>
      <w:r>
        <w:rPr>
          <w:b/>
          <w:sz w:val="24"/>
          <w:szCs w:val="24"/>
        </w:rPr>
        <w:t>（5）包装与贮藏</w:t>
      </w:r>
    </w:p>
    <w:p w14:paraId="5FB1B8CD">
      <w:pPr>
        <w:adjustRightInd w:val="0"/>
        <w:snapToGrid w:val="0"/>
        <w:spacing w:line="288" w:lineRule="auto"/>
        <w:ind w:firstLine="480" w:firstLineChars="200"/>
        <w:rPr>
          <w:sz w:val="24"/>
          <w:szCs w:val="24"/>
        </w:rPr>
      </w:pPr>
      <w:bookmarkStart w:id="32" w:name="OLE_LINK15"/>
      <w:r>
        <w:rPr>
          <w:sz w:val="24"/>
          <w:szCs w:val="24"/>
        </w:rPr>
        <w:t>原料和产品的包装与贮藏技术尤为重要，是品质保持和延长产品保质期的关键。干燥后的坚果、果仁及榛仁碎等初加工产品通常使用具有一定厚度的食品级聚乙烯塑料袋进行真空包装，包装好的原料置于10℃以下干燥、避光环境中贮存，贮存期可长达1年。</w:t>
      </w:r>
    </w:p>
    <w:bookmarkEnd w:id="32"/>
    <w:p w14:paraId="0F257578">
      <w:pPr>
        <w:adjustRightInd w:val="0"/>
        <w:snapToGrid w:val="0"/>
        <w:spacing w:before="50" w:after="156" w:afterLines="50" w:line="300" w:lineRule="auto"/>
        <w:jc w:val="center"/>
        <w:rPr>
          <w:sz w:val="24"/>
          <w:szCs w:val="24"/>
        </w:rPr>
      </w:pPr>
      <w:bookmarkStart w:id="33" w:name="OLE_LINK14"/>
      <w:r>
        <w:rPr>
          <w:sz w:val="24"/>
          <w:szCs w:val="24"/>
        </w:rPr>
        <w:t>表11不同贮藏时间焙烤榛坚果基本营养成分含量（g/100g）</w:t>
      </w:r>
    </w:p>
    <w:bookmarkEnd w:id="33"/>
    <w:p w14:paraId="3981D937">
      <w:pPr>
        <w:adjustRightInd w:val="0"/>
        <w:snapToGrid w:val="0"/>
        <w:spacing w:line="288" w:lineRule="auto"/>
        <w:jc w:val="center"/>
        <w:rPr>
          <w:sz w:val="28"/>
          <w:szCs w:val="28"/>
        </w:rPr>
      </w:pPr>
      <w:r>
        <w:rPr>
          <w:sz w:val="28"/>
          <w:szCs w:val="28"/>
        </w:rPr>
        <w:drawing>
          <wp:inline distT="0" distB="0" distL="0" distR="0">
            <wp:extent cx="5478780" cy="2427605"/>
            <wp:effectExtent l="0" t="0" r="7620" b="10795"/>
            <wp:docPr id="20716349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34911" name="图片 1"/>
                    <pic:cNvPicPr>
                      <a:picLocks noChangeAspect="1"/>
                    </pic:cNvPicPr>
                  </pic:nvPicPr>
                  <pic:blipFill>
                    <a:blip r:embed="rId25"/>
                    <a:stretch>
                      <a:fillRect/>
                    </a:stretch>
                  </pic:blipFill>
                  <pic:spPr>
                    <a:xfrm>
                      <a:off x="0" y="0"/>
                      <a:ext cx="5478780" cy="2427605"/>
                    </a:xfrm>
                    <a:prstGeom prst="rect">
                      <a:avLst/>
                    </a:prstGeom>
                  </pic:spPr>
                </pic:pic>
              </a:graphicData>
            </a:graphic>
          </wp:inline>
        </w:drawing>
      </w:r>
    </w:p>
    <w:p w14:paraId="64BDA836">
      <w:pPr>
        <w:adjustRightInd w:val="0"/>
        <w:snapToGrid w:val="0"/>
        <w:spacing w:before="50" w:after="156" w:afterLines="50" w:line="300" w:lineRule="auto"/>
        <w:jc w:val="center"/>
        <w:rPr>
          <w:sz w:val="24"/>
          <w:szCs w:val="24"/>
        </w:rPr>
      </w:pPr>
      <w:r>
        <w:rPr>
          <w:sz w:val="24"/>
          <w:szCs w:val="24"/>
        </w:rPr>
        <w:t>表12不同贮藏时间焙烤榛坚果脂肪酸相对含量%</w:t>
      </w:r>
    </w:p>
    <w:p w14:paraId="18BBF935">
      <w:pPr>
        <w:adjustRightInd w:val="0"/>
        <w:snapToGrid w:val="0"/>
        <w:spacing w:line="288" w:lineRule="auto"/>
        <w:jc w:val="center"/>
        <w:rPr>
          <w:sz w:val="28"/>
          <w:szCs w:val="28"/>
        </w:rPr>
      </w:pPr>
      <w:r>
        <w:rPr>
          <w:sz w:val="28"/>
          <w:szCs w:val="28"/>
        </w:rPr>
        <w:drawing>
          <wp:inline distT="0" distB="0" distL="0" distR="0">
            <wp:extent cx="5674360" cy="2214245"/>
            <wp:effectExtent l="0" t="0" r="2540" b="14605"/>
            <wp:docPr id="14423551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55158" name="图片 1"/>
                    <pic:cNvPicPr>
                      <a:picLocks noChangeAspect="1"/>
                    </pic:cNvPicPr>
                  </pic:nvPicPr>
                  <pic:blipFill>
                    <a:blip r:embed="rId26"/>
                    <a:stretch>
                      <a:fillRect/>
                    </a:stretch>
                  </pic:blipFill>
                  <pic:spPr>
                    <a:xfrm>
                      <a:off x="0" y="0"/>
                      <a:ext cx="5674360" cy="2214245"/>
                    </a:xfrm>
                    <a:prstGeom prst="rect">
                      <a:avLst/>
                    </a:prstGeom>
                  </pic:spPr>
                </pic:pic>
              </a:graphicData>
            </a:graphic>
          </wp:inline>
        </w:drawing>
      </w:r>
    </w:p>
    <w:p w14:paraId="7C38C9DB">
      <w:pPr>
        <w:adjustRightInd w:val="0"/>
        <w:snapToGrid w:val="0"/>
        <w:spacing w:line="288" w:lineRule="auto"/>
        <w:jc w:val="center"/>
        <w:rPr>
          <w:sz w:val="28"/>
          <w:szCs w:val="28"/>
        </w:rPr>
      </w:pPr>
      <w:r>
        <w:rPr>
          <w:sz w:val="28"/>
          <w:szCs w:val="28"/>
        </w:rPr>
        <w:drawing>
          <wp:inline distT="0" distB="0" distL="0" distR="0">
            <wp:extent cx="4387215" cy="3529330"/>
            <wp:effectExtent l="0" t="0" r="13335" b="13970"/>
            <wp:docPr id="2159995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99563" name="图片 1"/>
                    <pic:cNvPicPr>
                      <a:picLocks noChangeAspect="1"/>
                    </pic:cNvPicPr>
                  </pic:nvPicPr>
                  <pic:blipFill>
                    <a:blip r:embed="rId27"/>
                    <a:stretch>
                      <a:fillRect/>
                    </a:stretch>
                  </pic:blipFill>
                  <pic:spPr>
                    <a:xfrm>
                      <a:off x="0" y="0"/>
                      <a:ext cx="4387215" cy="3529330"/>
                    </a:xfrm>
                    <a:prstGeom prst="rect">
                      <a:avLst/>
                    </a:prstGeom>
                  </pic:spPr>
                </pic:pic>
              </a:graphicData>
            </a:graphic>
          </wp:inline>
        </w:drawing>
      </w:r>
    </w:p>
    <w:p w14:paraId="5BA288C9">
      <w:pPr>
        <w:adjustRightInd w:val="0"/>
        <w:snapToGrid w:val="0"/>
        <w:spacing w:line="288" w:lineRule="auto"/>
        <w:jc w:val="center"/>
        <w:rPr>
          <w:sz w:val="24"/>
          <w:szCs w:val="24"/>
        </w:rPr>
      </w:pPr>
      <w:r>
        <w:rPr>
          <w:sz w:val="24"/>
          <w:szCs w:val="24"/>
        </w:rPr>
        <w:t>图6 焙烤榛坚果贮藏期氧化指标变化趋势</w:t>
      </w:r>
    </w:p>
    <w:p w14:paraId="2DB5BDC6">
      <w:pPr>
        <w:adjustRightInd w:val="0"/>
        <w:snapToGrid w:val="0"/>
        <w:spacing w:line="288" w:lineRule="auto"/>
        <w:jc w:val="center"/>
        <w:rPr>
          <w:sz w:val="28"/>
          <w:szCs w:val="28"/>
        </w:rPr>
      </w:pPr>
      <w:r>
        <w:rPr>
          <w:sz w:val="28"/>
          <w:szCs w:val="28"/>
        </w:rPr>
        <w:drawing>
          <wp:inline distT="0" distB="0" distL="0" distR="0">
            <wp:extent cx="4640580" cy="3726180"/>
            <wp:effectExtent l="0" t="0" r="7620" b="7620"/>
            <wp:docPr id="10226587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58752" name="图片 1"/>
                    <pic:cNvPicPr>
                      <a:picLocks noChangeAspect="1"/>
                    </pic:cNvPicPr>
                  </pic:nvPicPr>
                  <pic:blipFill>
                    <a:blip r:embed="rId28"/>
                    <a:stretch>
                      <a:fillRect/>
                    </a:stretch>
                  </pic:blipFill>
                  <pic:spPr>
                    <a:xfrm>
                      <a:off x="0" y="0"/>
                      <a:ext cx="4640580" cy="3726180"/>
                    </a:xfrm>
                    <a:prstGeom prst="rect">
                      <a:avLst/>
                    </a:prstGeom>
                  </pic:spPr>
                </pic:pic>
              </a:graphicData>
            </a:graphic>
          </wp:inline>
        </w:drawing>
      </w:r>
      <w:bookmarkStart w:id="35" w:name="_GoBack"/>
      <w:bookmarkEnd w:id="35"/>
    </w:p>
    <w:p w14:paraId="727EA4D0">
      <w:pPr>
        <w:adjustRightInd w:val="0"/>
        <w:snapToGrid w:val="0"/>
        <w:spacing w:line="288" w:lineRule="auto"/>
        <w:jc w:val="center"/>
        <w:rPr>
          <w:sz w:val="24"/>
          <w:szCs w:val="24"/>
        </w:rPr>
      </w:pPr>
      <w:r>
        <w:rPr>
          <w:sz w:val="24"/>
          <w:szCs w:val="24"/>
        </w:rPr>
        <w:t>图7 焙烤榛坚果贮藏期关键风味物质</w:t>
      </w:r>
    </w:p>
    <w:p w14:paraId="14328E02">
      <w:pPr>
        <w:adjustRightInd w:val="0"/>
        <w:snapToGrid w:val="0"/>
        <w:spacing w:line="288" w:lineRule="auto"/>
        <w:jc w:val="center"/>
        <w:rPr>
          <w:sz w:val="28"/>
          <w:szCs w:val="28"/>
        </w:rPr>
      </w:pPr>
    </w:p>
    <w:p w14:paraId="1704BD35">
      <w:pPr>
        <w:adjustRightInd w:val="0"/>
        <w:snapToGrid w:val="0"/>
        <w:spacing w:line="288" w:lineRule="auto"/>
        <w:ind w:firstLine="480" w:firstLineChars="200"/>
        <w:rPr>
          <w:sz w:val="24"/>
          <w:szCs w:val="24"/>
        </w:rPr>
      </w:pPr>
      <w:r>
        <w:rPr>
          <w:sz w:val="24"/>
          <w:szCs w:val="24"/>
        </w:rPr>
        <w:t>焙烤榛坚果在贮藏过程中，基本营养成分除粗脂肪外，水分、灰分、糖和蛋白质均呈下降趋势，多不饱和脂肪酸中亚油酸含量降低，单不饱和脂肪酸中油酸含量增加。加速贮藏 21 d时，过氧化值达0.79 g/100g，超出国家标准，结合总氧化值、p -茴香胺值和共轭二烯值变化，预测其常温安全货架期约为10个月。香气成分中酮类、醇类和醛类物质先减少后增加，其中0-21 d以苯乙醛、5-甲基-2-庚烯-4-酮等焙烤特征风味物质为主，而28-42 d则检测到5-己基二氢呋喃酮、壬醛等氧化产物，这些物质与脂质氧化指标显著相关，可作为品质劣变的标志物。本研究揭示了揭示了焙烤榛坚果在贮藏过程中的主要劣变机制，为其货架期预测和贮藏条件优化提供了理论依据。</w:t>
      </w:r>
    </w:p>
    <w:p w14:paraId="013C8B07">
      <w:pPr>
        <w:spacing w:line="360" w:lineRule="auto"/>
        <w:ind w:firstLine="482" w:firstLineChars="200"/>
        <w:rPr>
          <w:b/>
          <w:sz w:val="24"/>
          <w:szCs w:val="24"/>
        </w:rPr>
      </w:pPr>
      <w:r>
        <w:rPr>
          <w:b/>
          <w:sz w:val="24"/>
          <w:szCs w:val="24"/>
        </w:rPr>
        <w:t>2. 技术经济论证</w:t>
      </w:r>
    </w:p>
    <w:p w14:paraId="0AAE39C7">
      <w:pPr>
        <w:adjustRightInd w:val="0"/>
        <w:snapToGrid w:val="0"/>
        <w:spacing w:line="288" w:lineRule="auto"/>
        <w:ind w:firstLine="480" w:firstLineChars="200"/>
        <w:rPr>
          <w:sz w:val="24"/>
          <w:szCs w:val="24"/>
        </w:rPr>
      </w:pPr>
      <w:r>
        <w:rPr>
          <w:sz w:val="24"/>
          <w:szCs w:val="24"/>
        </w:rPr>
        <w:t>本文件是在对我国目前榛子主产区的榛坚果生产以及市场销售状况进行广泛调研的基础上，结合生产上对榛坚果采收、采后处理、贮藏和销售过程中的关键技术需求，以现有规模化生产所普遍具备的设备、设施条件为支撑，形成了《榛坚果采后商品化处理技术规范》。本文件作为加工用榛坚果采收和此后商品化处理过程中质量控制的重要技术依据，发布实施后，将显著提高我国现有榛坚果产后质量，通过在主要榛子生产、加工与营销等企业进行技术示范和推广，推进榛坚果采后商品化处理技术水平，提升产品品质和标准化水平，实现榛子采后减损降耗和产业增值。</w:t>
      </w:r>
    </w:p>
    <w:p w14:paraId="6270E92F">
      <w:pPr>
        <w:adjustRightInd w:val="0"/>
        <w:snapToGrid w:val="0"/>
        <w:spacing w:line="288" w:lineRule="auto"/>
        <w:ind w:firstLine="480" w:firstLineChars="200"/>
        <w:rPr>
          <w:sz w:val="24"/>
          <w:szCs w:val="24"/>
        </w:rPr>
      </w:pPr>
      <w:r>
        <w:rPr>
          <w:sz w:val="24"/>
          <w:szCs w:val="24"/>
        </w:rPr>
        <w:t>榛坚果产地初加工与采后商品化处理技术生产示范，新增生产线1条，2025年累计生产约200吨，销售额突破300万元。</w:t>
      </w:r>
      <w:r>
        <w:rPr>
          <w:rFonts w:hint="eastAsia"/>
          <w:sz w:val="24"/>
          <w:szCs w:val="24"/>
        </w:rPr>
        <w:t>通过走返企业调研可知，榛坚果经</w:t>
      </w:r>
      <w:r>
        <w:rPr>
          <w:sz w:val="24"/>
          <w:szCs w:val="24"/>
        </w:rPr>
        <w:t>智能分选后瘪仁、霉仁、空壳等缺陷果率≤5%，价格提升4-8元/kg；脱皮榛仁120元/kg,较带皮榛仁多20-30元/kg，</w:t>
      </w:r>
      <w:r>
        <w:rPr>
          <w:rFonts w:hint="eastAsia"/>
          <w:sz w:val="24"/>
          <w:szCs w:val="24"/>
        </w:rPr>
        <w:t>市场</w:t>
      </w:r>
      <w:r>
        <w:rPr>
          <w:sz w:val="24"/>
          <w:szCs w:val="24"/>
        </w:rPr>
        <w:t>需求旺盛。</w:t>
      </w:r>
    </w:p>
    <w:p w14:paraId="58EB3D8B">
      <w:pPr>
        <w:spacing w:line="360" w:lineRule="auto"/>
        <w:ind w:firstLine="482" w:firstLineChars="200"/>
        <w:rPr>
          <w:b/>
          <w:sz w:val="24"/>
          <w:szCs w:val="24"/>
        </w:rPr>
      </w:pPr>
      <w:r>
        <w:rPr>
          <w:b/>
          <w:sz w:val="24"/>
          <w:szCs w:val="24"/>
        </w:rPr>
        <w:t>3. 预期的经济效益、社会效益和生态效益</w:t>
      </w:r>
    </w:p>
    <w:p w14:paraId="308E0DB1">
      <w:pPr>
        <w:adjustRightInd w:val="0"/>
        <w:snapToGrid w:val="0"/>
        <w:spacing w:line="288" w:lineRule="auto"/>
        <w:ind w:firstLine="480" w:firstLineChars="200"/>
        <w:rPr>
          <w:sz w:val="24"/>
          <w:szCs w:val="24"/>
        </w:rPr>
      </w:pPr>
      <w:r>
        <w:rPr>
          <w:rFonts w:hint="eastAsia"/>
          <w:sz w:val="24"/>
          <w:szCs w:val="24"/>
        </w:rPr>
        <w:t>榛子作为我国重要的新兴木本粮油经济林树种，是“森林粮库”的重要贡献者，是“大食物观”的重要参与者。榛子以其优异的营养品质和出色的加工性能为构建我国多元化食物供给体系贡献了美味和营养。榛子是兼具营养与经济价值的重要树坚果，全球商业化栽培规模持续扩大，生产重心在传统主产国（土耳其、意大利、美国）的基础上，正向智利、阿塞拜疆、格鲁吉亚等新兴产区延伸，全球供应格局日趋多元化。</w:t>
      </w:r>
    </w:p>
    <w:p w14:paraId="1837A40F">
      <w:pPr>
        <w:adjustRightInd w:val="0"/>
        <w:snapToGrid w:val="0"/>
        <w:spacing w:line="288" w:lineRule="auto"/>
        <w:ind w:firstLine="480" w:firstLineChars="200"/>
        <w:rPr>
          <w:sz w:val="24"/>
          <w:szCs w:val="24"/>
        </w:rPr>
      </w:pPr>
      <w:r>
        <w:rPr>
          <w:rFonts w:hint="eastAsia"/>
          <w:sz w:val="24"/>
          <w:szCs w:val="24"/>
        </w:rPr>
        <w:t>我国榛子规模化生产起步较晚，采后商品化处理观念缺失、技术落后、装备简陋、标准化和智能化程度低，缺乏生产技术规范指导，传统小作坊式生产效率低下、产品质量不可控，难以满足现代工业加工对原料产品品质的高质量要求。因此，加速榛坚果采后商品化处理的现代化进程是全面提升坚果采后品质、整体提升我国榛子生产水平的关键环节。</w:t>
      </w:r>
      <w:bookmarkStart w:id="34" w:name="OLE_LINK20"/>
      <w:r>
        <w:rPr>
          <w:rFonts w:hint="eastAsia"/>
          <w:sz w:val="24"/>
          <w:szCs w:val="24"/>
        </w:rPr>
        <w:t>加大适用于不同场景的采收机械装备研发力度，提高采收效率。制定坚果采收与采后商品化处理技术规范，建立榛坚果产地初加工HACCP质量管理体系，加大技术服务和宣传普及力度，加大榛子采后商品化处理专用智能化机械装备的研发与推广力度，提高关键生产技术环节精准调控水平，全面提升采后商品化处理水平和生产能力，满足大规模、高质量产品需求。</w:t>
      </w:r>
      <w:bookmarkEnd w:id="34"/>
    </w:p>
    <w:p w14:paraId="74CAACB0">
      <w:pPr>
        <w:adjustRightInd w:val="0"/>
        <w:snapToGrid w:val="0"/>
        <w:spacing w:line="288" w:lineRule="auto"/>
        <w:ind w:firstLine="480" w:firstLineChars="200"/>
        <w:rPr>
          <w:sz w:val="24"/>
          <w:szCs w:val="24"/>
        </w:rPr>
      </w:pPr>
      <w:r>
        <w:rPr>
          <w:sz w:val="24"/>
          <w:szCs w:val="24"/>
        </w:rPr>
        <w:t>本</w:t>
      </w:r>
      <w:r>
        <w:rPr>
          <w:rFonts w:hint="eastAsia"/>
          <w:sz w:val="24"/>
          <w:szCs w:val="24"/>
        </w:rPr>
        <w:t>标准的指定</w:t>
      </w:r>
      <w:r>
        <w:rPr>
          <w:sz w:val="24"/>
          <w:szCs w:val="24"/>
        </w:rPr>
        <w:t>与实施将弥补我国在此领域标准的缺失，为</w:t>
      </w:r>
      <w:r>
        <w:rPr>
          <w:rFonts w:hint="eastAsia"/>
          <w:sz w:val="24"/>
          <w:szCs w:val="24"/>
        </w:rPr>
        <w:t>榛坚果采后商品化处理</w:t>
      </w:r>
      <w:r>
        <w:rPr>
          <w:sz w:val="24"/>
          <w:szCs w:val="24"/>
        </w:rPr>
        <w:t>技术</w:t>
      </w:r>
      <w:r>
        <w:rPr>
          <w:rFonts w:hint="eastAsia"/>
          <w:sz w:val="24"/>
          <w:szCs w:val="24"/>
        </w:rPr>
        <w:t>的</w:t>
      </w:r>
      <w:r>
        <w:rPr>
          <w:sz w:val="24"/>
          <w:szCs w:val="24"/>
        </w:rPr>
        <w:t>标准化提供了依据，</w:t>
      </w:r>
      <w:r>
        <w:rPr>
          <w:rFonts w:hint="eastAsia"/>
          <w:sz w:val="24"/>
          <w:szCs w:val="24"/>
        </w:rPr>
        <w:t>对</w:t>
      </w:r>
      <w:r>
        <w:rPr>
          <w:sz w:val="24"/>
          <w:szCs w:val="24"/>
        </w:rPr>
        <w:t>促进我国</w:t>
      </w:r>
      <w:r>
        <w:rPr>
          <w:rFonts w:hint="eastAsia"/>
          <w:sz w:val="24"/>
          <w:szCs w:val="24"/>
        </w:rPr>
        <w:t>榛子</w:t>
      </w:r>
      <w:r>
        <w:rPr>
          <w:sz w:val="24"/>
          <w:szCs w:val="24"/>
        </w:rPr>
        <w:t>产业的快速健康发展具有重要作用，有利于引导我国</w:t>
      </w:r>
      <w:r>
        <w:rPr>
          <w:rFonts w:hint="eastAsia"/>
          <w:sz w:val="24"/>
          <w:szCs w:val="24"/>
        </w:rPr>
        <w:t>榛子生产经营</w:t>
      </w:r>
      <w:r>
        <w:rPr>
          <w:sz w:val="24"/>
          <w:szCs w:val="24"/>
        </w:rPr>
        <w:t>企业积极采用规范的技术标准，提高我国</w:t>
      </w:r>
      <w:r>
        <w:rPr>
          <w:rFonts w:hint="eastAsia"/>
          <w:sz w:val="24"/>
          <w:szCs w:val="24"/>
        </w:rPr>
        <w:t>榛子</w:t>
      </w:r>
      <w:r>
        <w:rPr>
          <w:sz w:val="24"/>
          <w:szCs w:val="24"/>
        </w:rPr>
        <w:t>行业的整体技术规范性和专业性。标准实施后能够有效规范</w:t>
      </w:r>
      <w:r>
        <w:rPr>
          <w:rFonts w:hint="eastAsia"/>
          <w:sz w:val="24"/>
          <w:szCs w:val="24"/>
        </w:rPr>
        <w:t>榛坚果采收及采后商品化处理</w:t>
      </w:r>
      <w:r>
        <w:rPr>
          <w:sz w:val="24"/>
          <w:szCs w:val="24"/>
        </w:rPr>
        <w:t>操作</w:t>
      </w:r>
      <w:r>
        <w:rPr>
          <w:rFonts w:hint="eastAsia"/>
          <w:sz w:val="24"/>
          <w:szCs w:val="24"/>
        </w:rPr>
        <w:t>流程</w:t>
      </w:r>
      <w:r>
        <w:rPr>
          <w:sz w:val="24"/>
          <w:szCs w:val="24"/>
        </w:rPr>
        <w:t>，有效提高</w:t>
      </w:r>
      <w:r>
        <w:rPr>
          <w:rFonts w:hint="eastAsia"/>
          <w:sz w:val="24"/>
          <w:szCs w:val="24"/>
        </w:rPr>
        <w:t>榛坚果</w:t>
      </w:r>
      <w:r>
        <w:rPr>
          <w:sz w:val="24"/>
          <w:szCs w:val="24"/>
        </w:rPr>
        <w:t>采后技术的标准化程度，有效地提升产品质量安全控制水平，提高产品生产效率，保障消费者食物安全，并推动</w:t>
      </w:r>
      <w:r>
        <w:rPr>
          <w:rFonts w:hint="eastAsia"/>
          <w:sz w:val="24"/>
          <w:szCs w:val="24"/>
        </w:rPr>
        <w:t>榛子</w:t>
      </w:r>
      <w:r>
        <w:rPr>
          <w:sz w:val="24"/>
          <w:szCs w:val="24"/>
        </w:rPr>
        <w:t>产业升级，增强生产企业的盈利能力。标准化的生产不仅使产品具有良好的品质，显著提高了产区种植者、产品经销商等的经济效益，极大地带动了地区经济的发展。因此，本标准的实施将进一步提升</w:t>
      </w:r>
      <w:r>
        <w:rPr>
          <w:rFonts w:hint="eastAsia"/>
          <w:sz w:val="24"/>
          <w:szCs w:val="24"/>
        </w:rPr>
        <w:t>榛子</w:t>
      </w:r>
      <w:r>
        <w:rPr>
          <w:sz w:val="24"/>
          <w:szCs w:val="24"/>
        </w:rPr>
        <w:t>全产业链</w:t>
      </w:r>
      <w:r>
        <w:rPr>
          <w:rFonts w:hint="eastAsia"/>
          <w:sz w:val="24"/>
          <w:szCs w:val="24"/>
        </w:rPr>
        <w:t>生产的</w:t>
      </w:r>
      <w:r>
        <w:rPr>
          <w:sz w:val="24"/>
          <w:szCs w:val="24"/>
        </w:rPr>
        <w:t>整体水平，具有良好的社会、经济和生态效益。</w:t>
      </w:r>
    </w:p>
    <w:p w14:paraId="72B17E6A">
      <w:pPr>
        <w:spacing w:line="360" w:lineRule="auto"/>
        <w:ind w:firstLine="482" w:firstLineChars="200"/>
        <w:rPr>
          <w:rFonts w:eastAsia="黑体"/>
          <w:b/>
          <w:bCs/>
          <w:kern w:val="0"/>
          <w:sz w:val="24"/>
          <w:szCs w:val="24"/>
        </w:rPr>
      </w:pPr>
      <w:r>
        <w:rPr>
          <w:rFonts w:eastAsia="黑体"/>
          <w:b/>
          <w:bCs/>
          <w:kern w:val="0"/>
          <w:sz w:val="24"/>
          <w:szCs w:val="24"/>
        </w:rPr>
        <w:t>四、标准涉及的相关知识产权说明</w:t>
      </w:r>
    </w:p>
    <w:p w14:paraId="6C3E1176">
      <w:pPr>
        <w:adjustRightInd w:val="0"/>
        <w:snapToGrid w:val="0"/>
        <w:spacing w:before="50" w:after="156" w:afterLines="50" w:line="300" w:lineRule="auto"/>
        <w:ind w:firstLine="480" w:firstLineChars="200"/>
        <w:rPr>
          <w:sz w:val="24"/>
          <w:szCs w:val="24"/>
        </w:rPr>
      </w:pPr>
      <w:r>
        <w:rPr>
          <w:sz w:val="24"/>
          <w:szCs w:val="24"/>
        </w:rPr>
        <w:t>本文件中所有涉及到与有关现行法律、法规和强制性国家标准的内容，均遵照执行。本文件未涉及有关专利、著作内容。本文件涉及的技术内容均来源于标准编写工作组成员的研究成果。</w:t>
      </w:r>
    </w:p>
    <w:p w14:paraId="1E4BA26B">
      <w:pPr>
        <w:spacing w:line="360" w:lineRule="auto"/>
        <w:ind w:firstLine="482" w:firstLineChars="200"/>
        <w:rPr>
          <w:rFonts w:eastAsia="黑体"/>
          <w:b/>
          <w:bCs/>
          <w:kern w:val="0"/>
          <w:sz w:val="24"/>
          <w:szCs w:val="24"/>
        </w:rPr>
      </w:pPr>
      <w:r>
        <w:rPr>
          <w:rFonts w:eastAsia="黑体"/>
          <w:b/>
          <w:bCs/>
          <w:kern w:val="0"/>
          <w:sz w:val="24"/>
          <w:szCs w:val="24"/>
        </w:rPr>
        <w:t>五、采用国际标准的程度与水平的简要说明</w:t>
      </w:r>
    </w:p>
    <w:p w14:paraId="7F5548DB">
      <w:pPr>
        <w:adjustRightInd w:val="0"/>
        <w:snapToGrid w:val="0"/>
        <w:spacing w:before="50" w:after="156" w:afterLines="50" w:line="300" w:lineRule="auto"/>
        <w:ind w:firstLine="480" w:firstLineChars="200"/>
        <w:rPr>
          <w:sz w:val="24"/>
          <w:szCs w:val="24"/>
        </w:rPr>
      </w:pPr>
      <w:r>
        <w:rPr>
          <w:sz w:val="24"/>
          <w:szCs w:val="24"/>
        </w:rPr>
        <w:t>国际上没有同类标准技术。</w:t>
      </w:r>
    </w:p>
    <w:p w14:paraId="56A2AABA">
      <w:pPr>
        <w:spacing w:line="360" w:lineRule="auto"/>
        <w:ind w:firstLine="482" w:firstLineChars="200"/>
        <w:rPr>
          <w:rFonts w:eastAsia="黑体"/>
          <w:b/>
          <w:bCs/>
          <w:kern w:val="0"/>
          <w:sz w:val="24"/>
          <w:szCs w:val="24"/>
        </w:rPr>
      </w:pPr>
      <w:r>
        <w:rPr>
          <w:rFonts w:eastAsia="黑体"/>
          <w:b/>
          <w:bCs/>
          <w:kern w:val="0"/>
          <w:sz w:val="24"/>
          <w:szCs w:val="24"/>
        </w:rPr>
        <w:t>六、重大意见分歧的处理经过和依据</w:t>
      </w:r>
    </w:p>
    <w:p w14:paraId="1A895975">
      <w:pPr>
        <w:adjustRightInd w:val="0"/>
        <w:snapToGrid w:val="0"/>
        <w:spacing w:before="50" w:after="156" w:afterLines="50" w:line="300" w:lineRule="auto"/>
        <w:ind w:firstLine="480" w:firstLineChars="200"/>
        <w:rPr>
          <w:sz w:val="24"/>
          <w:szCs w:val="24"/>
        </w:rPr>
      </w:pPr>
      <w:r>
        <w:rPr>
          <w:sz w:val="24"/>
          <w:szCs w:val="24"/>
        </w:rPr>
        <w:t>无。</w:t>
      </w:r>
    </w:p>
    <w:p w14:paraId="397C82D4">
      <w:pPr>
        <w:spacing w:line="360" w:lineRule="auto"/>
        <w:ind w:firstLine="482" w:firstLineChars="200"/>
        <w:rPr>
          <w:rFonts w:eastAsia="黑体"/>
          <w:b/>
          <w:bCs/>
          <w:kern w:val="0"/>
          <w:sz w:val="24"/>
          <w:szCs w:val="24"/>
        </w:rPr>
      </w:pPr>
      <w:r>
        <w:rPr>
          <w:rFonts w:eastAsia="黑体"/>
          <w:b/>
          <w:bCs/>
          <w:kern w:val="0"/>
          <w:sz w:val="24"/>
          <w:szCs w:val="24"/>
        </w:rPr>
        <w:t>七、其他应予说明的事项。</w:t>
      </w:r>
    </w:p>
    <w:p w14:paraId="78B3D003">
      <w:pPr>
        <w:adjustRightInd w:val="0"/>
        <w:snapToGrid w:val="0"/>
        <w:spacing w:before="50" w:after="156" w:afterLines="50" w:line="300" w:lineRule="auto"/>
        <w:ind w:firstLine="480" w:firstLineChars="200"/>
        <w:rPr>
          <w:sz w:val="24"/>
          <w:szCs w:val="24"/>
        </w:rPr>
      </w:pPr>
      <w:r>
        <w:rPr>
          <w:sz w:val="24"/>
          <w:szCs w:val="24"/>
        </w:rPr>
        <w:t>无。</w:t>
      </w:r>
    </w:p>
    <w:p w14:paraId="253FEA7E">
      <w:pPr>
        <w:rPr>
          <w:sz w:val="28"/>
          <w:szCs w:val="28"/>
        </w:rPr>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0DDF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D6B9BE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7D6B9BE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FF"/>
    <w:rsid w:val="00010A26"/>
    <w:rsid w:val="00015ABB"/>
    <w:rsid w:val="0002527C"/>
    <w:rsid w:val="000431F4"/>
    <w:rsid w:val="00063895"/>
    <w:rsid w:val="00063CFD"/>
    <w:rsid w:val="000837CF"/>
    <w:rsid w:val="000B15DF"/>
    <w:rsid w:val="000D5ADB"/>
    <w:rsid w:val="000F130E"/>
    <w:rsid w:val="00101F33"/>
    <w:rsid w:val="00196145"/>
    <w:rsid w:val="001E0A2E"/>
    <w:rsid w:val="0020598C"/>
    <w:rsid w:val="00212BC6"/>
    <w:rsid w:val="00217917"/>
    <w:rsid w:val="00232B7E"/>
    <w:rsid w:val="00277F29"/>
    <w:rsid w:val="002E4EA9"/>
    <w:rsid w:val="003A6A82"/>
    <w:rsid w:val="00416873"/>
    <w:rsid w:val="00474E61"/>
    <w:rsid w:val="004C2D24"/>
    <w:rsid w:val="00502DAA"/>
    <w:rsid w:val="00514DE8"/>
    <w:rsid w:val="005957FA"/>
    <w:rsid w:val="005A7A7E"/>
    <w:rsid w:val="005D316D"/>
    <w:rsid w:val="005E32A5"/>
    <w:rsid w:val="00612184"/>
    <w:rsid w:val="00613DB2"/>
    <w:rsid w:val="006248BF"/>
    <w:rsid w:val="006503B5"/>
    <w:rsid w:val="006A4AAC"/>
    <w:rsid w:val="00722DD6"/>
    <w:rsid w:val="007277EC"/>
    <w:rsid w:val="007300E0"/>
    <w:rsid w:val="00787C1F"/>
    <w:rsid w:val="00791FD0"/>
    <w:rsid w:val="007940A7"/>
    <w:rsid w:val="007F61E9"/>
    <w:rsid w:val="0081010A"/>
    <w:rsid w:val="00815656"/>
    <w:rsid w:val="00824225"/>
    <w:rsid w:val="00855263"/>
    <w:rsid w:val="00860C0A"/>
    <w:rsid w:val="008668CB"/>
    <w:rsid w:val="008F5797"/>
    <w:rsid w:val="00906555"/>
    <w:rsid w:val="00947260"/>
    <w:rsid w:val="00976299"/>
    <w:rsid w:val="009F1476"/>
    <w:rsid w:val="009F40B9"/>
    <w:rsid w:val="00A04879"/>
    <w:rsid w:val="00A446AB"/>
    <w:rsid w:val="00A67527"/>
    <w:rsid w:val="00AB4DFC"/>
    <w:rsid w:val="00AE7424"/>
    <w:rsid w:val="00B16167"/>
    <w:rsid w:val="00B3417B"/>
    <w:rsid w:val="00B5398A"/>
    <w:rsid w:val="00BF4BFA"/>
    <w:rsid w:val="00C342B2"/>
    <w:rsid w:val="00C3644A"/>
    <w:rsid w:val="00C6626E"/>
    <w:rsid w:val="00C734BE"/>
    <w:rsid w:val="00C84132"/>
    <w:rsid w:val="00C86020"/>
    <w:rsid w:val="00CF197F"/>
    <w:rsid w:val="00CF56FF"/>
    <w:rsid w:val="00D21D4D"/>
    <w:rsid w:val="00D54A3F"/>
    <w:rsid w:val="00D804FC"/>
    <w:rsid w:val="00D817AC"/>
    <w:rsid w:val="00D92E98"/>
    <w:rsid w:val="00DB0192"/>
    <w:rsid w:val="00DC1B5E"/>
    <w:rsid w:val="00EE7220"/>
    <w:rsid w:val="00F1174B"/>
    <w:rsid w:val="00F31F59"/>
    <w:rsid w:val="00F65624"/>
    <w:rsid w:val="00FA1013"/>
    <w:rsid w:val="00FB36A1"/>
    <w:rsid w:val="00FD7F1C"/>
    <w:rsid w:val="6F7F2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35"/>
    <w:pPr>
      <w:spacing w:line="300" w:lineRule="auto"/>
      <w:ind w:firstLine="200" w:firstLineChars="200"/>
    </w:pPr>
    <w:rPr>
      <w:rFonts w:eastAsia="黑体" w:asciiTheme="majorHAnsi" w:hAnsiTheme="majorHAnsi" w:cstheme="majorBidi"/>
      <w:sz w:val="20"/>
    </w:rPr>
  </w:style>
  <w:style w:type="paragraph" w:styleId="3">
    <w:name w:val="annotation text"/>
    <w:basedOn w:val="1"/>
    <w:link w:val="15"/>
    <w:unhideWhenUsed/>
    <w:qFormat/>
    <w:uiPriority w:val="99"/>
    <w:pPr>
      <w:jc w:val="left"/>
    </w:pPr>
    <w:rPr>
      <w:rFonts w:asciiTheme="minorHAnsi" w:hAnsiTheme="minorHAnsi" w:eastAsiaTheme="minorEastAsia" w:cstheme="minorBidi"/>
      <w:szCs w:val="22"/>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59"/>
    <w:rPr>
      <w:rFonts w:eastAsia="微软雅黑"/>
      <w:kern w:val="0"/>
      <w:sz w:val="22"/>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widowControl/>
      <w:adjustRightInd w:val="0"/>
      <w:snapToGrid w:val="0"/>
      <w:spacing w:after="200"/>
      <w:ind w:firstLine="420" w:firstLineChars="200"/>
      <w:jc w:val="left"/>
    </w:pPr>
    <w:rPr>
      <w:rFonts w:ascii="Tahoma" w:hAnsi="Tahoma" w:eastAsia="微软雅黑" w:cstheme="minorBidi"/>
      <w:kern w:val="0"/>
      <w:sz w:val="22"/>
      <w:szCs w:val="22"/>
    </w:rPr>
  </w:style>
  <w:style w:type="paragraph" w:customStyle="1" w:styleId="13">
    <w:name w:val="标准文件_段"/>
    <w:link w:val="14"/>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14">
    <w:name w:val="标准文件_段 Char"/>
    <w:link w:val="13"/>
    <w:uiPriority w:val="0"/>
    <w:rPr>
      <w:rFonts w:ascii="宋体" w:hAnsi="Times New Roman" w:eastAsia="宋体" w:cs="Times New Roman"/>
      <w:kern w:val="0"/>
      <w:szCs w:val="20"/>
    </w:rPr>
  </w:style>
  <w:style w:type="character" w:customStyle="1" w:styleId="15">
    <w:name w:val="批注文字 字符"/>
    <w:basedOn w:val="8"/>
    <w:link w:val="3"/>
    <w:uiPriority w:val="99"/>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jpe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11111&#21271;&#20140;\&#21338;&#22763;&#23454;&#39564;\&#27605;&#19994;&#35770;&#25991;\&#25968;&#25454;\&#31532;&#19977;&#31456;&#19981;&#21516;&#37319;&#25910;&#26399;&#25968;&#25454;\&#20998;&#265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1111&#21271;&#20140;\&#21338;&#22763;&#23454;&#39564;\&#27605;&#19994;&#35770;&#25991;\&#25968;&#25454;\&#31532;&#19977;&#31456;&#19981;&#21516;&#37319;&#25910;&#26399;&#25968;&#25454;\&#20998;&#265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1111&#21271;&#20140;\&#21338;&#22763;&#23454;&#39564;\&#27605;&#19994;&#35770;&#25991;\&#25968;&#25454;\&#31532;&#19977;&#31456;&#19981;&#21516;&#37319;&#25910;&#26399;&#25968;&#25454;\&#20998;&#265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11111&#21271;&#20140;\&#21338;&#22763;&#23454;&#39564;\&#27605;&#19994;&#35770;&#25991;\&#25968;&#25454;\&#31532;&#19977;&#31456;&#19981;&#21516;&#37319;&#25910;&#26399;&#25968;&#25454;\&#20998;&#265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11111&#21271;&#20140;\&#21338;&#22763;&#23454;&#39564;\&#27605;&#19994;&#35770;&#25991;\&#25968;&#25454;\&#31532;&#19977;&#31456;&#19981;&#21516;&#37319;&#25910;&#26399;&#25968;&#25454;\&#20998;&#2651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11111&#21271;&#20140;\&#21338;&#22763;&#23454;&#39564;\&#27605;&#19994;&#35770;&#25991;\&#25968;&#25454;\&#31532;&#19977;&#31456;&#19981;&#21516;&#37319;&#25910;&#26399;&#25968;&#25454;\&#20998;&#2651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11111&#21271;&#20140;\&#21338;&#22763;&#23454;&#39564;\&#27605;&#19994;&#35770;&#25991;\&#25968;&#25454;\&#31532;&#19977;&#31456;&#19981;&#21516;&#37319;&#25910;&#26399;&#25968;&#25454;\&#20998;&#265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8293963254593"/>
          <c:y val="0.0514005540974045"/>
          <c:w val="0.832999125109362"/>
          <c:h val="0.74622990371329"/>
        </c:manualLayout>
      </c:layout>
      <c:lineChart>
        <c:grouping val="standard"/>
        <c:varyColors val="0"/>
        <c:ser>
          <c:idx val="0"/>
          <c:order val="0"/>
          <c:tx>
            <c:strRef>
              <c:f>含水量!$K$66</c:f>
              <c:strCache>
                <c:ptCount val="1"/>
                <c:pt idx="0">
                  <c:v>果苞leafy cover</c:v>
                </c:pt>
              </c:strCache>
            </c:strRef>
          </c:tx>
          <c:dLbls>
            <c:dLbl>
              <c:idx val="0"/>
              <c:layout>
                <c:manualLayout>
                  <c:x val="-0.0317084426946632"/>
                  <c:y val="0.0563647928410064"/>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a:t>
                    </a:r>
                    <a:endParaRPr lang="en-US" altLang="en-US"/>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Dir val="y"/>
            <c:errBarType val="both"/>
            <c:errValType val="cust"/>
            <c:noEndCap val="0"/>
            <c:plus>
              <c:numRef>
                <c:f>含水量!$N$67:$N$72</c:f>
                <c:numCache>
                  <c:formatCode>General</c:formatCode>
                  <c:ptCount val="6"/>
                  <c:pt idx="0">
                    <c:v>0.33996153585444</c:v>
                  </c:pt>
                  <c:pt idx="1">
                    <c:v>0.230040151785962</c:v>
                  </c:pt>
                  <c:pt idx="2">
                    <c:v>0.760949178835249</c:v>
                  </c:pt>
                  <c:pt idx="3">
                    <c:v>0.538303815242488</c:v>
                  </c:pt>
                  <c:pt idx="4">
                    <c:v>1.32593885720356</c:v>
                  </c:pt>
                  <c:pt idx="5">
                    <c:v>1.90197542058578</c:v>
                  </c:pt>
                </c:numCache>
              </c:numRef>
            </c:plus>
            <c:minus>
              <c:numRef>
                <c:f>含水量!$N$67:$N$72</c:f>
                <c:numCache>
                  <c:formatCode>General</c:formatCode>
                  <c:ptCount val="6"/>
                  <c:pt idx="0">
                    <c:v>0.33996153585444</c:v>
                  </c:pt>
                  <c:pt idx="1">
                    <c:v>0.230040151785962</c:v>
                  </c:pt>
                  <c:pt idx="2">
                    <c:v>0.760949178835249</c:v>
                  </c:pt>
                  <c:pt idx="3">
                    <c:v>0.538303815242488</c:v>
                  </c:pt>
                  <c:pt idx="4">
                    <c:v>1.32593885720356</c:v>
                  </c:pt>
                  <c:pt idx="5">
                    <c:v>1.90197542058578</c:v>
                  </c:pt>
                </c:numCache>
              </c:numRef>
            </c:minus>
          </c:errBars>
          <c:cat>
            <c:numRef>
              <c:f>含水量!$J$67:$J$72</c:f>
              <c:numCache>
                <c:formatCode>General</c:formatCode>
                <c:ptCount val="6"/>
                <c:pt idx="0">
                  <c:v>1</c:v>
                </c:pt>
                <c:pt idx="1">
                  <c:v>2</c:v>
                </c:pt>
                <c:pt idx="2">
                  <c:v>3</c:v>
                </c:pt>
                <c:pt idx="3">
                  <c:v>4</c:v>
                </c:pt>
                <c:pt idx="4">
                  <c:v>5</c:v>
                </c:pt>
                <c:pt idx="5">
                  <c:v>6</c:v>
                </c:pt>
              </c:numCache>
            </c:numRef>
          </c:cat>
          <c:val>
            <c:numRef>
              <c:f>含水量!$K$67:$K$72</c:f>
              <c:numCache>
                <c:formatCode>General</c:formatCode>
                <c:ptCount val="6"/>
                <c:pt idx="0">
                  <c:v>77.9907096014797</c:v>
                </c:pt>
                <c:pt idx="1">
                  <c:v>80.5380381960142</c:v>
                </c:pt>
                <c:pt idx="2">
                  <c:v>80.552465211556</c:v>
                </c:pt>
                <c:pt idx="3">
                  <c:v>80.7683998779478</c:v>
                </c:pt>
                <c:pt idx="4">
                  <c:v>80.5611900668932</c:v>
                </c:pt>
                <c:pt idx="5">
                  <c:v>77.2325269950351</c:v>
                </c:pt>
              </c:numCache>
            </c:numRef>
          </c:val>
          <c:smooth val="0"/>
        </c:ser>
        <c:ser>
          <c:idx val="1"/>
          <c:order val="1"/>
          <c:tx>
            <c:strRef>
              <c:f>含水量!$L$66</c:f>
              <c:strCache>
                <c:ptCount val="1"/>
                <c:pt idx="0">
                  <c:v>果壳shell</c:v>
                </c:pt>
              </c:strCache>
            </c:strRef>
          </c:tx>
          <c:dLbls>
            <c:dLbl>
              <c:idx val="0"/>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f</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e</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d</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3"/>
              <c:layout>
                <c:manualLayout>
                  <c:x val="-0.0322292213473316"/>
                  <c:y val="0.0675068541223435"/>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338681102362205"/>
                  <c:y val="0.0675068541223435"/>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c</a:t>
                    </a:r>
                    <a:endParaRPr lang="en-US" altLang="en-US"/>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34486220472441"/>
                  <c:y val="0.0675068541223433"/>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a:t>
                    </a:r>
                    <a:endParaRPr lang="en-US" altLang="en-US"/>
                  </a:p>
                </c:rich>
              </c:tx>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Dir val="y"/>
            <c:errBarType val="both"/>
            <c:errValType val="cust"/>
            <c:noEndCap val="0"/>
            <c:plus>
              <c:numRef>
                <c:f>含水量!$O$67:$O$72</c:f>
                <c:numCache>
                  <c:formatCode>General</c:formatCode>
                  <c:ptCount val="6"/>
                  <c:pt idx="0">
                    <c:v>1.61088201662441</c:v>
                  </c:pt>
                  <c:pt idx="1">
                    <c:v>0.540557390786294</c:v>
                  </c:pt>
                  <c:pt idx="2">
                    <c:v>1.27331596578682</c:v>
                  </c:pt>
                  <c:pt idx="3">
                    <c:v>0.599146472790751</c:v>
                  </c:pt>
                  <c:pt idx="4">
                    <c:v>0.346060936468017</c:v>
                  </c:pt>
                  <c:pt idx="5">
                    <c:v>2.02915896525312</c:v>
                  </c:pt>
                </c:numCache>
              </c:numRef>
            </c:plus>
            <c:minus>
              <c:numRef>
                <c:f>含水量!$O$67:$O$72</c:f>
                <c:numCache>
                  <c:formatCode>General</c:formatCode>
                  <c:ptCount val="6"/>
                  <c:pt idx="0">
                    <c:v>1.61088201662441</c:v>
                  </c:pt>
                  <c:pt idx="1">
                    <c:v>0.540557390786294</c:v>
                  </c:pt>
                  <c:pt idx="2">
                    <c:v>1.27331596578682</c:v>
                  </c:pt>
                  <c:pt idx="3">
                    <c:v>0.599146472790751</c:v>
                  </c:pt>
                  <c:pt idx="4">
                    <c:v>0.346060936468017</c:v>
                  </c:pt>
                  <c:pt idx="5">
                    <c:v>2.02915896525312</c:v>
                  </c:pt>
                </c:numCache>
              </c:numRef>
            </c:minus>
          </c:errBars>
          <c:cat>
            <c:numRef>
              <c:f>含水量!$J$67:$J$72</c:f>
              <c:numCache>
                <c:formatCode>General</c:formatCode>
                <c:ptCount val="6"/>
                <c:pt idx="0">
                  <c:v>1</c:v>
                </c:pt>
                <c:pt idx="1">
                  <c:v>2</c:v>
                </c:pt>
                <c:pt idx="2">
                  <c:v>3</c:v>
                </c:pt>
                <c:pt idx="3">
                  <c:v>4</c:v>
                </c:pt>
                <c:pt idx="4">
                  <c:v>5</c:v>
                </c:pt>
                <c:pt idx="5">
                  <c:v>6</c:v>
                </c:pt>
              </c:numCache>
            </c:numRef>
          </c:cat>
          <c:val>
            <c:numRef>
              <c:f>含水量!$L$67:$L$72</c:f>
              <c:numCache>
                <c:formatCode>General</c:formatCode>
                <c:ptCount val="6"/>
                <c:pt idx="0">
                  <c:v>51.6996396354949</c:v>
                </c:pt>
                <c:pt idx="1">
                  <c:v>35.8674525362168</c:v>
                </c:pt>
                <c:pt idx="2">
                  <c:v>32.2534089866923</c:v>
                </c:pt>
                <c:pt idx="3">
                  <c:v>26.0328970943963</c:v>
                </c:pt>
                <c:pt idx="4">
                  <c:v>28.6229854260545</c:v>
                </c:pt>
                <c:pt idx="5">
                  <c:v>23.4649890321253</c:v>
                </c:pt>
              </c:numCache>
            </c:numRef>
          </c:val>
          <c:smooth val="0"/>
        </c:ser>
        <c:ser>
          <c:idx val="2"/>
          <c:order val="2"/>
          <c:tx>
            <c:strRef>
              <c:f>含水量!$M$66</c:f>
              <c:strCache>
                <c:ptCount val="1"/>
                <c:pt idx="0">
                  <c:v>种仁kernel</c:v>
                </c:pt>
              </c:strCache>
            </c:strRef>
          </c:tx>
          <c:dLbls>
            <c:dLbl>
              <c:idx val="0"/>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e</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1"/>
              <c:layout>
                <c:manualLayout>
                  <c:x val="-0.0322292213473316"/>
                  <c:y val="0.0675068541223435"/>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d</a:t>
                    </a:r>
                    <a:endParaRPr lang="en-US" altLang="en-US"/>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c</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ab</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Dir val="y"/>
            <c:errBarType val="both"/>
            <c:errValType val="cust"/>
            <c:noEndCap val="0"/>
            <c:plus>
              <c:numRef>
                <c:f>含水量!$P$67:$P$72</c:f>
                <c:numCache>
                  <c:formatCode>General</c:formatCode>
                  <c:ptCount val="6"/>
                  <c:pt idx="0">
                    <c:v>3.24347157991748</c:v>
                  </c:pt>
                  <c:pt idx="1">
                    <c:v>1.48250084136154</c:v>
                  </c:pt>
                  <c:pt idx="2">
                    <c:v>3.67254479930847</c:v>
                  </c:pt>
                  <c:pt idx="3">
                    <c:v>0.533103863569368</c:v>
                  </c:pt>
                  <c:pt idx="4">
                    <c:v>0.295501437496399</c:v>
                  </c:pt>
                  <c:pt idx="5">
                    <c:v>1.01366193993384</c:v>
                  </c:pt>
                </c:numCache>
              </c:numRef>
            </c:plus>
            <c:minus>
              <c:numRef>
                <c:f>含水量!$P$67:$P$72</c:f>
                <c:numCache>
                  <c:formatCode>General</c:formatCode>
                  <c:ptCount val="6"/>
                  <c:pt idx="0">
                    <c:v>3.24347157991748</c:v>
                  </c:pt>
                  <c:pt idx="1">
                    <c:v>1.48250084136154</c:v>
                  </c:pt>
                  <c:pt idx="2">
                    <c:v>3.67254479930847</c:v>
                  </c:pt>
                  <c:pt idx="3">
                    <c:v>0.533103863569368</c:v>
                  </c:pt>
                  <c:pt idx="4">
                    <c:v>0.295501437496399</c:v>
                  </c:pt>
                  <c:pt idx="5">
                    <c:v>1.01366193993384</c:v>
                  </c:pt>
                </c:numCache>
              </c:numRef>
            </c:minus>
          </c:errBars>
          <c:cat>
            <c:numRef>
              <c:f>含水量!$J$67:$J$72</c:f>
              <c:numCache>
                <c:formatCode>General</c:formatCode>
                <c:ptCount val="6"/>
                <c:pt idx="0">
                  <c:v>1</c:v>
                </c:pt>
                <c:pt idx="1">
                  <c:v>2</c:v>
                </c:pt>
                <c:pt idx="2">
                  <c:v>3</c:v>
                </c:pt>
                <c:pt idx="3">
                  <c:v>4</c:v>
                </c:pt>
                <c:pt idx="4">
                  <c:v>5</c:v>
                </c:pt>
                <c:pt idx="5">
                  <c:v>6</c:v>
                </c:pt>
              </c:numCache>
            </c:numRef>
          </c:cat>
          <c:val>
            <c:numRef>
              <c:f>含水量!$M$67:$M$72</c:f>
              <c:numCache>
                <c:formatCode>General</c:formatCode>
                <c:ptCount val="6"/>
                <c:pt idx="0">
                  <c:v>88.6252029706175</c:v>
                </c:pt>
                <c:pt idx="1">
                  <c:v>71.8028781994474</c:v>
                </c:pt>
                <c:pt idx="2">
                  <c:v>56.8141510245725</c:v>
                </c:pt>
                <c:pt idx="3">
                  <c:v>38.2190146119765</c:v>
                </c:pt>
                <c:pt idx="4">
                  <c:v>34.9678119619732</c:v>
                </c:pt>
                <c:pt idx="5">
                  <c:v>31.6578875838445</c:v>
                </c:pt>
              </c:numCache>
            </c:numRef>
          </c:val>
          <c:smooth val="0"/>
        </c:ser>
        <c:dLbls>
          <c:showLegendKey val="0"/>
          <c:showVal val="0"/>
          <c:showCatName val="0"/>
          <c:showSerName val="0"/>
          <c:showPercent val="0"/>
          <c:showBubbleSize val="0"/>
        </c:dLbls>
        <c:marker val="1"/>
        <c:smooth val="0"/>
        <c:axId val="240571136"/>
        <c:axId val="240624384"/>
      </c:lineChart>
      <c:catAx>
        <c:axId val="240571136"/>
        <c:scaling>
          <c:orientation val="minMax"/>
        </c:scaling>
        <c:delete val="0"/>
        <c:axPos val="b"/>
        <c:title>
          <c:tx>
            <c:rich>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b="0"/>
                  <a:t>生长发育阶段</a:t>
                </a:r>
                <a:endParaRPr lang="en-US" b="0"/>
              </a:p>
              <a:p>
                <a:pPr>
                  <a:defRPr lang="zh-CN" sz="800" b="0" i="0" u="none" strike="noStrike" kern="1200" baseline="0">
                    <a:solidFill>
                      <a:schemeClr val="tx1"/>
                    </a:solidFill>
                    <a:latin typeface="+mn-lt"/>
                    <a:ea typeface="+mn-ea"/>
                    <a:cs typeface="+mn-cs"/>
                  </a:defRPr>
                </a:pPr>
                <a:r>
                  <a:rPr lang="en-US" b="0"/>
                  <a:t>development stage</a:t>
                </a:r>
                <a:endParaRPr lang="zh-CN" b="0"/>
              </a:p>
            </c:rich>
          </c:tx>
          <c:layout/>
          <c:overlay val="0"/>
        </c:title>
        <c:numFmt formatCode="General"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40624384"/>
        <c:crosses val="autoZero"/>
        <c:auto val="1"/>
        <c:lblAlgn val="ctr"/>
        <c:lblOffset val="100"/>
        <c:noMultiLvlLbl val="0"/>
      </c:catAx>
      <c:valAx>
        <c:axId val="240624384"/>
        <c:scaling>
          <c:orientation val="minMax"/>
        </c:scaling>
        <c:delete val="0"/>
        <c:axPos val="l"/>
        <c:majorGridlines>
          <c:spPr>
            <a:ln w="6350" cap="flat" cmpd="sng" algn="ctr">
              <a:noFill/>
              <a:prstDash val="solid"/>
              <a:round/>
            </a:ln>
          </c:spPr>
        </c:majorGridlines>
        <c:title>
          <c:tx>
            <c:rich>
              <a:bodyPr rot="-54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b="0"/>
                  <a:t>含水量</a:t>
                </a:r>
                <a:r>
                  <a:rPr lang="en-US" b="0"/>
                  <a:t>Water content (%)</a:t>
                </a:r>
                <a:endParaRPr lang="zh-CN" b="0"/>
              </a:p>
            </c:rich>
          </c:tx>
          <c:layout/>
          <c:overlay val="0"/>
        </c:title>
        <c:numFmt formatCode="General" sourceLinked="0"/>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40571136"/>
        <c:crosses val="autoZero"/>
        <c:crossBetween val="between"/>
      </c:valAx>
    </c:plotArea>
    <c:legend>
      <c:legendPos val="r"/>
      <c:layout>
        <c:manualLayout>
          <c:xMode val="edge"/>
          <c:yMode val="edge"/>
          <c:x val="0.230181977252843"/>
          <c:y val="0.00361500207210941"/>
          <c:w val="0.628151356080492"/>
          <c:h val="0.0779548280149192"/>
        </c:manualLayout>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3861a651-0d4b-4c8e-a41d-952ef1bd9da0}"/>
      </c:ext>
    </c:extLst>
  </c:chart>
  <c:spPr>
    <a:ln w="6350" cap="flat" cmpd="sng" algn="ctr">
      <a:noFill/>
      <a:prstDash val="solid"/>
      <a:round/>
    </a:ln>
  </c:spPr>
  <c:txPr>
    <a:bodyPr/>
    <a:lstStyle/>
    <a:p>
      <a:pPr>
        <a:defRPr lang="zh-CN" sz="80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脂肪!$G$14</c:f>
              <c:strCache>
                <c:ptCount val="1"/>
                <c:pt idx="0">
                  <c:v>crude fat</c:v>
                </c:pt>
              </c:strCache>
            </c:strRef>
          </c:tx>
          <c:spPr>
            <a:solidFill>
              <a:schemeClr val="bg1">
                <a:lumMod val="65000"/>
              </a:schemeClr>
            </a:solidFill>
          </c:spPr>
          <c:invertIfNegative val="0"/>
          <c:dLbls>
            <c:dLbl>
              <c:idx val="0"/>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c</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d</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e</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f</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BarType val="both"/>
            <c:errValType val="cust"/>
            <c:noEndCap val="0"/>
            <c:plus>
              <c:numRef>
                <c:f>脂肪!$H$15:$H$20</c:f>
                <c:numCache>
                  <c:formatCode>General</c:formatCode>
                  <c:ptCount val="6"/>
                  <c:pt idx="0">
                    <c:v>0.0274865097507371</c:v>
                  </c:pt>
                  <c:pt idx="1">
                    <c:v>0.199240800163327</c:v>
                  </c:pt>
                  <c:pt idx="2">
                    <c:v>0.0562121417230036</c:v>
                  </c:pt>
                  <c:pt idx="3">
                    <c:v>0.265796275736431</c:v>
                  </c:pt>
                  <c:pt idx="4">
                    <c:v>0.0502691931025329</c:v>
                  </c:pt>
                  <c:pt idx="5">
                    <c:v>0.273982314406919</c:v>
                  </c:pt>
                </c:numCache>
              </c:numRef>
            </c:plus>
            <c:minus>
              <c:numRef>
                <c:f>脂肪!$H$15:$H$20</c:f>
                <c:numCache>
                  <c:formatCode>General</c:formatCode>
                  <c:ptCount val="6"/>
                  <c:pt idx="0">
                    <c:v>0.0274865097507371</c:v>
                  </c:pt>
                  <c:pt idx="1">
                    <c:v>0.199240800163327</c:v>
                  </c:pt>
                  <c:pt idx="2">
                    <c:v>0.0562121417230036</c:v>
                  </c:pt>
                  <c:pt idx="3">
                    <c:v>0.265796275736431</c:v>
                  </c:pt>
                  <c:pt idx="4">
                    <c:v>0.0502691931025329</c:v>
                  </c:pt>
                  <c:pt idx="5">
                    <c:v>0.273982314406919</c:v>
                  </c:pt>
                </c:numCache>
              </c:numRef>
            </c:minus>
          </c:errBars>
          <c:cat>
            <c:numRef>
              <c:f>脂肪!$F$15:$F$20</c:f>
              <c:numCache>
                <c:formatCode>General</c:formatCode>
                <c:ptCount val="6"/>
                <c:pt idx="0">
                  <c:v>1</c:v>
                </c:pt>
                <c:pt idx="1">
                  <c:v>2</c:v>
                </c:pt>
                <c:pt idx="2">
                  <c:v>3</c:v>
                </c:pt>
                <c:pt idx="3">
                  <c:v>4</c:v>
                </c:pt>
                <c:pt idx="4">
                  <c:v>5</c:v>
                </c:pt>
                <c:pt idx="5">
                  <c:v>6</c:v>
                </c:pt>
              </c:numCache>
            </c:numRef>
          </c:cat>
          <c:val>
            <c:numRef>
              <c:f>脂肪!$G$15:$G$20</c:f>
              <c:numCache>
                <c:formatCode>General</c:formatCode>
                <c:ptCount val="6"/>
                <c:pt idx="0">
                  <c:v>2.99312820512821</c:v>
                </c:pt>
                <c:pt idx="1">
                  <c:v>12.3354791154791</c:v>
                </c:pt>
                <c:pt idx="2">
                  <c:v>24.4816772470475</c:v>
                </c:pt>
                <c:pt idx="3">
                  <c:v>36.2425204814795</c:v>
                </c:pt>
                <c:pt idx="4">
                  <c:v>39.403945053413</c:v>
                </c:pt>
                <c:pt idx="5">
                  <c:v>42.6023513532328</c:v>
                </c:pt>
              </c:numCache>
            </c:numRef>
          </c:val>
        </c:ser>
        <c:dLbls>
          <c:showLegendKey val="0"/>
          <c:showVal val="0"/>
          <c:showCatName val="0"/>
          <c:showSerName val="0"/>
          <c:showPercent val="0"/>
          <c:showBubbleSize val="0"/>
        </c:dLbls>
        <c:gapWidth val="150"/>
        <c:axId val="249209600"/>
        <c:axId val="249211904"/>
      </c:barChart>
      <c:catAx>
        <c:axId val="249209600"/>
        <c:scaling>
          <c:orientation val="minMax"/>
        </c:scaling>
        <c:delete val="0"/>
        <c:axPos val="b"/>
        <c:title>
          <c:tx>
            <c:rich>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altLang="en-US" b="0"/>
                  <a:t>生长发育阶段</a:t>
                </a:r>
                <a:endParaRPr lang="en-US" altLang="zh-CN" b="0"/>
              </a:p>
              <a:p>
                <a:pPr>
                  <a:defRPr lang="zh-CN" sz="800" b="0" i="0" u="none" strike="noStrike" kern="1200" baseline="0">
                    <a:solidFill>
                      <a:schemeClr val="tx1"/>
                    </a:solidFill>
                    <a:latin typeface="+mn-lt"/>
                    <a:ea typeface="+mn-ea"/>
                    <a:cs typeface="+mn-cs"/>
                  </a:defRPr>
                </a:pPr>
                <a:r>
                  <a:rPr lang="en-US" altLang="zh-CN" b="0"/>
                  <a:t>development</a:t>
                </a:r>
                <a:r>
                  <a:rPr lang="en-US" altLang="zh-CN" b="0" baseline="0"/>
                  <a:t> stage</a:t>
                </a:r>
                <a:endParaRPr lang="zh-CN" altLang="en-US" b="0"/>
              </a:p>
            </c:rich>
          </c:tx>
          <c:layout/>
          <c:overlay val="0"/>
        </c:title>
        <c:numFmt formatCode="General"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49211904"/>
        <c:crosses val="autoZero"/>
        <c:auto val="1"/>
        <c:lblAlgn val="ctr"/>
        <c:lblOffset val="100"/>
        <c:noMultiLvlLbl val="0"/>
      </c:catAx>
      <c:valAx>
        <c:axId val="249211904"/>
        <c:scaling>
          <c:orientation val="minMax"/>
        </c:scaling>
        <c:delete val="0"/>
        <c:axPos val="l"/>
        <c:majorGridlines>
          <c:spPr>
            <a:ln w="6350" cap="flat" cmpd="sng" algn="ctr">
              <a:noFill/>
              <a:prstDash val="solid"/>
              <a:round/>
            </a:ln>
          </c:spPr>
        </c:majorGridlines>
        <c:title>
          <c:tx>
            <c:rich>
              <a:bodyPr rot="-54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b="0"/>
                  <a:t>粗脂肪</a:t>
                </a:r>
                <a:r>
                  <a:rPr lang="en-US" b="0"/>
                  <a:t>Crude fat (%FW)</a:t>
                </a:r>
                <a:endParaRPr lang="zh-CN" b="0"/>
              </a:p>
            </c:rich>
          </c:tx>
          <c:layout/>
          <c:overlay val="0"/>
        </c:title>
        <c:numFmt formatCode="General"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49209600"/>
        <c:crosses val="autoZero"/>
        <c:crossBetween val="between"/>
      </c:valAx>
    </c:plotArea>
    <c:plotVisOnly val="1"/>
    <c:dispBlanksAs val="gap"/>
    <c:showDLblsOverMax val="0"/>
    <c:extLst>
      <c:ext uri="{0b15fc19-7d7d-44ad-8c2d-2c3a37ce22c3}">
        <chartProps xmlns="https://web.wps.cn/et/2018/main" chartId="{81b30902-d5ef-496c-8724-9f55c1194375}"/>
      </c:ext>
    </c:extLst>
  </c:chart>
  <c:spPr>
    <a:ln w="6350" cap="flat" cmpd="sng" algn="ctr">
      <a:noFill/>
      <a:prstDash val="solid"/>
      <a:round/>
    </a:ln>
  </c:spPr>
  <c:txPr>
    <a:bodyPr/>
    <a:lstStyle/>
    <a:p>
      <a:pPr>
        <a:defRPr lang="zh-CN" sz="80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可溶性糖、可溶性蛋白、VC及总蛋白!$J$2:$J$3</c:f>
              <c:strCache>
                <c:ptCount val="1"/>
                <c:pt idx="0">
                  <c:v>可溶性糖</c:v>
                </c:pt>
              </c:strCache>
            </c:strRef>
          </c:tx>
          <c:spPr>
            <a:solidFill>
              <a:schemeClr val="bg1">
                <a:lumMod val="65000"/>
              </a:schemeClr>
            </a:solidFill>
          </c:spPr>
          <c:invertIfNegative val="0"/>
          <c:dLbls>
            <c:dLbl>
              <c:idx val="0"/>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 </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0138888888888889"/>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 </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277777777777779"/>
                  <c:y val="-0.0462962962962964"/>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c </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18722659565692e-7"/>
                  <c:y val="-0.0138888888888889"/>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c </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BarType val="both"/>
            <c:errValType val="cust"/>
            <c:noEndCap val="0"/>
            <c:plus>
              <c:numRef>
                <c:f>可溶性糖、可溶性蛋白、VC及总蛋白!$K$4:$K$9</c:f>
                <c:numCache>
                  <c:formatCode>General</c:formatCode>
                  <c:ptCount val="6"/>
                  <c:pt idx="0">
                    <c:v>0.00359545820942314</c:v>
                  </c:pt>
                  <c:pt idx="1">
                    <c:v>0.00838940248865397</c:v>
                  </c:pt>
                  <c:pt idx="2">
                    <c:v>0.0131833467678848</c:v>
                  </c:pt>
                  <c:pt idx="3">
                    <c:v>0.020374263186731</c:v>
                  </c:pt>
                  <c:pt idx="4">
                    <c:v>0.0479394427923083</c:v>
                  </c:pt>
                  <c:pt idx="5">
                    <c:v>0.0263666935357696</c:v>
                  </c:pt>
                </c:numCache>
              </c:numRef>
            </c:plus>
            <c:minus>
              <c:numRef>
                <c:f>可溶性糖、可溶性蛋白、VC及总蛋白!$K$4:$K$9</c:f>
                <c:numCache>
                  <c:formatCode>General</c:formatCode>
                  <c:ptCount val="6"/>
                  <c:pt idx="0">
                    <c:v>0.00359545820942314</c:v>
                  </c:pt>
                  <c:pt idx="1">
                    <c:v>0.00838940248865397</c:v>
                  </c:pt>
                  <c:pt idx="2">
                    <c:v>0.0131833467678848</c:v>
                  </c:pt>
                  <c:pt idx="3">
                    <c:v>0.020374263186731</c:v>
                  </c:pt>
                  <c:pt idx="4">
                    <c:v>0.0479394427923083</c:v>
                  </c:pt>
                  <c:pt idx="5">
                    <c:v>0.0263666935357696</c:v>
                  </c:pt>
                </c:numCache>
              </c:numRef>
            </c:minus>
          </c:errBars>
          <c:cat>
            <c:numRef>
              <c:f>可溶性糖、可溶性蛋白、VC及总蛋白!$I$4:$I$9</c:f>
              <c:numCache>
                <c:formatCode>General</c:formatCode>
                <c:ptCount val="6"/>
                <c:pt idx="0">
                  <c:v>1</c:v>
                </c:pt>
                <c:pt idx="1">
                  <c:v>2</c:v>
                </c:pt>
                <c:pt idx="2">
                  <c:v>3</c:v>
                </c:pt>
                <c:pt idx="3">
                  <c:v>4</c:v>
                </c:pt>
                <c:pt idx="4">
                  <c:v>5</c:v>
                </c:pt>
                <c:pt idx="5">
                  <c:v>6</c:v>
                </c:pt>
              </c:numCache>
            </c:numRef>
          </c:cat>
          <c:val>
            <c:numRef>
              <c:f>可溶性糖、可溶性蛋白、VC及总蛋白!$J$4:$J$9</c:f>
              <c:numCache>
                <c:formatCode>0.00_);[Red]\(0.00\)</c:formatCode>
                <c:ptCount val="6"/>
                <c:pt idx="0">
                  <c:v>0.153389830508475</c:v>
                </c:pt>
                <c:pt idx="1">
                  <c:v>0.158474576271186</c:v>
                </c:pt>
                <c:pt idx="2">
                  <c:v>0.39406779661017</c:v>
                </c:pt>
                <c:pt idx="3">
                  <c:v>0.444915254237288</c:v>
                </c:pt>
                <c:pt idx="4">
                  <c:v>0.567796610169494</c:v>
                </c:pt>
                <c:pt idx="5">
                  <c:v>0.608474576271188</c:v>
                </c:pt>
              </c:numCache>
            </c:numRef>
          </c:val>
        </c:ser>
        <c:dLbls>
          <c:showLegendKey val="0"/>
          <c:showVal val="0"/>
          <c:showCatName val="0"/>
          <c:showSerName val="0"/>
          <c:showPercent val="0"/>
          <c:showBubbleSize val="0"/>
        </c:dLbls>
        <c:gapWidth val="150"/>
        <c:axId val="257771008"/>
        <c:axId val="257772928"/>
      </c:barChart>
      <c:catAx>
        <c:axId val="257771008"/>
        <c:scaling>
          <c:orientation val="minMax"/>
        </c:scaling>
        <c:delete val="0"/>
        <c:axPos val="b"/>
        <c:title>
          <c:tx>
            <c:rich>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altLang="en-US" b="0"/>
                  <a:t>生长发育阶段</a:t>
                </a:r>
                <a:endParaRPr lang="en-US" altLang="zh-CN" b="0"/>
              </a:p>
              <a:p>
                <a:pPr>
                  <a:defRPr lang="zh-CN" sz="800" b="0" i="0" u="none" strike="noStrike" kern="1200" baseline="0">
                    <a:solidFill>
                      <a:schemeClr val="tx1"/>
                    </a:solidFill>
                    <a:latin typeface="+mn-lt"/>
                    <a:ea typeface="+mn-ea"/>
                    <a:cs typeface="+mn-cs"/>
                  </a:defRPr>
                </a:pPr>
                <a:r>
                  <a:rPr lang="en-US" altLang="zh-CN" b="0"/>
                  <a:t>development</a:t>
                </a:r>
                <a:r>
                  <a:rPr lang="en-US" altLang="zh-CN" b="0" baseline="0"/>
                  <a:t> stage</a:t>
                </a:r>
                <a:endParaRPr lang="zh-CN" altLang="en-US" b="0"/>
              </a:p>
            </c:rich>
          </c:tx>
          <c:layout/>
          <c:overlay val="0"/>
        </c:title>
        <c:numFmt formatCode="General"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57772928"/>
        <c:crosses val="autoZero"/>
        <c:auto val="1"/>
        <c:lblAlgn val="ctr"/>
        <c:lblOffset val="100"/>
        <c:noMultiLvlLbl val="0"/>
      </c:catAx>
      <c:valAx>
        <c:axId val="257772928"/>
        <c:scaling>
          <c:orientation val="minMax"/>
        </c:scaling>
        <c:delete val="0"/>
        <c:axPos val="l"/>
        <c:majorGridlines>
          <c:spPr>
            <a:ln w="6350" cap="flat" cmpd="sng" algn="ctr">
              <a:noFill/>
              <a:prstDash val="solid"/>
              <a:round/>
            </a:ln>
          </c:spPr>
        </c:majorGridlines>
        <c:title>
          <c:tx>
            <c:rich>
              <a:bodyPr rot="-54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b="0"/>
                  <a:t>可溶性糖</a:t>
                </a:r>
                <a:r>
                  <a:rPr lang="en-US" b="0"/>
                  <a:t>Soluble sugar</a:t>
                </a:r>
                <a:r>
                  <a:rPr lang="zh-CN" b="0"/>
                  <a:t>（</a:t>
                </a:r>
                <a:r>
                  <a:rPr lang="en-US" b="0"/>
                  <a:t>g/100g.FW</a:t>
                </a:r>
                <a:r>
                  <a:rPr lang="zh-CN" b="0"/>
                  <a:t>）</a:t>
                </a:r>
                <a:endParaRPr lang="zh-CN" b="0"/>
              </a:p>
            </c:rich>
          </c:tx>
          <c:layout/>
          <c:overlay val="0"/>
        </c:title>
        <c:numFmt formatCode="0.00_);[Red]\(0.00\)"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57771008"/>
        <c:crosses val="autoZero"/>
        <c:crossBetween val="between"/>
      </c:valAx>
    </c:plotArea>
    <c:plotVisOnly val="1"/>
    <c:dispBlanksAs val="gap"/>
    <c:showDLblsOverMax val="0"/>
    <c:extLst>
      <c:ext uri="{0b15fc19-7d7d-44ad-8c2d-2c3a37ce22c3}">
        <chartProps xmlns="https://web.wps.cn/et/2018/main" chartId="{4b656651-fec6-4f77-8bdc-13c1597ecd3f}"/>
      </c:ext>
    </c:extLst>
  </c:chart>
  <c:spPr>
    <a:ln w="6350" cap="flat" cmpd="sng" algn="ctr">
      <a:noFill/>
      <a:prstDash val="solid"/>
      <a:round/>
    </a:ln>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可溶性糖、可溶性蛋白、VC及总蛋白!$J$44</c:f>
              <c:strCache>
                <c:ptCount val="1"/>
                <c:pt idx="0">
                  <c:v>可溶性蛋白</c:v>
                </c:pt>
              </c:strCache>
            </c:strRef>
          </c:tx>
          <c:spPr>
            <a:solidFill>
              <a:schemeClr val="bg1">
                <a:lumMod val="65000"/>
              </a:schemeClr>
            </a:solidFill>
          </c:spPr>
          <c:invertIfNegative val="0"/>
          <c:dLbls>
            <c:dLbl>
              <c:idx val="0"/>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 </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c </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d </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e</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e </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BarType val="both"/>
            <c:errValType val="cust"/>
            <c:noEndCap val="0"/>
            <c:plus>
              <c:numRef>
                <c:f>可溶性糖、可溶性蛋白、VC及总蛋白!$K$45:$K$50</c:f>
                <c:numCache>
                  <c:formatCode>General</c:formatCode>
                  <c:ptCount val="6"/>
                  <c:pt idx="0">
                    <c:v>1.4142135623731</c:v>
                  </c:pt>
                  <c:pt idx="1">
                    <c:v>0.94280904158206</c:v>
                  </c:pt>
                  <c:pt idx="2">
                    <c:v>1.03708994574027</c:v>
                  </c:pt>
                  <c:pt idx="3">
                    <c:v>0.942809041582071</c:v>
                  </c:pt>
                  <c:pt idx="4">
                    <c:v>0.565685424949241</c:v>
                  </c:pt>
                  <c:pt idx="5">
                    <c:v>0.141421356237312</c:v>
                  </c:pt>
                </c:numCache>
              </c:numRef>
            </c:plus>
            <c:minus>
              <c:numRef>
                <c:f>可溶性糖、可溶性蛋白、VC及总蛋白!$K$45:$K$50</c:f>
                <c:numCache>
                  <c:formatCode>General</c:formatCode>
                  <c:ptCount val="6"/>
                  <c:pt idx="0">
                    <c:v>1.4142135623731</c:v>
                  </c:pt>
                  <c:pt idx="1">
                    <c:v>0.94280904158206</c:v>
                  </c:pt>
                  <c:pt idx="2">
                    <c:v>1.03708994574027</c:v>
                  </c:pt>
                  <c:pt idx="3">
                    <c:v>0.942809041582071</c:v>
                  </c:pt>
                  <c:pt idx="4">
                    <c:v>0.565685424949241</c:v>
                  </c:pt>
                  <c:pt idx="5">
                    <c:v>0.141421356237312</c:v>
                  </c:pt>
                </c:numCache>
              </c:numRef>
            </c:minus>
          </c:errBars>
          <c:cat>
            <c:numRef>
              <c:f>可溶性糖、可溶性蛋白、VC及总蛋白!$I$45:$I$50</c:f>
              <c:numCache>
                <c:formatCode>General</c:formatCode>
                <c:ptCount val="6"/>
                <c:pt idx="0">
                  <c:v>1</c:v>
                </c:pt>
                <c:pt idx="1">
                  <c:v>2</c:v>
                </c:pt>
                <c:pt idx="2">
                  <c:v>3</c:v>
                </c:pt>
                <c:pt idx="3">
                  <c:v>4</c:v>
                </c:pt>
                <c:pt idx="4">
                  <c:v>5</c:v>
                </c:pt>
                <c:pt idx="5">
                  <c:v>6</c:v>
                </c:pt>
              </c:numCache>
            </c:numRef>
          </c:cat>
          <c:val>
            <c:numRef>
              <c:f>可溶性糖、可溶性蛋白、VC及总蛋白!$J$45:$J$50</c:f>
              <c:numCache>
                <c:formatCode>General</c:formatCode>
                <c:ptCount val="6"/>
                <c:pt idx="0">
                  <c:v>19.4266666666667</c:v>
                </c:pt>
                <c:pt idx="1">
                  <c:v>34.96</c:v>
                </c:pt>
                <c:pt idx="2">
                  <c:v>38.0933333333334</c:v>
                </c:pt>
                <c:pt idx="3">
                  <c:v>45.2266666666666</c:v>
                </c:pt>
                <c:pt idx="4">
                  <c:v>51.8933333333334</c:v>
                </c:pt>
                <c:pt idx="5">
                  <c:v>51.1933333333334</c:v>
                </c:pt>
              </c:numCache>
            </c:numRef>
          </c:val>
        </c:ser>
        <c:dLbls>
          <c:showLegendKey val="0"/>
          <c:showVal val="0"/>
          <c:showCatName val="0"/>
          <c:showSerName val="0"/>
          <c:showPercent val="0"/>
          <c:showBubbleSize val="0"/>
        </c:dLbls>
        <c:gapWidth val="150"/>
        <c:axId val="258469888"/>
        <c:axId val="258471808"/>
      </c:barChart>
      <c:catAx>
        <c:axId val="258469888"/>
        <c:scaling>
          <c:orientation val="minMax"/>
        </c:scaling>
        <c:delete val="0"/>
        <c:axPos val="b"/>
        <c:title>
          <c:tx>
            <c:rich>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altLang="en-US" b="0"/>
                  <a:t>生长发育阶段</a:t>
                </a:r>
                <a:endParaRPr lang="en-US" altLang="zh-CN" b="0"/>
              </a:p>
              <a:p>
                <a:pPr>
                  <a:defRPr lang="zh-CN" sz="800" b="0" i="0" u="none" strike="noStrike" kern="1200" baseline="0">
                    <a:solidFill>
                      <a:schemeClr val="tx1"/>
                    </a:solidFill>
                    <a:latin typeface="+mn-lt"/>
                    <a:ea typeface="+mn-ea"/>
                    <a:cs typeface="+mn-cs"/>
                  </a:defRPr>
                </a:pPr>
                <a:r>
                  <a:rPr lang="en-US" altLang="zh-CN" b="0"/>
                  <a:t>development stage</a:t>
                </a:r>
                <a:endParaRPr lang="zh-CN" altLang="en-US" b="0"/>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58471808"/>
        <c:crosses val="autoZero"/>
        <c:auto val="1"/>
        <c:lblAlgn val="ctr"/>
        <c:lblOffset val="100"/>
        <c:noMultiLvlLbl val="0"/>
      </c:catAx>
      <c:valAx>
        <c:axId val="258471808"/>
        <c:scaling>
          <c:orientation val="minMax"/>
        </c:scaling>
        <c:delete val="0"/>
        <c:axPos val="l"/>
        <c:majorGridlines>
          <c:spPr>
            <a:ln w="6350" cap="flat" cmpd="sng" algn="ctr">
              <a:noFill/>
              <a:prstDash val="solid"/>
              <a:round/>
            </a:ln>
          </c:spPr>
        </c:majorGridlines>
        <c:title>
          <c:tx>
            <c:rich>
              <a:bodyPr rot="-54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b="0"/>
                  <a:t>可溶性蛋白</a:t>
                </a:r>
                <a:r>
                  <a:rPr lang="en-US" b="0"/>
                  <a:t>Soluble protein</a:t>
                </a:r>
                <a:r>
                  <a:rPr lang="zh-CN" b="0"/>
                  <a:t>（</a:t>
                </a:r>
                <a:r>
                  <a:rPr lang="en-US" b="0"/>
                  <a:t>mg/g.FW</a:t>
                </a:r>
                <a:r>
                  <a:rPr lang="zh-CN" b="0"/>
                  <a:t>）</a:t>
                </a:r>
                <a:endParaRPr lang="zh-CN" b="0"/>
              </a:p>
            </c:rich>
          </c:tx>
          <c:layout>
            <c:manualLayout>
              <c:xMode val="edge"/>
              <c:yMode val="edge"/>
              <c:x val="0.0361111111111112"/>
              <c:y val="0.105221638961797"/>
            </c:manualLayout>
          </c:layout>
          <c:overlay val="0"/>
        </c:title>
        <c:numFmt formatCode="General"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58469888"/>
        <c:crosses val="autoZero"/>
        <c:crossBetween val="between"/>
      </c:valAx>
    </c:plotArea>
    <c:plotVisOnly val="1"/>
    <c:dispBlanksAs val="gap"/>
    <c:showDLblsOverMax val="0"/>
    <c:extLst>
      <c:ext uri="{0b15fc19-7d7d-44ad-8c2d-2c3a37ce22c3}">
        <chartProps xmlns="https://web.wps.cn/et/2018/main" chartId="{9cce19e4-ac53-4f34-9eae-4ed41f3b7a0d}"/>
      </c:ext>
    </c:extLst>
  </c:chart>
  <c:spPr>
    <a:ln w="6350" cap="flat" cmpd="sng" algn="ctr">
      <a:noFill/>
      <a:prstDash val="solid"/>
      <a:round/>
    </a:ln>
  </c:spPr>
  <c:txPr>
    <a:bodyPr/>
    <a:lstStyle/>
    <a:p>
      <a:pPr>
        <a:defRPr lang="zh-CN" sz="80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可溶性糖、可溶性蛋白、VC及总蛋白!$E$76</c:f>
              <c:strCache>
                <c:ptCount val="1"/>
                <c:pt idx="0">
                  <c:v>总蛋白含量</c:v>
                </c:pt>
              </c:strCache>
            </c:strRef>
          </c:tx>
          <c:spPr>
            <a:solidFill>
              <a:schemeClr val="bg1">
                <a:lumMod val="65000"/>
              </a:schemeClr>
            </a:solidFill>
          </c:spPr>
          <c:invertIfNegative val="0"/>
          <c:dLbls>
            <c:dLbl>
              <c:idx val="0"/>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c</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d</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d</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d</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BarType val="both"/>
            <c:errValType val="cust"/>
            <c:noEndCap val="0"/>
            <c:plus>
              <c:numRef>
                <c:f>可溶性糖、可溶性蛋白、VC及总蛋白!$F$77:$F$82</c:f>
                <c:numCache>
                  <c:formatCode>General</c:formatCode>
                  <c:ptCount val="6"/>
                  <c:pt idx="0">
                    <c:v>0.0244728833243658</c:v>
                  </c:pt>
                  <c:pt idx="1">
                    <c:v>0.114465313095878</c:v>
                  </c:pt>
                  <c:pt idx="2">
                    <c:v>0.0281561393602856</c:v>
                  </c:pt>
                  <c:pt idx="3">
                    <c:v>0.250951815063384</c:v>
                  </c:pt>
                  <c:pt idx="4">
                    <c:v>0.0022686687249221</c:v>
                  </c:pt>
                  <c:pt idx="5">
                    <c:v>0.0843062793084923</c:v>
                  </c:pt>
                </c:numCache>
              </c:numRef>
            </c:plus>
            <c:minus>
              <c:numRef>
                <c:f>可溶性糖、可溶性蛋白、VC及总蛋白!$F$77:$F$82</c:f>
                <c:numCache>
                  <c:formatCode>General</c:formatCode>
                  <c:ptCount val="6"/>
                  <c:pt idx="0">
                    <c:v>0.0244728833243658</c:v>
                  </c:pt>
                  <c:pt idx="1">
                    <c:v>0.114465313095878</c:v>
                  </c:pt>
                  <c:pt idx="2">
                    <c:v>0.0281561393602856</c:v>
                  </c:pt>
                  <c:pt idx="3">
                    <c:v>0.250951815063384</c:v>
                  </c:pt>
                  <c:pt idx="4">
                    <c:v>0.0022686687249221</c:v>
                  </c:pt>
                  <c:pt idx="5">
                    <c:v>0.0843062793084923</c:v>
                  </c:pt>
                </c:numCache>
              </c:numRef>
            </c:minus>
          </c:errBars>
          <c:cat>
            <c:numRef>
              <c:f>可溶性糖、可溶性蛋白、VC及总蛋白!$D$77:$D$82</c:f>
              <c:numCache>
                <c:formatCode>General</c:formatCode>
                <c:ptCount val="6"/>
                <c:pt idx="0">
                  <c:v>1</c:v>
                </c:pt>
                <c:pt idx="1">
                  <c:v>2</c:v>
                </c:pt>
                <c:pt idx="2">
                  <c:v>3</c:v>
                </c:pt>
                <c:pt idx="3">
                  <c:v>4</c:v>
                </c:pt>
                <c:pt idx="4">
                  <c:v>5</c:v>
                </c:pt>
                <c:pt idx="5">
                  <c:v>6</c:v>
                </c:pt>
              </c:numCache>
            </c:numRef>
          </c:cat>
          <c:val>
            <c:numRef>
              <c:f>可溶性糖、可溶性蛋白、VC及总蛋白!$E$77:$E$82</c:f>
              <c:numCache>
                <c:formatCode>General</c:formatCode>
                <c:ptCount val="6"/>
                <c:pt idx="0">
                  <c:v>4.39912595069743</c:v>
                </c:pt>
                <c:pt idx="1">
                  <c:v>7.65446474931204</c:v>
                </c:pt>
                <c:pt idx="2">
                  <c:v>9.23561796018443</c:v>
                </c:pt>
                <c:pt idx="3">
                  <c:v>11.4223272266053</c:v>
                </c:pt>
                <c:pt idx="4">
                  <c:v>11.2566085252685</c:v>
                </c:pt>
                <c:pt idx="5">
                  <c:v>11.5988618212656</c:v>
                </c:pt>
              </c:numCache>
            </c:numRef>
          </c:val>
        </c:ser>
        <c:dLbls>
          <c:showLegendKey val="0"/>
          <c:showVal val="0"/>
          <c:showCatName val="0"/>
          <c:showSerName val="0"/>
          <c:showPercent val="0"/>
          <c:showBubbleSize val="0"/>
        </c:dLbls>
        <c:gapWidth val="150"/>
        <c:axId val="290549120"/>
        <c:axId val="291022336"/>
      </c:barChart>
      <c:catAx>
        <c:axId val="290549120"/>
        <c:scaling>
          <c:orientation val="minMax"/>
        </c:scaling>
        <c:delete val="0"/>
        <c:axPos val="b"/>
        <c:title>
          <c:tx>
            <c:rich>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altLang="en-US" b="0"/>
                  <a:t>生长发育阶段</a:t>
                </a:r>
                <a:endParaRPr lang="en-US" altLang="zh-CN" b="0"/>
              </a:p>
              <a:p>
                <a:pPr>
                  <a:defRPr lang="zh-CN" sz="800" b="0" i="0" u="none" strike="noStrike" kern="1200" baseline="0">
                    <a:solidFill>
                      <a:schemeClr val="tx1"/>
                    </a:solidFill>
                    <a:latin typeface="+mn-lt"/>
                    <a:ea typeface="+mn-ea"/>
                    <a:cs typeface="+mn-cs"/>
                  </a:defRPr>
                </a:pPr>
                <a:r>
                  <a:rPr lang="en-US" altLang="zh-CN" b="0"/>
                  <a:t>development</a:t>
                </a:r>
                <a:r>
                  <a:rPr lang="en-US" altLang="zh-CN" b="0" baseline="0"/>
                  <a:t> stage</a:t>
                </a:r>
                <a:endParaRPr lang="zh-CN" altLang="en-US" b="0"/>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91022336"/>
        <c:crosses val="autoZero"/>
        <c:auto val="1"/>
        <c:lblAlgn val="ctr"/>
        <c:lblOffset val="100"/>
        <c:noMultiLvlLbl val="0"/>
      </c:catAx>
      <c:valAx>
        <c:axId val="291022336"/>
        <c:scaling>
          <c:orientation val="minMax"/>
        </c:scaling>
        <c:delete val="0"/>
        <c:axPos val="l"/>
        <c:majorGridlines>
          <c:spPr>
            <a:ln w="6350" cap="flat" cmpd="sng" algn="ctr">
              <a:noFill/>
              <a:prstDash val="solid"/>
              <a:round/>
            </a:ln>
          </c:spPr>
        </c:majorGridlines>
        <c:title>
          <c:tx>
            <c:rich>
              <a:bodyPr rot="-54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b="0"/>
                  <a:t>总蛋白</a:t>
                </a:r>
                <a:r>
                  <a:rPr lang="en-US" b="0"/>
                  <a:t>Total protein (g/100g.FW)</a:t>
                </a:r>
                <a:endParaRPr lang="zh-CN" b="0"/>
              </a:p>
            </c:rich>
          </c:tx>
          <c:layout/>
          <c:overlay val="0"/>
        </c:title>
        <c:numFmt formatCode="General"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90549120"/>
        <c:crosses val="autoZero"/>
        <c:crossBetween val="between"/>
      </c:valAx>
    </c:plotArea>
    <c:plotVisOnly val="1"/>
    <c:dispBlanksAs val="gap"/>
    <c:showDLblsOverMax val="0"/>
    <c:extLst>
      <c:ext uri="{0b15fc19-7d7d-44ad-8c2d-2c3a37ce22c3}">
        <chartProps xmlns="https://web.wps.cn/et/2018/main" chartId="{bb147177-490e-4023-85bd-85d200f241f8}"/>
      </c:ext>
    </c:extLst>
  </c:chart>
  <c:spPr>
    <a:ln w="6350" cap="flat" cmpd="sng" algn="ctr">
      <a:noFill/>
      <a:prstDash val="solid"/>
      <a:round/>
    </a:ln>
  </c:spPr>
  <c:txPr>
    <a:bodyPr/>
    <a:lstStyle/>
    <a:p>
      <a:pPr>
        <a:defRPr lang="zh-CN" sz="800"/>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可溶性糖、可溶性蛋白、VC及总蛋白!$P$24</c:f>
              <c:strCache>
                <c:ptCount val="1"/>
                <c:pt idx="0">
                  <c:v>VC</c:v>
                </c:pt>
              </c:strCache>
            </c:strRef>
          </c:tx>
          <c:spPr>
            <a:solidFill>
              <a:schemeClr val="bg1">
                <a:lumMod val="65000"/>
              </a:schemeClr>
            </a:solidFill>
          </c:spPr>
          <c:invertIfNegative val="0"/>
          <c:dLbls>
            <c:dLbl>
              <c:idx val="0"/>
              <c:layout>
                <c:manualLayout>
                  <c:x val="-2.18722659667543e-7"/>
                  <c:y val="-0.0324074074074075"/>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c</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77777777777779"/>
                  <c:y val="-0.0277777777777779"/>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01850675264161e-16"/>
                  <c:y val="-0.013888888888889"/>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0.0185185185185186"/>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c</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277777777777769"/>
                  <c:y val="-0.0740740740740741"/>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277777777777779"/>
                  <c:y val="-0.0138888888888889"/>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BarType val="both"/>
            <c:errValType val="cust"/>
            <c:noEndCap val="0"/>
            <c:plus>
              <c:numRef>
                <c:f>可溶性糖、可溶性蛋白、VC及总蛋白!$Q$25:$Q$30</c:f>
                <c:numCache>
                  <c:formatCode>General</c:formatCode>
                  <c:ptCount val="6"/>
                  <c:pt idx="0">
                    <c:v>4.38609989284527</c:v>
                  </c:pt>
                  <c:pt idx="1">
                    <c:v>3.71131529394599</c:v>
                  </c:pt>
                  <c:pt idx="2">
                    <c:v>2.19304994642264</c:v>
                  </c:pt>
                  <c:pt idx="3">
                    <c:v>2.36174609614745</c:v>
                  </c:pt>
                  <c:pt idx="4">
                    <c:v>6.74784598899271</c:v>
                  </c:pt>
                  <c:pt idx="5">
                    <c:v>2.19304994642264</c:v>
                  </c:pt>
                </c:numCache>
              </c:numRef>
            </c:plus>
            <c:minus>
              <c:numRef>
                <c:f>可溶性糖、可溶性蛋白、VC及总蛋白!$Q$25:$Q$30</c:f>
                <c:numCache>
                  <c:formatCode>General</c:formatCode>
                  <c:ptCount val="6"/>
                  <c:pt idx="0">
                    <c:v>4.38609989284527</c:v>
                  </c:pt>
                  <c:pt idx="1">
                    <c:v>3.71131529394599</c:v>
                  </c:pt>
                  <c:pt idx="2">
                    <c:v>2.19304994642264</c:v>
                  </c:pt>
                  <c:pt idx="3">
                    <c:v>2.36174609614745</c:v>
                  </c:pt>
                  <c:pt idx="4">
                    <c:v>6.74784598899271</c:v>
                  </c:pt>
                  <c:pt idx="5">
                    <c:v>2.19304994642264</c:v>
                  </c:pt>
                </c:numCache>
              </c:numRef>
            </c:minus>
          </c:errBars>
          <c:cat>
            <c:numRef>
              <c:f>可溶性糖、可溶性蛋白、VC及总蛋白!$O$25:$O$30</c:f>
              <c:numCache>
                <c:formatCode>General</c:formatCode>
                <c:ptCount val="6"/>
                <c:pt idx="0">
                  <c:v>1</c:v>
                </c:pt>
                <c:pt idx="1">
                  <c:v>2</c:v>
                </c:pt>
                <c:pt idx="2">
                  <c:v>3</c:v>
                </c:pt>
                <c:pt idx="3">
                  <c:v>4</c:v>
                </c:pt>
                <c:pt idx="4">
                  <c:v>5</c:v>
                </c:pt>
                <c:pt idx="5">
                  <c:v>6</c:v>
                </c:pt>
              </c:numCache>
            </c:numRef>
          </c:cat>
          <c:val>
            <c:numRef>
              <c:f>可溶性糖、可溶性蛋白、VC及总蛋白!$P$25:$P$30</c:f>
              <c:numCache>
                <c:formatCode>General</c:formatCode>
                <c:ptCount val="6"/>
                <c:pt idx="0">
                  <c:v>61.6948182078443</c:v>
                </c:pt>
                <c:pt idx="1">
                  <c:v>44.0404618761332</c:v>
                </c:pt>
                <c:pt idx="2">
                  <c:v>50.3626300219487</c:v>
                </c:pt>
                <c:pt idx="3">
                  <c:v>63.8419696535927</c:v>
                </c:pt>
                <c:pt idx="4">
                  <c:v>46.4261857047428</c:v>
                </c:pt>
                <c:pt idx="5">
                  <c:v>31.0382670102109</c:v>
                </c:pt>
              </c:numCache>
            </c:numRef>
          </c:val>
        </c:ser>
        <c:dLbls>
          <c:showLegendKey val="0"/>
          <c:showVal val="0"/>
          <c:showCatName val="0"/>
          <c:showSerName val="0"/>
          <c:showPercent val="0"/>
          <c:showBubbleSize val="0"/>
        </c:dLbls>
        <c:gapWidth val="150"/>
        <c:axId val="291237888"/>
        <c:axId val="291239808"/>
      </c:barChart>
      <c:catAx>
        <c:axId val="291237888"/>
        <c:scaling>
          <c:orientation val="minMax"/>
        </c:scaling>
        <c:delete val="0"/>
        <c:axPos val="b"/>
        <c:title>
          <c:tx>
            <c:rich>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altLang="en-US" b="0"/>
                  <a:t>生长发育阶段</a:t>
                </a:r>
                <a:endParaRPr lang="en-US" altLang="zh-CN" b="0"/>
              </a:p>
              <a:p>
                <a:pPr>
                  <a:defRPr lang="zh-CN" sz="800" b="0" i="0" u="none" strike="noStrike" kern="1200" baseline="0">
                    <a:solidFill>
                      <a:schemeClr val="tx1"/>
                    </a:solidFill>
                    <a:latin typeface="+mn-lt"/>
                    <a:ea typeface="+mn-ea"/>
                    <a:cs typeface="+mn-cs"/>
                  </a:defRPr>
                </a:pPr>
                <a:r>
                  <a:rPr lang="en-US" altLang="zh-CN" b="0"/>
                  <a:t>development stage</a:t>
                </a:r>
                <a:endParaRPr lang="zh-CN" altLang="en-US" b="0"/>
              </a:p>
            </c:rich>
          </c:tx>
          <c:layout/>
          <c:overlay val="0"/>
        </c:title>
        <c:numFmt formatCode="General"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91239808"/>
        <c:crosses val="autoZero"/>
        <c:auto val="1"/>
        <c:lblAlgn val="ctr"/>
        <c:lblOffset val="100"/>
        <c:noMultiLvlLbl val="0"/>
      </c:catAx>
      <c:valAx>
        <c:axId val="291239808"/>
        <c:scaling>
          <c:orientation val="minMax"/>
        </c:scaling>
        <c:delete val="0"/>
        <c:axPos val="l"/>
        <c:majorGridlines>
          <c:spPr>
            <a:ln w="6350" cap="flat" cmpd="sng" algn="ctr">
              <a:noFill/>
              <a:prstDash val="solid"/>
              <a:round/>
            </a:ln>
          </c:spPr>
        </c:majorGridlines>
        <c:title>
          <c:tx>
            <c:rich>
              <a:bodyPr rot="-54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en-US" b="0"/>
                  <a:t>VC</a:t>
                </a:r>
                <a:r>
                  <a:rPr lang="zh-CN" b="0"/>
                  <a:t>（</a:t>
                </a:r>
                <a:r>
                  <a:rPr lang="en-US" b="0"/>
                  <a:t>mg/g.FW</a:t>
                </a:r>
                <a:r>
                  <a:rPr lang="zh-CN" b="0"/>
                  <a:t>）</a:t>
                </a:r>
                <a:endParaRPr lang="zh-CN" b="0"/>
              </a:p>
            </c:rich>
          </c:tx>
          <c:layout/>
          <c:overlay val="0"/>
        </c:title>
        <c:numFmt formatCode="General"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291237888"/>
        <c:crosses val="autoZero"/>
        <c:crossBetween val="between"/>
      </c:valAx>
    </c:plotArea>
    <c:plotVisOnly val="1"/>
    <c:dispBlanksAs val="gap"/>
    <c:showDLblsOverMax val="0"/>
    <c:extLst>
      <c:ext uri="{0b15fc19-7d7d-44ad-8c2d-2c3a37ce22c3}">
        <chartProps xmlns="https://web.wps.cn/et/2018/main" chartId="{7045bb74-e235-4a41-b7ed-da4a58856ba6}"/>
      </c:ext>
    </c:extLst>
  </c:chart>
  <c:spPr>
    <a:ln w="6350" cap="flat" cmpd="sng" algn="ctr">
      <a:noFill/>
      <a:prstDash val="solid"/>
      <a:round/>
    </a:ln>
  </c:spPr>
  <c:txPr>
    <a:bodyPr/>
    <a:lstStyle/>
    <a:p>
      <a:pPr>
        <a:defRPr lang="zh-CN" sz="80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GSH!$B$43</c:f>
              <c:strCache>
                <c:ptCount val="1"/>
                <c:pt idx="0">
                  <c:v>GSH</c:v>
                </c:pt>
              </c:strCache>
            </c:strRef>
          </c:tx>
          <c:spPr>
            <a:solidFill>
              <a:schemeClr val="bg1">
                <a:lumMod val="65000"/>
              </a:schemeClr>
            </a:solidFill>
          </c:spPr>
          <c:invertIfNegative val="0"/>
          <c:dLbls>
            <c:dLbl>
              <c:idx val="0"/>
              <c:layout>
                <c:manualLayout>
                  <c:x val="-2.54626688160402e-17"/>
                  <c:y val="-0.0138888888888889"/>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a</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b</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01850675264161e-16"/>
                  <c:y val="-0.0138888888888889"/>
                </c:manualLayout>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c</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e</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d</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r>
                      <a:rPr lang="en-US" altLang="en-US"/>
                      <a:t>d</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BarType val="both"/>
            <c:errValType val="cust"/>
            <c:noEndCap val="0"/>
            <c:plus>
              <c:numRef>
                <c:f>GSH!$C$44:$C$49</c:f>
                <c:numCache>
                  <c:formatCode>General</c:formatCode>
                  <c:ptCount val="6"/>
                  <c:pt idx="0">
                    <c:v>13.8362792722097</c:v>
                  </c:pt>
                  <c:pt idx="1">
                    <c:v>4.55907876526011</c:v>
                  </c:pt>
                  <c:pt idx="2">
                    <c:v>14.0714736687573</c:v>
                  </c:pt>
                  <c:pt idx="3">
                    <c:v>6.53179578888404</c:v>
                  </c:pt>
                  <c:pt idx="4">
                    <c:v>6.36210975413814</c:v>
                  </c:pt>
                  <c:pt idx="5">
                    <c:v>8.93638199694975</c:v>
                  </c:pt>
                </c:numCache>
              </c:numRef>
            </c:plus>
            <c:minus>
              <c:numRef>
                <c:f>GSH!$C$44:$C$49</c:f>
                <c:numCache>
                  <c:formatCode>General</c:formatCode>
                  <c:ptCount val="6"/>
                  <c:pt idx="0">
                    <c:v>13.8362792722097</c:v>
                  </c:pt>
                  <c:pt idx="1">
                    <c:v>4.55907876526011</c:v>
                  </c:pt>
                  <c:pt idx="2">
                    <c:v>14.0714736687573</c:v>
                  </c:pt>
                  <c:pt idx="3">
                    <c:v>6.53179578888404</c:v>
                  </c:pt>
                  <c:pt idx="4">
                    <c:v>6.36210975413814</c:v>
                  </c:pt>
                  <c:pt idx="5">
                    <c:v>8.93638199694975</c:v>
                  </c:pt>
                </c:numCache>
              </c:numRef>
            </c:minus>
          </c:errBars>
          <c:cat>
            <c:numRef>
              <c:f>GSH!$A$44:$A$49</c:f>
              <c:numCache>
                <c:formatCode>General</c:formatCode>
                <c:ptCount val="6"/>
                <c:pt idx="0">
                  <c:v>1</c:v>
                </c:pt>
                <c:pt idx="1">
                  <c:v>2</c:v>
                </c:pt>
                <c:pt idx="2">
                  <c:v>3</c:v>
                </c:pt>
                <c:pt idx="3">
                  <c:v>4</c:v>
                </c:pt>
                <c:pt idx="4">
                  <c:v>5</c:v>
                </c:pt>
                <c:pt idx="5">
                  <c:v>6</c:v>
                </c:pt>
              </c:numCache>
            </c:numRef>
          </c:cat>
          <c:val>
            <c:numRef>
              <c:f>GSH!$B$44:$B$49</c:f>
              <c:numCache>
                <c:formatCode>General</c:formatCode>
                <c:ptCount val="6"/>
                <c:pt idx="0">
                  <c:v>144.867149758455</c:v>
                </c:pt>
                <c:pt idx="1">
                  <c:v>242.089371980677</c:v>
                </c:pt>
                <c:pt idx="2">
                  <c:v>300.664251207729</c:v>
                </c:pt>
                <c:pt idx="3">
                  <c:v>408.152173913044</c:v>
                </c:pt>
                <c:pt idx="4">
                  <c:v>356.219806763284</c:v>
                </c:pt>
                <c:pt idx="5">
                  <c:v>365.881642512077</c:v>
                </c:pt>
              </c:numCache>
            </c:numRef>
          </c:val>
        </c:ser>
        <c:dLbls>
          <c:showLegendKey val="0"/>
          <c:showVal val="0"/>
          <c:showCatName val="0"/>
          <c:showSerName val="0"/>
          <c:showPercent val="0"/>
          <c:showBubbleSize val="0"/>
        </c:dLbls>
        <c:gapWidth val="150"/>
        <c:axId val="308651136"/>
        <c:axId val="308653056"/>
      </c:barChart>
      <c:catAx>
        <c:axId val="308651136"/>
        <c:scaling>
          <c:orientation val="minMax"/>
        </c:scaling>
        <c:delete val="0"/>
        <c:axPos val="b"/>
        <c:title>
          <c:tx>
            <c:rich>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zh-CN" altLang="en-US" b="0"/>
                  <a:t>生长发育阶段</a:t>
                </a:r>
                <a:endParaRPr lang="en-US" altLang="zh-CN" b="0"/>
              </a:p>
              <a:p>
                <a:pPr>
                  <a:defRPr lang="zh-CN" sz="800" b="0" i="0" u="none" strike="noStrike" kern="1200" baseline="0">
                    <a:solidFill>
                      <a:schemeClr val="tx1"/>
                    </a:solidFill>
                    <a:latin typeface="+mn-lt"/>
                    <a:ea typeface="+mn-ea"/>
                    <a:cs typeface="+mn-cs"/>
                  </a:defRPr>
                </a:pPr>
                <a:r>
                  <a:rPr lang="en-US" altLang="zh-CN" b="0"/>
                  <a:t>development</a:t>
                </a:r>
                <a:r>
                  <a:rPr lang="en-US" altLang="zh-CN" b="0" baseline="0"/>
                  <a:t> stage</a:t>
                </a:r>
                <a:endParaRPr lang="zh-CN" altLang="en-US" b="0"/>
              </a:p>
            </c:rich>
          </c:tx>
          <c:layout/>
          <c:overlay val="0"/>
        </c:title>
        <c:numFmt formatCode="General"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308653056"/>
        <c:crosses val="autoZero"/>
        <c:auto val="1"/>
        <c:lblAlgn val="ctr"/>
        <c:lblOffset val="100"/>
        <c:noMultiLvlLbl val="0"/>
      </c:catAx>
      <c:valAx>
        <c:axId val="308653056"/>
        <c:scaling>
          <c:orientation val="minMax"/>
        </c:scaling>
        <c:delete val="0"/>
        <c:axPos val="l"/>
        <c:majorGridlines>
          <c:spPr>
            <a:ln w="6350" cap="flat" cmpd="sng" algn="ctr">
              <a:noFill/>
              <a:prstDash val="solid"/>
              <a:round/>
            </a:ln>
          </c:spPr>
        </c:majorGridlines>
        <c:title>
          <c:tx>
            <c:rich>
              <a:bodyPr rot="-54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r>
                  <a:rPr lang="en-US" b="0"/>
                  <a:t>GSH</a:t>
                </a:r>
                <a:r>
                  <a:rPr lang="zh-CN" b="0"/>
                  <a:t> </a:t>
                </a:r>
                <a:r>
                  <a:rPr lang="en-US" b="0"/>
                  <a:t>(ug/g.FW)</a:t>
                </a:r>
                <a:endParaRPr lang="zh-CN" b="0"/>
              </a:p>
            </c:rich>
          </c:tx>
          <c:layout/>
          <c:overlay val="0"/>
        </c:title>
        <c:numFmt formatCode="General" sourceLinked="1"/>
        <c:majorTickMark val="in"/>
        <c:minorTickMark val="none"/>
        <c:tickLblPos val="nextTo"/>
        <c:txPr>
          <a:bodyPr rot="-6000000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crossAx val="308651136"/>
        <c:crosses val="autoZero"/>
        <c:crossBetween val="between"/>
      </c:valAx>
    </c:plotArea>
    <c:plotVisOnly val="1"/>
    <c:dispBlanksAs val="gap"/>
    <c:showDLblsOverMax val="0"/>
    <c:extLst>
      <c:ext uri="{0b15fc19-7d7d-44ad-8c2d-2c3a37ce22c3}">
        <chartProps xmlns="https://web.wps.cn/et/2018/main" chartId="{d8865b29-c227-4856-81d0-481662639fdf}"/>
      </c:ext>
    </c:extLst>
  </c:chart>
  <c:spPr>
    <a:ln w="6350" cap="flat" cmpd="sng" algn="ctr">
      <a:noFill/>
      <a:prstDash val="solid"/>
      <a:round/>
    </a:ln>
  </c:spPr>
  <c:txPr>
    <a:bodyPr/>
    <a:lstStyle/>
    <a:p>
      <a:pPr>
        <a:defRPr lang="zh-CN" sz="800"/>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5499</Words>
  <Characters>5774</Characters>
  <Lines>274</Lines>
  <Paragraphs>168</Paragraphs>
  <TotalTime>5</TotalTime>
  <ScaleCrop>false</ScaleCrop>
  <LinksUpToDate>false</LinksUpToDate>
  <CharactersWithSpaces>11105</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2018-09-06T08:30:00Z</dcterms:created>
  <dc:creator>201</dc:creator>
  <cp:lastModifiedBy>gjlcj</cp:lastModifiedBy>
  <dcterms:modified xsi:type="dcterms:W3CDTF">2026-09-02T09:07:06Z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B18CED3246FA8FE4BA76976A8ED6C6D6_42</vt:lpwstr>
  </property>
</Properties>
</file>