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D46EE">
      <w:pPr>
        <w:pageBreakBefore w:val="0"/>
        <w:kinsoku/>
        <w:wordWrap/>
        <w:overflowPunct/>
        <w:topLinePunct w:val="0"/>
        <w:autoSpaceDE/>
        <w:autoSpaceDN/>
        <w:bidi w:val="0"/>
        <w:adjustRightInd w:val="0"/>
        <w:snapToGrid w:val="0"/>
        <w:spacing w:line="500" w:lineRule="exact"/>
        <w:textAlignment w:val="auto"/>
        <w:rPr>
          <w:rFonts w:ascii="宋体" w:hAnsi="宋体"/>
          <w:kern w:val="0"/>
          <w:sz w:val="28"/>
          <w:szCs w:val="28"/>
        </w:rPr>
      </w:pPr>
      <w:r>
        <w:rPr>
          <w:rFonts w:hint="eastAsia" w:ascii="宋体" w:hAnsi="宋体"/>
          <w:kern w:val="0"/>
          <w:sz w:val="28"/>
          <w:szCs w:val="28"/>
        </w:rPr>
        <w:t>附件二</w:t>
      </w:r>
    </w:p>
    <w:p w14:paraId="47272134">
      <w:pPr>
        <w:pageBreakBefore w:val="0"/>
        <w:kinsoku/>
        <w:wordWrap/>
        <w:overflowPunct/>
        <w:topLinePunct w:val="0"/>
        <w:autoSpaceDE/>
        <w:autoSpaceDN/>
        <w:bidi w:val="0"/>
        <w:adjustRightInd w:val="0"/>
        <w:snapToGrid w:val="0"/>
        <w:spacing w:line="500" w:lineRule="exact"/>
        <w:textAlignment w:val="auto"/>
        <w:rPr>
          <w:rFonts w:asciiTheme="minorEastAsia" w:hAnsiTheme="minorEastAsia" w:eastAsiaTheme="minorEastAsia"/>
          <w:kern w:val="0"/>
          <w:sz w:val="24"/>
          <w:szCs w:val="24"/>
        </w:rPr>
      </w:pPr>
    </w:p>
    <w:p w14:paraId="4331B4C3">
      <w:pPr>
        <w:pageBreakBefore w:val="0"/>
        <w:kinsoku/>
        <w:wordWrap/>
        <w:overflowPunct/>
        <w:topLinePunct w:val="0"/>
        <w:autoSpaceDE/>
        <w:autoSpaceDN/>
        <w:bidi w:val="0"/>
        <w:adjustRightInd w:val="0"/>
        <w:snapToGrid w:val="0"/>
        <w:spacing w:line="500" w:lineRule="exact"/>
        <w:jc w:val="center"/>
        <w:textAlignment w:val="auto"/>
        <w:rPr>
          <w:rFonts w:ascii="黑体" w:hAnsi="黑体" w:eastAsia="黑体"/>
          <w:b/>
          <w:kern w:val="0"/>
          <w:sz w:val="44"/>
          <w:szCs w:val="44"/>
        </w:rPr>
      </w:pPr>
      <w:r>
        <w:rPr>
          <w:rFonts w:hint="eastAsia" w:ascii="黑体" w:hAnsi="黑体" w:eastAsia="黑体"/>
          <w:b/>
          <w:kern w:val="0"/>
          <w:sz w:val="44"/>
          <w:szCs w:val="44"/>
        </w:rPr>
        <w:t>中国林学会团体标准编制说明</w:t>
      </w:r>
    </w:p>
    <w:p w14:paraId="62123389">
      <w:pPr>
        <w:pageBreakBefore w:val="0"/>
        <w:kinsoku/>
        <w:wordWrap/>
        <w:overflowPunct/>
        <w:topLinePunct w:val="0"/>
        <w:autoSpaceDE/>
        <w:autoSpaceDN/>
        <w:bidi w:val="0"/>
        <w:adjustRightInd w:val="0"/>
        <w:snapToGrid w:val="0"/>
        <w:spacing w:line="500" w:lineRule="exact"/>
        <w:textAlignment w:val="auto"/>
        <w:rPr>
          <w:rFonts w:ascii="宋体" w:hAnsi="宋体"/>
          <w:kern w:val="0"/>
          <w:sz w:val="28"/>
          <w:szCs w:val="28"/>
        </w:rPr>
      </w:pPr>
    </w:p>
    <w:p w14:paraId="710D5D00">
      <w:pPr>
        <w:pStyle w:val="2"/>
        <w:keepNext w:val="0"/>
        <w:keepLines w:val="0"/>
        <w:pageBreakBefore w:val="0"/>
        <w:widowControl w:val="0"/>
        <w:kinsoku/>
        <w:wordWrap/>
        <w:overflowPunct/>
        <w:topLinePunct w:val="0"/>
        <w:autoSpaceDE/>
        <w:autoSpaceDN/>
        <w:bidi w:val="0"/>
        <w:adjustRightInd w:val="0"/>
        <w:snapToGrid w:val="0"/>
        <w:spacing w:line="500" w:lineRule="exact"/>
        <w:textAlignment w:val="auto"/>
      </w:pPr>
      <w:r>
        <w:t>一、工作简况</w:t>
      </w:r>
    </w:p>
    <w:p w14:paraId="2A82A8D4">
      <w:pPr>
        <w:pStyle w:val="3"/>
        <w:pageBreakBefore w:val="0"/>
        <w:kinsoku/>
        <w:wordWrap/>
        <w:overflowPunct/>
        <w:topLinePunct w:val="0"/>
        <w:autoSpaceDE/>
        <w:autoSpaceDN/>
        <w:bidi w:val="0"/>
        <w:adjustRightInd w:val="0"/>
        <w:snapToGrid w:val="0"/>
        <w:spacing w:line="500" w:lineRule="exact"/>
        <w:textAlignment w:val="auto"/>
      </w:pPr>
      <w:r>
        <w:t>1.任务来源</w:t>
      </w:r>
    </w:p>
    <w:p w14:paraId="460145D9">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ascii="宋体" w:hAnsi="宋体"/>
          <w:kern w:val="0"/>
          <w:sz w:val="28"/>
          <w:szCs w:val="28"/>
        </w:rPr>
        <w:t xml:space="preserve">2022年9月科技部批准立项 “十四五” 国家重点研发计划项目“南方低山丘陵区山水林田湖草沙系统治理技术与示范(2022YFF1303)”。 此项目由中国林业科学研究院林业研究所牵头主持。编制《山水林田湖草沙一体化保护和修复工程  </w:t>
      </w:r>
      <w:r>
        <w:rPr>
          <w:rFonts w:hint="eastAsia" w:ascii="宋体" w:hAnsi="宋体"/>
          <w:kern w:val="0"/>
          <w:sz w:val="28"/>
          <w:szCs w:val="28"/>
        </w:rPr>
        <w:t>术语</w:t>
      </w:r>
      <w:r>
        <w:rPr>
          <w:rFonts w:ascii="宋体" w:hAnsi="宋体"/>
          <w:kern w:val="0"/>
          <w:sz w:val="28"/>
          <w:szCs w:val="28"/>
        </w:rPr>
        <w:t>》旨在建立统一、规范、科学的山水林田湖草沙一体化保护和修复工程术语体系，对</w:t>
      </w:r>
      <w:r>
        <w:rPr>
          <w:rFonts w:hint="eastAsia" w:ascii="宋体" w:hAnsi="宋体"/>
          <w:kern w:val="0"/>
          <w:sz w:val="28"/>
          <w:szCs w:val="28"/>
        </w:rPr>
        <w:t>重点研发计划项目科学研究，以及工程</w:t>
      </w:r>
      <w:r>
        <w:rPr>
          <w:rFonts w:ascii="宋体" w:hAnsi="宋体"/>
          <w:kern w:val="0"/>
          <w:sz w:val="28"/>
          <w:szCs w:val="28"/>
        </w:rPr>
        <w:t>规划设计、调查评价、实施管理、监测评估和成效评价等全过程涉及的基本概念</w:t>
      </w:r>
      <w:r>
        <w:rPr>
          <w:rFonts w:hint="eastAsia" w:ascii="宋体" w:hAnsi="宋体"/>
          <w:kern w:val="0"/>
          <w:sz w:val="28"/>
          <w:szCs w:val="28"/>
        </w:rPr>
        <w:t>，</w:t>
      </w:r>
      <w:r>
        <w:rPr>
          <w:rFonts w:ascii="宋体" w:hAnsi="宋体"/>
          <w:kern w:val="0"/>
          <w:sz w:val="28"/>
          <w:szCs w:val="28"/>
        </w:rPr>
        <w:t>进行统一定义，规范术语使用和表达方式</w:t>
      </w:r>
      <w:r>
        <w:rPr>
          <w:rFonts w:hint="eastAsia" w:ascii="宋体" w:hAnsi="宋体"/>
          <w:kern w:val="0"/>
          <w:sz w:val="28"/>
          <w:szCs w:val="28"/>
        </w:rPr>
        <w:t>；最终为</w:t>
      </w:r>
      <w:r>
        <w:rPr>
          <w:rFonts w:ascii="宋体" w:hAnsi="宋体"/>
          <w:kern w:val="0"/>
          <w:sz w:val="28"/>
          <w:szCs w:val="28"/>
        </w:rPr>
        <w:t>相关标准</w:t>
      </w:r>
      <w:r>
        <w:rPr>
          <w:rFonts w:hint="eastAsia" w:ascii="宋体" w:hAnsi="宋体"/>
          <w:kern w:val="0"/>
          <w:sz w:val="28"/>
          <w:szCs w:val="28"/>
        </w:rPr>
        <w:t>规范</w:t>
      </w:r>
      <w:r>
        <w:rPr>
          <w:rFonts w:ascii="宋体" w:hAnsi="宋体"/>
          <w:kern w:val="0"/>
          <w:sz w:val="28"/>
          <w:szCs w:val="28"/>
        </w:rPr>
        <w:t>、</w:t>
      </w:r>
      <w:r>
        <w:rPr>
          <w:rFonts w:hint="eastAsia" w:ascii="宋体" w:hAnsi="宋体"/>
          <w:kern w:val="0"/>
          <w:sz w:val="28"/>
          <w:szCs w:val="28"/>
        </w:rPr>
        <w:t>技术研发及</w:t>
      </w:r>
      <w:r>
        <w:rPr>
          <w:rFonts w:ascii="宋体" w:hAnsi="宋体"/>
          <w:kern w:val="0"/>
          <w:sz w:val="28"/>
          <w:szCs w:val="28"/>
        </w:rPr>
        <w:t>工程实践提供统一的语言基础，促进我国生态保护修复标准体系建设，提高生态保护修复工作的科学化、规范化和标准化水平。</w:t>
      </w:r>
    </w:p>
    <w:p w14:paraId="427C4843">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近年来，党中央、国务院高度重视山水林田湖草沙一体化保护和系统治理，党的二十大报告明确提出统筹山水林田湖草沙系统治理，提升生态系统多样性、稳定性、持续性。《全国重要生态系统保护和修复重大工程总体规划（2021—2035年）》等一系列政策文件，对山水林田湖草沙一体化保护和修复工程提出了新的要求。随着各类生态保护修复工程深入实施，工程规划设计、调查监测、成效评估、项目管理以及标准制定过程中大量专业术语不断出现，但目前缺乏统一规范的术语体系，不同地区、不同行业、不同标准之间存在概念内涵不统一、术语使用不一致、定义交叉重叠等问题，影响了工程建设、科学研究、成果交流和标准衔接。</w:t>
      </w:r>
    </w:p>
    <w:p w14:paraId="459C0B63">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因此，制定《山水林田湖草沙一体化保护和修复工程术语》团体标准，对于统一行业语言、规范专业术语、支撑相关标准体系建设、促进我国生态保护修复事业高质量发展具有重要意义。</w:t>
      </w:r>
    </w:p>
    <w:p w14:paraId="372E8F51">
      <w:pPr>
        <w:pStyle w:val="3"/>
        <w:pageBreakBefore w:val="0"/>
        <w:kinsoku/>
        <w:wordWrap/>
        <w:overflowPunct/>
        <w:topLinePunct w:val="0"/>
        <w:autoSpaceDE/>
        <w:autoSpaceDN/>
        <w:bidi w:val="0"/>
        <w:adjustRightInd w:val="0"/>
        <w:snapToGrid w:val="0"/>
        <w:spacing w:line="500" w:lineRule="exact"/>
        <w:textAlignment w:val="auto"/>
      </w:pPr>
      <w:r>
        <w:rPr>
          <w:rFonts w:hint="eastAsia"/>
        </w:rPr>
        <w:t>2.协作单位</w:t>
      </w:r>
    </w:p>
    <w:p w14:paraId="0FA7A1F7">
      <w:pPr>
        <w:pageBreakBefore w:val="0"/>
        <w:kinsoku/>
        <w:wordWrap/>
        <w:overflowPunct/>
        <w:topLinePunct w:val="0"/>
        <w:autoSpaceDE/>
        <w:autoSpaceDN/>
        <w:bidi w:val="0"/>
        <w:adjustRightInd w:val="0"/>
        <w:snapToGrid w:val="0"/>
        <w:spacing w:line="500" w:lineRule="exact"/>
        <w:ind w:firstLine="420"/>
        <w:textAlignment w:val="auto"/>
        <w:rPr>
          <w:rFonts w:ascii="宋体" w:hAnsi="宋体"/>
          <w:kern w:val="0"/>
          <w:sz w:val="28"/>
          <w:szCs w:val="28"/>
        </w:rPr>
      </w:pPr>
      <w:r>
        <w:rPr>
          <w:rFonts w:hint="eastAsia" w:ascii="宋体" w:hAnsi="宋体"/>
          <w:kern w:val="0"/>
          <w:sz w:val="28"/>
          <w:szCs w:val="28"/>
        </w:rPr>
        <w:t>中国林业科学研究院林业研究所为本标准的牵头主持单位，</w:t>
      </w:r>
    </w:p>
    <w:p w14:paraId="7F33B1B0">
      <w:pPr>
        <w:pageBreakBefore w:val="0"/>
        <w:kinsoku/>
        <w:wordWrap/>
        <w:overflowPunct/>
        <w:topLinePunct w:val="0"/>
        <w:autoSpaceDE/>
        <w:autoSpaceDN/>
        <w:bidi w:val="0"/>
        <w:adjustRightInd w:val="0"/>
        <w:snapToGrid w:val="0"/>
        <w:spacing w:line="500" w:lineRule="exact"/>
        <w:ind w:firstLine="420"/>
        <w:textAlignment w:val="auto"/>
        <w:rPr>
          <w:rFonts w:ascii="宋体" w:hAnsi="宋体"/>
          <w:kern w:val="0"/>
          <w:sz w:val="28"/>
          <w:szCs w:val="28"/>
        </w:rPr>
      </w:pPr>
      <w:r>
        <w:rPr>
          <w:rFonts w:hint="eastAsia" w:ascii="宋体" w:hAnsi="宋体"/>
          <w:kern w:val="0"/>
          <w:sz w:val="28"/>
          <w:szCs w:val="28"/>
        </w:rPr>
        <w:t>协作单位如下：</w:t>
      </w:r>
    </w:p>
    <w:p w14:paraId="7D34B77A">
      <w:pPr>
        <w:pageBreakBefore w:val="0"/>
        <w:kinsoku/>
        <w:wordWrap/>
        <w:overflowPunct/>
        <w:topLinePunct w:val="0"/>
        <w:autoSpaceDE/>
        <w:autoSpaceDN/>
        <w:bidi w:val="0"/>
        <w:adjustRightInd w:val="0"/>
        <w:snapToGrid w:val="0"/>
        <w:spacing w:line="500" w:lineRule="exact"/>
        <w:ind w:firstLine="420"/>
        <w:textAlignment w:val="auto"/>
        <w:rPr>
          <w:rFonts w:ascii="宋体" w:hAnsi="宋体"/>
          <w:kern w:val="0"/>
          <w:sz w:val="28"/>
          <w:szCs w:val="28"/>
        </w:rPr>
      </w:pPr>
      <w:r>
        <w:rPr>
          <w:rFonts w:hint="eastAsia" w:ascii="宋体" w:hAnsi="宋体"/>
          <w:kern w:val="0"/>
          <w:sz w:val="28"/>
          <w:szCs w:val="28"/>
        </w:rPr>
        <w:t>中国林业科学研究院森林生态环境与自然保护研究所、</w:t>
      </w:r>
    </w:p>
    <w:p w14:paraId="24C5F81B">
      <w:pPr>
        <w:pageBreakBefore w:val="0"/>
        <w:kinsoku/>
        <w:wordWrap/>
        <w:overflowPunct/>
        <w:topLinePunct w:val="0"/>
        <w:autoSpaceDE/>
        <w:autoSpaceDN/>
        <w:bidi w:val="0"/>
        <w:adjustRightInd w:val="0"/>
        <w:snapToGrid w:val="0"/>
        <w:spacing w:line="500" w:lineRule="exact"/>
        <w:ind w:firstLine="420"/>
        <w:textAlignment w:val="auto"/>
        <w:rPr>
          <w:rFonts w:ascii="宋体" w:hAnsi="宋体"/>
          <w:kern w:val="0"/>
          <w:sz w:val="28"/>
          <w:szCs w:val="28"/>
        </w:rPr>
      </w:pPr>
      <w:r>
        <w:rPr>
          <w:rFonts w:hint="eastAsia" w:ascii="宋体" w:hAnsi="宋体"/>
          <w:kern w:val="0"/>
          <w:sz w:val="28"/>
          <w:szCs w:val="28"/>
        </w:rPr>
        <w:t>辽宁省林业科学研究院、</w:t>
      </w:r>
    </w:p>
    <w:p w14:paraId="709EB7CE">
      <w:pPr>
        <w:pageBreakBefore w:val="0"/>
        <w:kinsoku/>
        <w:wordWrap/>
        <w:overflowPunct/>
        <w:topLinePunct w:val="0"/>
        <w:autoSpaceDE/>
        <w:autoSpaceDN/>
        <w:bidi w:val="0"/>
        <w:adjustRightInd w:val="0"/>
        <w:snapToGrid w:val="0"/>
        <w:spacing w:line="500" w:lineRule="exact"/>
        <w:ind w:firstLine="420"/>
        <w:textAlignment w:val="auto"/>
        <w:rPr>
          <w:rFonts w:ascii="宋体" w:hAnsi="宋体"/>
          <w:kern w:val="0"/>
          <w:sz w:val="28"/>
          <w:szCs w:val="28"/>
        </w:rPr>
      </w:pPr>
      <w:r>
        <w:rPr>
          <w:rFonts w:hint="eastAsia" w:ascii="宋体" w:hAnsi="宋体"/>
          <w:kern w:val="0"/>
          <w:sz w:val="28"/>
          <w:szCs w:val="28"/>
        </w:rPr>
        <w:t>国家林业和草原局国家公园（自然保护地）发展中心</w:t>
      </w:r>
    </w:p>
    <w:p w14:paraId="32E375FD">
      <w:pPr>
        <w:pageBreakBefore w:val="0"/>
        <w:kinsoku/>
        <w:wordWrap/>
        <w:overflowPunct/>
        <w:topLinePunct w:val="0"/>
        <w:autoSpaceDE/>
        <w:autoSpaceDN/>
        <w:bidi w:val="0"/>
        <w:adjustRightInd w:val="0"/>
        <w:snapToGrid w:val="0"/>
        <w:spacing w:line="500" w:lineRule="exact"/>
        <w:ind w:firstLine="420"/>
        <w:textAlignment w:val="auto"/>
        <w:rPr>
          <w:rFonts w:ascii="宋体" w:hAnsi="宋体"/>
          <w:kern w:val="0"/>
          <w:sz w:val="28"/>
          <w:szCs w:val="28"/>
        </w:rPr>
      </w:pPr>
      <w:r>
        <w:rPr>
          <w:rFonts w:ascii="宋体" w:hAnsi="宋体"/>
          <w:kern w:val="0"/>
          <w:sz w:val="28"/>
          <w:szCs w:val="28"/>
        </w:rPr>
        <w:t>通过多学科、多部门协同，保证术语体系兼顾科学性、系统性和行业适用性。</w:t>
      </w:r>
    </w:p>
    <w:p w14:paraId="2DDAF798">
      <w:pPr>
        <w:pStyle w:val="3"/>
        <w:pageBreakBefore w:val="0"/>
        <w:kinsoku/>
        <w:wordWrap/>
        <w:overflowPunct/>
        <w:topLinePunct w:val="0"/>
        <w:autoSpaceDE/>
        <w:autoSpaceDN/>
        <w:bidi w:val="0"/>
        <w:adjustRightInd w:val="0"/>
        <w:snapToGrid w:val="0"/>
        <w:spacing w:line="500" w:lineRule="exact"/>
        <w:textAlignment w:val="auto"/>
      </w:pPr>
      <w:r>
        <w:rPr>
          <w:rFonts w:hint="eastAsia"/>
        </w:rPr>
        <w:t>3.主要工作过程</w:t>
      </w:r>
    </w:p>
    <w:p w14:paraId="16FE0DE9">
      <w:pPr>
        <w:pageBreakBefore w:val="0"/>
        <w:kinsoku/>
        <w:wordWrap/>
        <w:overflowPunct/>
        <w:topLinePunct w:val="0"/>
        <w:autoSpaceDE/>
        <w:autoSpaceDN/>
        <w:bidi w:val="0"/>
        <w:adjustRightInd w:val="0"/>
        <w:snapToGrid w:val="0"/>
        <w:spacing w:line="500" w:lineRule="exact"/>
        <w:textAlignment w:val="auto"/>
        <w:rPr>
          <w:rFonts w:ascii="宋体" w:hAnsi="宋体"/>
          <w:b/>
          <w:bCs/>
          <w:kern w:val="0"/>
          <w:sz w:val="28"/>
          <w:szCs w:val="28"/>
        </w:rPr>
      </w:pPr>
      <w:r>
        <w:rPr>
          <w:rFonts w:hint="eastAsia" w:ascii="宋体" w:hAnsi="宋体"/>
          <w:b/>
          <w:bCs/>
          <w:kern w:val="0"/>
          <w:sz w:val="28"/>
          <w:szCs w:val="28"/>
        </w:rPr>
        <w:t>（1）成立编制组</w:t>
      </w:r>
    </w:p>
    <w:p w14:paraId="2B685373">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为确保《山水林田湖草沙一体化保护和修复工程术语》的科学性、合理性和实用性，2023年10月成立了由多领域专家学者、政策研究者等专家组成的编制组。编制组成员具备丰富的山水林田湖草沙系统治理经验和专业知识，为规范的编制和制定提供了坚实的技术和理论支持。</w:t>
      </w:r>
    </w:p>
    <w:p w14:paraId="5C563845">
      <w:pPr>
        <w:pageBreakBefore w:val="0"/>
        <w:kinsoku/>
        <w:wordWrap/>
        <w:overflowPunct/>
        <w:topLinePunct w:val="0"/>
        <w:autoSpaceDE/>
        <w:autoSpaceDN/>
        <w:bidi w:val="0"/>
        <w:adjustRightInd w:val="0"/>
        <w:snapToGrid w:val="0"/>
        <w:spacing w:line="500" w:lineRule="exact"/>
        <w:textAlignment w:val="auto"/>
        <w:rPr>
          <w:rFonts w:ascii="宋体" w:hAnsi="宋体"/>
          <w:b/>
          <w:bCs/>
          <w:kern w:val="0"/>
          <w:sz w:val="28"/>
          <w:szCs w:val="28"/>
        </w:rPr>
      </w:pPr>
      <w:r>
        <w:rPr>
          <w:rFonts w:hint="eastAsia" w:ascii="宋体" w:hAnsi="宋体"/>
          <w:b/>
          <w:bCs/>
          <w:kern w:val="0"/>
          <w:sz w:val="28"/>
          <w:szCs w:val="28"/>
        </w:rPr>
        <w:t>（2）前期调研</w:t>
      </w:r>
    </w:p>
    <w:p w14:paraId="04D6DBA5">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a)文献调研：</w:t>
      </w:r>
    </w:p>
    <w:p w14:paraId="64148401">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系统收集国内外生态保护修复领域相关法律法规、国际标准、国家标准、行业标准、地方标准、团体标准以及技术规范，对国内外生态修复、自然资源管理、生态系统保护等领域术语进行了全面梳理。</w:t>
      </w:r>
    </w:p>
    <w:p w14:paraId="021904FE">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重点分析了：</w:t>
      </w:r>
    </w:p>
    <w:p w14:paraId="14E12399">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w:t>
      </w:r>
      <w:r>
        <w:rPr>
          <w:rFonts w:hint="eastAsia" w:ascii="宋体" w:hAnsi="宋体"/>
          <w:kern w:val="0"/>
          <w:sz w:val="28"/>
          <w:szCs w:val="28"/>
        </w:rPr>
        <w:tab/>
      </w:r>
      <w:r>
        <w:rPr>
          <w:rFonts w:hint="eastAsia" w:ascii="宋体" w:hAnsi="宋体"/>
          <w:kern w:val="0"/>
          <w:sz w:val="28"/>
          <w:szCs w:val="28"/>
        </w:rPr>
        <w:t>山水林田湖草沙工程政策文件；</w:t>
      </w:r>
    </w:p>
    <w:p w14:paraId="1C1F5537">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w:t>
      </w:r>
      <w:r>
        <w:rPr>
          <w:rFonts w:hint="eastAsia" w:ascii="宋体" w:hAnsi="宋体"/>
          <w:kern w:val="0"/>
          <w:sz w:val="28"/>
          <w:szCs w:val="28"/>
        </w:rPr>
        <w:tab/>
      </w:r>
      <w:r>
        <w:rPr>
          <w:rFonts w:hint="eastAsia" w:ascii="宋体" w:hAnsi="宋体"/>
          <w:kern w:val="0"/>
          <w:sz w:val="28"/>
          <w:szCs w:val="28"/>
        </w:rPr>
        <w:t>国土空间生态修复相关规范；</w:t>
      </w:r>
    </w:p>
    <w:p w14:paraId="7914E509">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w:t>
      </w:r>
      <w:r>
        <w:rPr>
          <w:rFonts w:hint="eastAsia" w:ascii="宋体" w:hAnsi="宋体"/>
          <w:kern w:val="0"/>
          <w:sz w:val="28"/>
          <w:szCs w:val="28"/>
        </w:rPr>
        <w:tab/>
      </w:r>
      <w:r>
        <w:rPr>
          <w:rFonts w:hint="eastAsia" w:ascii="宋体" w:hAnsi="宋体"/>
          <w:kern w:val="0"/>
          <w:sz w:val="28"/>
          <w:szCs w:val="28"/>
        </w:rPr>
        <w:t>自然资源调查监测标准；</w:t>
      </w:r>
    </w:p>
    <w:p w14:paraId="31A3841B">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w:t>
      </w:r>
      <w:r>
        <w:rPr>
          <w:rFonts w:hint="eastAsia" w:ascii="宋体" w:hAnsi="宋体"/>
          <w:kern w:val="0"/>
          <w:sz w:val="28"/>
          <w:szCs w:val="28"/>
        </w:rPr>
        <w:tab/>
      </w:r>
      <w:r>
        <w:rPr>
          <w:rFonts w:hint="eastAsia" w:ascii="宋体" w:hAnsi="宋体"/>
          <w:kern w:val="0"/>
          <w:sz w:val="28"/>
          <w:szCs w:val="28"/>
        </w:rPr>
        <w:t>林业、水利、生态环境等行业标准；</w:t>
      </w:r>
    </w:p>
    <w:p w14:paraId="690FC09F">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w:t>
      </w:r>
      <w:r>
        <w:rPr>
          <w:rFonts w:hint="eastAsia" w:ascii="宋体" w:hAnsi="宋体"/>
          <w:kern w:val="0"/>
          <w:sz w:val="28"/>
          <w:szCs w:val="28"/>
        </w:rPr>
        <w:tab/>
      </w:r>
      <w:r>
        <w:rPr>
          <w:rFonts w:hint="eastAsia" w:ascii="宋体" w:hAnsi="宋体"/>
          <w:kern w:val="0"/>
          <w:sz w:val="28"/>
          <w:szCs w:val="28"/>
        </w:rPr>
        <w:t>国际生态恢复相关标准及指南。</w:t>
      </w:r>
    </w:p>
    <w:p w14:paraId="67717228">
      <w:pPr>
        <w:pageBreakBefore w:val="0"/>
        <w:kinsoku/>
        <w:wordWrap/>
        <w:overflowPunct/>
        <w:topLinePunct w:val="0"/>
        <w:autoSpaceDE/>
        <w:autoSpaceDN/>
        <w:bidi w:val="0"/>
        <w:adjustRightInd w:val="0"/>
        <w:snapToGrid w:val="0"/>
        <w:spacing w:line="500" w:lineRule="exact"/>
        <w:ind w:firstLine="420"/>
        <w:textAlignment w:val="auto"/>
        <w:rPr>
          <w:rFonts w:ascii="宋体" w:hAnsi="宋体"/>
          <w:kern w:val="0"/>
          <w:sz w:val="28"/>
          <w:szCs w:val="28"/>
        </w:rPr>
      </w:pPr>
      <w:r>
        <w:rPr>
          <w:rFonts w:hint="eastAsia" w:ascii="宋体" w:hAnsi="宋体"/>
          <w:kern w:val="0"/>
          <w:sz w:val="28"/>
          <w:szCs w:val="28"/>
        </w:rPr>
        <w:t>b)实地考察调研与访谈</w:t>
      </w:r>
    </w:p>
    <w:p w14:paraId="06355C99">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ascii="宋体" w:hAnsi="宋体"/>
          <w:kern w:val="0"/>
          <w:sz w:val="28"/>
          <w:szCs w:val="28"/>
        </w:rPr>
        <w:t>编制组系统梳理了 2016 年以来全国山水林田湖草沙生态保护修复工程的实践经验，</w:t>
      </w:r>
      <w:r>
        <w:rPr>
          <w:rFonts w:hint="eastAsia" w:ascii="宋体" w:hAnsi="宋体"/>
          <w:kern w:val="0"/>
          <w:sz w:val="28"/>
          <w:szCs w:val="28"/>
        </w:rPr>
        <w:t>选取具有代表性的山水林田湖草沙系统治理工程案例进行实地考察，了解工程技术实施、工程效益发挥以及工程后期管理等方面的经验和问题，</w:t>
      </w:r>
      <w:r>
        <w:rPr>
          <w:rFonts w:ascii="宋体" w:hAnsi="宋体"/>
          <w:kern w:val="0"/>
          <w:sz w:val="28"/>
          <w:szCs w:val="28"/>
        </w:rPr>
        <w:t>总结地方在工程实施过程中术语使用的实际习惯和现实问题</w:t>
      </w:r>
      <w:r>
        <w:rPr>
          <w:rFonts w:hint="eastAsia" w:ascii="宋体" w:hAnsi="宋体"/>
          <w:kern w:val="0"/>
          <w:sz w:val="28"/>
          <w:szCs w:val="28"/>
        </w:rPr>
        <w:t>。</w:t>
      </w:r>
    </w:p>
    <w:p w14:paraId="0B74BFB7">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通过文献总结与实际调研，初步建立术语数据库。</w:t>
      </w:r>
    </w:p>
    <w:p w14:paraId="710AFA0B">
      <w:pPr>
        <w:pStyle w:val="3"/>
        <w:pageBreakBefore w:val="0"/>
        <w:kinsoku/>
        <w:wordWrap/>
        <w:overflowPunct/>
        <w:topLinePunct w:val="0"/>
        <w:autoSpaceDE/>
        <w:autoSpaceDN/>
        <w:bidi w:val="0"/>
        <w:adjustRightInd w:val="0"/>
        <w:snapToGrid w:val="0"/>
        <w:spacing w:line="500" w:lineRule="exact"/>
        <w:textAlignment w:val="auto"/>
      </w:pPr>
      <w:r>
        <w:rPr>
          <w:rFonts w:hint="eastAsia"/>
        </w:rPr>
        <w:t>4. 内部征求意见并形成团标建议稿</w:t>
      </w:r>
    </w:p>
    <w:p w14:paraId="5F5434EE">
      <w:pPr>
        <w:pageBreakBefore w:val="0"/>
        <w:kinsoku/>
        <w:wordWrap/>
        <w:overflowPunct/>
        <w:topLinePunct w:val="0"/>
        <w:autoSpaceDE/>
        <w:autoSpaceDN/>
        <w:bidi w:val="0"/>
        <w:adjustRightInd w:val="0"/>
        <w:snapToGrid w:val="0"/>
        <w:spacing w:line="500" w:lineRule="exact"/>
        <w:ind w:firstLine="420"/>
        <w:textAlignment w:val="auto"/>
        <w:rPr>
          <w:rFonts w:ascii="宋体" w:hAnsi="宋体"/>
          <w:kern w:val="0"/>
          <w:sz w:val="28"/>
          <w:szCs w:val="28"/>
        </w:rPr>
      </w:pPr>
      <w:r>
        <w:rPr>
          <w:rFonts w:hint="eastAsia" w:ascii="宋体" w:hAnsi="宋体"/>
          <w:kern w:val="0"/>
          <w:sz w:val="28"/>
          <w:szCs w:val="28"/>
        </w:rPr>
        <w:t>依据GB/T 1.1—2020要求，对收集整理的术语进行分类、筛选和规范化处理，按照术语标准编制原则，对术语名称、英文对应词、定义、来源进行了统一。</w:t>
      </w:r>
    </w:p>
    <w:p w14:paraId="28C425D9">
      <w:pPr>
        <w:pageBreakBefore w:val="0"/>
        <w:kinsoku/>
        <w:wordWrap/>
        <w:overflowPunct/>
        <w:topLinePunct w:val="0"/>
        <w:autoSpaceDE/>
        <w:autoSpaceDN/>
        <w:bidi w:val="0"/>
        <w:adjustRightInd w:val="0"/>
        <w:snapToGrid w:val="0"/>
        <w:spacing w:line="500" w:lineRule="exact"/>
        <w:ind w:firstLine="420"/>
        <w:textAlignment w:val="auto"/>
        <w:rPr>
          <w:rFonts w:hint="eastAsia" w:ascii="宋体" w:hAnsi="宋体"/>
          <w:kern w:val="0"/>
          <w:sz w:val="28"/>
          <w:szCs w:val="28"/>
        </w:rPr>
      </w:pPr>
      <w:r>
        <w:rPr>
          <w:rFonts w:hint="eastAsia" w:ascii="宋体" w:hAnsi="宋体"/>
          <w:kern w:val="0"/>
          <w:sz w:val="28"/>
          <w:szCs w:val="28"/>
        </w:rPr>
        <w:t>编制组内部经过多轮专家讨论，形成标准建议稿。</w:t>
      </w:r>
    </w:p>
    <w:p w14:paraId="43580FC1">
      <w:pPr>
        <w:pStyle w:val="3"/>
        <w:pageBreakBefore w:val="0"/>
        <w:kinsoku/>
        <w:wordWrap/>
        <w:overflowPunct/>
        <w:topLinePunct w:val="0"/>
        <w:autoSpaceDE/>
        <w:autoSpaceDN/>
        <w:bidi w:val="0"/>
        <w:adjustRightInd w:val="0"/>
        <w:snapToGrid w:val="0"/>
        <w:spacing w:line="500" w:lineRule="exact"/>
        <w:textAlignment w:val="auto"/>
      </w:pPr>
      <w:r>
        <w:rPr>
          <w:rFonts w:hint="eastAsia"/>
        </w:rPr>
        <w:t>5.起草组成员及其所做的主要工作</w:t>
      </w:r>
    </w:p>
    <w:p w14:paraId="225BAF9C">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标准起草组成员包括：张雷、孙鹏森、董莉莉、张劲松、孙守家、尹昌君、高卫东。</w:t>
      </w:r>
    </w:p>
    <w:p w14:paraId="326CBDB4">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工作分工如下：</w:t>
      </w:r>
    </w:p>
    <w:p w14:paraId="10B6678D">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张雷，本标准负责人，全面负责项目的组织和协调，以及标准文本的整体架构、编写及统稿工作。</w:t>
      </w:r>
    </w:p>
    <w:p w14:paraId="40AF58CD">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张雷、孙鹏森负责标准整体框架结构的建立。</w:t>
      </w:r>
    </w:p>
    <w:p w14:paraId="21EE7C61">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张雷、尹昌君、张劲松、孙守家等负责国内外资料的检索整理，评估技术的搜集等工作。</w:t>
      </w:r>
    </w:p>
    <w:p w14:paraId="552648CA">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张雷、董莉莉、高卫东等负责内部讨论稿的起草、团队意见收集，标准附件编写等工作。</w:t>
      </w:r>
    </w:p>
    <w:p w14:paraId="3D29DB6F">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董莉莉、张雷等负责函审专家意见收集汇总、编制说明的撰写、标准的验证、标准修改等工作。</w:t>
      </w:r>
    </w:p>
    <w:p w14:paraId="61007402">
      <w:pPr>
        <w:pageBreakBefore w:val="0"/>
        <w:kinsoku/>
        <w:wordWrap/>
        <w:overflowPunct/>
        <w:topLinePunct w:val="0"/>
        <w:autoSpaceDE/>
        <w:autoSpaceDN/>
        <w:bidi w:val="0"/>
        <w:adjustRightInd w:val="0"/>
        <w:snapToGrid w:val="0"/>
        <w:spacing w:line="500" w:lineRule="exact"/>
        <w:textAlignment w:val="auto"/>
        <w:rPr>
          <w:rFonts w:hint="eastAsia" w:ascii="宋体" w:hAnsi="宋体"/>
          <w:kern w:val="0"/>
          <w:sz w:val="28"/>
          <w:szCs w:val="28"/>
        </w:rPr>
      </w:pPr>
    </w:p>
    <w:p w14:paraId="7E4E9C83">
      <w:pPr>
        <w:pStyle w:val="2"/>
        <w:pageBreakBefore w:val="0"/>
        <w:kinsoku/>
        <w:wordWrap/>
        <w:overflowPunct/>
        <w:topLinePunct w:val="0"/>
        <w:autoSpaceDE/>
        <w:autoSpaceDN/>
        <w:bidi w:val="0"/>
        <w:adjustRightInd w:val="0"/>
        <w:snapToGrid w:val="0"/>
        <w:spacing w:line="500" w:lineRule="exact"/>
        <w:textAlignment w:val="auto"/>
      </w:pPr>
      <w:r>
        <w:t>二、标准编制原则和确定标准主要内容的论据</w:t>
      </w:r>
    </w:p>
    <w:p w14:paraId="7F2FA8C1">
      <w:pPr>
        <w:pStyle w:val="3"/>
        <w:pageBreakBefore w:val="0"/>
        <w:kinsoku/>
        <w:wordWrap/>
        <w:overflowPunct/>
        <w:topLinePunct w:val="0"/>
        <w:autoSpaceDE/>
        <w:autoSpaceDN/>
        <w:bidi w:val="0"/>
        <w:adjustRightInd w:val="0"/>
        <w:snapToGrid w:val="0"/>
        <w:spacing w:line="500" w:lineRule="exact"/>
        <w:textAlignment w:val="auto"/>
      </w:pPr>
      <w:r>
        <w:rPr>
          <w:rFonts w:hint="eastAsia"/>
        </w:rPr>
        <w:t>1. 编制原则</w:t>
      </w:r>
    </w:p>
    <w:p w14:paraId="6269E661">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ascii="宋体" w:hAnsi="宋体"/>
          <w:kern w:val="0"/>
          <w:sz w:val="28"/>
          <w:szCs w:val="28"/>
        </w:rPr>
        <w:t>本标准的编制以习近平生态文明思想为指导，严格遵循国家相关法律法规及国土空间规划、生态保护修复相关政策要求，同时符合 GB/T 1.1—2020《标准化工作导则 第 1 部分：标准化文件的结构和起草规则》的相关规定，</w:t>
      </w:r>
      <w:r>
        <w:rPr>
          <w:rFonts w:hint="eastAsia" w:ascii="宋体" w:hAnsi="宋体"/>
          <w:kern w:val="0"/>
          <w:sz w:val="28"/>
          <w:szCs w:val="28"/>
        </w:rPr>
        <w:t>本标准遵循以下原则</w:t>
      </w:r>
    </w:p>
    <w:p w14:paraId="13B7F13B">
      <w:pPr>
        <w:pageBreakBefore w:val="0"/>
        <w:kinsoku/>
        <w:wordWrap/>
        <w:overflowPunct/>
        <w:topLinePunct w:val="0"/>
        <w:autoSpaceDE/>
        <w:autoSpaceDN/>
        <w:bidi w:val="0"/>
        <w:adjustRightInd w:val="0"/>
        <w:snapToGrid w:val="0"/>
        <w:spacing w:line="500" w:lineRule="exact"/>
        <w:ind w:firstLine="560"/>
        <w:textAlignment w:val="auto"/>
        <w:rPr>
          <w:rFonts w:ascii="宋体" w:hAnsi="宋体"/>
          <w:b/>
          <w:bCs/>
          <w:kern w:val="0"/>
          <w:sz w:val="28"/>
          <w:szCs w:val="28"/>
        </w:rPr>
      </w:pPr>
      <w:r>
        <w:rPr>
          <w:rFonts w:hint="eastAsia" w:ascii="宋体" w:hAnsi="宋体"/>
          <w:b/>
          <w:bCs/>
          <w:kern w:val="0"/>
          <w:sz w:val="28"/>
          <w:szCs w:val="28"/>
        </w:rPr>
        <w:t>（1）科学性原则</w:t>
      </w:r>
    </w:p>
    <w:p w14:paraId="3CB56D5C">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依据生态学、恢复生态学、自然资源科学、地球系统科学等基础理论，充分吸收国内外最新研究成果，保证术语定义科学准确。</w:t>
      </w:r>
    </w:p>
    <w:p w14:paraId="17313166">
      <w:pPr>
        <w:pageBreakBefore w:val="0"/>
        <w:kinsoku/>
        <w:wordWrap/>
        <w:overflowPunct/>
        <w:topLinePunct w:val="0"/>
        <w:autoSpaceDE/>
        <w:autoSpaceDN/>
        <w:bidi w:val="0"/>
        <w:adjustRightInd w:val="0"/>
        <w:snapToGrid w:val="0"/>
        <w:spacing w:line="500" w:lineRule="exact"/>
        <w:ind w:firstLine="560"/>
        <w:textAlignment w:val="auto"/>
        <w:rPr>
          <w:rFonts w:ascii="宋体" w:hAnsi="宋体"/>
          <w:b/>
          <w:bCs/>
          <w:kern w:val="0"/>
          <w:sz w:val="28"/>
          <w:szCs w:val="28"/>
        </w:rPr>
      </w:pPr>
      <w:r>
        <w:rPr>
          <w:rFonts w:hint="eastAsia" w:ascii="宋体" w:hAnsi="宋体"/>
          <w:b/>
          <w:bCs/>
          <w:kern w:val="0"/>
          <w:sz w:val="28"/>
          <w:szCs w:val="28"/>
        </w:rPr>
        <w:t>（2）系统性原则</w:t>
      </w:r>
    </w:p>
    <w:p w14:paraId="34155A56">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围绕山水林田湖草沙生命共同体理念，构建覆盖保护修复全过程的术语体系，体现系统治理、一体化保护理念。</w:t>
      </w:r>
    </w:p>
    <w:p w14:paraId="32375382">
      <w:pPr>
        <w:pageBreakBefore w:val="0"/>
        <w:kinsoku/>
        <w:wordWrap/>
        <w:overflowPunct/>
        <w:topLinePunct w:val="0"/>
        <w:autoSpaceDE/>
        <w:autoSpaceDN/>
        <w:bidi w:val="0"/>
        <w:adjustRightInd w:val="0"/>
        <w:snapToGrid w:val="0"/>
        <w:spacing w:line="500" w:lineRule="exact"/>
        <w:ind w:firstLine="560"/>
        <w:textAlignment w:val="auto"/>
        <w:rPr>
          <w:rFonts w:ascii="宋体" w:hAnsi="宋体"/>
          <w:b/>
          <w:bCs/>
          <w:kern w:val="0"/>
          <w:sz w:val="28"/>
          <w:szCs w:val="28"/>
        </w:rPr>
      </w:pPr>
      <w:r>
        <w:rPr>
          <w:rFonts w:hint="eastAsia" w:ascii="宋体" w:hAnsi="宋体"/>
          <w:b/>
          <w:bCs/>
          <w:kern w:val="0"/>
          <w:sz w:val="28"/>
          <w:szCs w:val="28"/>
        </w:rPr>
        <w:t>（3）一致性原则</w:t>
      </w:r>
    </w:p>
    <w:p w14:paraId="74D00D98">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ascii="宋体" w:hAnsi="宋体"/>
          <w:kern w:val="0"/>
          <w:sz w:val="28"/>
          <w:szCs w:val="28"/>
        </w:rPr>
        <w:t>充分吸纳自然资源、生态环境、林业草原、水利等行业现有技术标准的成熟术语内容，重点整合《山水林田湖草沙一体化保护和修复指南》（征求意见稿）、《国土空间生态保护修复工程验收规范》（TD/T 1069-2022）、《生态环境法典》官方释义等已有权威文件的概念表述，与现有行业标准体系保持延续性和技术逻辑一致性；对跨行业存在概念表述差异的同类术语，通过协商一致的方式形成行业统一共识；借鉴国际自然保护联盟（IUCN）、基于自然的解决方案（NbS）等国际成熟标准中的科学概念，兼顾行业现有使用习惯，确保术语的行业认可度</w:t>
      </w:r>
      <w:r>
        <w:rPr>
          <w:rFonts w:hint="eastAsia" w:ascii="宋体" w:hAnsi="宋体"/>
          <w:kern w:val="0"/>
          <w:sz w:val="28"/>
          <w:szCs w:val="28"/>
        </w:rPr>
        <w:t>。</w:t>
      </w:r>
    </w:p>
    <w:p w14:paraId="6CA68464">
      <w:pPr>
        <w:pageBreakBefore w:val="0"/>
        <w:kinsoku/>
        <w:wordWrap/>
        <w:overflowPunct/>
        <w:topLinePunct w:val="0"/>
        <w:autoSpaceDE/>
        <w:autoSpaceDN/>
        <w:bidi w:val="0"/>
        <w:adjustRightInd w:val="0"/>
        <w:snapToGrid w:val="0"/>
        <w:spacing w:line="500" w:lineRule="exact"/>
        <w:ind w:firstLine="560"/>
        <w:textAlignment w:val="auto"/>
        <w:rPr>
          <w:rFonts w:ascii="宋体" w:hAnsi="宋体"/>
          <w:b/>
          <w:bCs/>
          <w:kern w:val="0"/>
          <w:sz w:val="28"/>
          <w:szCs w:val="28"/>
        </w:rPr>
      </w:pPr>
      <w:r>
        <w:rPr>
          <w:rFonts w:hint="eastAsia" w:ascii="宋体" w:hAnsi="宋体"/>
          <w:b/>
          <w:bCs/>
          <w:kern w:val="0"/>
          <w:sz w:val="28"/>
          <w:szCs w:val="28"/>
        </w:rPr>
        <w:t>（4）实用性原则</w:t>
      </w:r>
    </w:p>
    <w:p w14:paraId="528709F3">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兼顾规划设计、工程建设、调查监测、成效评估、运行管理等实际应用需求，提高标准适用性。</w:t>
      </w:r>
      <w:r>
        <w:rPr>
          <w:rFonts w:ascii="宋体" w:hAnsi="宋体"/>
          <w:kern w:val="0"/>
          <w:sz w:val="28"/>
          <w:szCs w:val="28"/>
        </w:rPr>
        <w:t>确保术语定义简明、表述规范，具备行业普遍共识的基础，便于工程技术人员、行业管理人员理解及实际应用；重点解决一体化工程中多要素协同、跨区域统筹场景下的专属概念表述问题，规避过去分要素治理时期术语概念不兼容、不匹配的技术痛点</w:t>
      </w:r>
    </w:p>
    <w:p w14:paraId="21959854">
      <w:pPr>
        <w:pageBreakBefore w:val="0"/>
        <w:kinsoku/>
        <w:wordWrap/>
        <w:overflowPunct/>
        <w:topLinePunct w:val="0"/>
        <w:autoSpaceDE/>
        <w:autoSpaceDN/>
        <w:bidi w:val="0"/>
        <w:adjustRightInd w:val="0"/>
        <w:snapToGrid w:val="0"/>
        <w:spacing w:line="500" w:lineRule="exact"/>
        <w:ind w:firstLine="560"/>
        <w:textAlignment w:val="auto"/>
        <w:rPr>
          <w:rFonts w:ascii="宋体" w:hAnsi="宋体"/>
          <w:b/>
          <w:bCs/>
          <w:kern w:val="0"/>
          <w:sz w:val="28"/>
          <w:szCs w:val="28"/>
        </w:rPr>
      </w:pPr>
      <w:r>
        <w:rPr>
          <w:rFonts w:hint="eastAsia" w:ascii="宋体" w:hAnsi="宋体"/>
          <w:b/>
          <w:bCs/>
          <w:kern w:val="0"/>
          <w:sz w:val="28"/>
          <w:szCs w:val="28"/>
        </w:rPr>
        <w:t>（5）前瞻性原则</w:t>
      </w:r>
    </w:p>
    <w:p w14:paraId="68516529">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充分体现生态文明建设新理念和自然资源统一管理要求，为后续相关标准制定提供基础支撑。</w:t>
      </w:r>
    </w:p>
    <w:p w14:paraId="4629075B">
      <w:pPr>
        <w:pageBreakBefore w:val="0"/>
        <w:kinsoku/>
        <w:wordWrap/>
        <w:overflowPunct/>
        <w:topLinePunct w:val="0"/>
        <w:autoSpaceDE/>
        <w:autoSpaceDN/>
        <w:bidi w:val="0"/>
        <w:adjustRightInd w:val="0"/>
        <w:snapToGrid w:val="0"/>
        <w:spacing w:line="500" w:lineRule="exact"/>
        <w:ind w:firstLine="560"/>
        <w:textAlignment w:val="auto"/>
        <w:rPr>
          <w:rFonts w:ascii="宋体" w:hAnsi="宋体"/>
          <w:b/>
          <w:bCs/>
          <w:kern w:val="0"/>
          <w:sz w:val="28"/>
          <w:szCs w:val="28"/>
        </w:rPr>
      </w:pPr>
      <w:r>
        <w:rPr>
          <w:rFonts w:hint="eastAsia" w:ascii="宋体" w:hAnsi="宋体"/>
          <w:b/>
          <w:bCs/>
          <w:kern w:val="0"/>
          <w:sz w:val="28"/>
          <w:szCs w:val="28"/>
        </w:rPr>
        <w:t>（6）依法依规原则</w:t>
      </w:r>
    </w:p>
    <w:p w14:paraId="44A2DE34">
      <w:pPr>
        <w:pageBreakBefore w:val="0"/>
        <w:kinsoku/>
        <w:wordWrap/>
        <w:overflowPunct/>
        <w:topLinePunct w:val="0"/>
        <w:autoSpaceDE/>
        <w:autoSpaceDN/>
        <w:bidi w:val="0"/>
        <w:adjustRightInd w:val="0"/>
        <w:snapToGrid w:val="0"/>
        <w:spacing w:line="500" w:lineRule="exact"/>
        <w:ind w:firstLine="560" w:firstLineChars="200"/>
        <w:textAlignment w:val="auto"/>
        <w:rPr>
          <w:rFonts w:ascii="宋体" w:hAnsi="宋体"/>
          <w:kern w:val="0"/>
          <w:sz w:val="28"/>
          <w:szCs w:val="28"/>
        </w:rPr>
      </w:pPr>
      <w:r>
        <w:rPr>
          <w:rFonts w:hint="eastAsia" w:ascii="宋体" w:hAnsi="宋体"/>
          <w:kern w:val="0"/>
          <w:sz w:val="28"/>
          <w:szCs w:val="28"/>
        </w:rPr>
        <w:t>严格贯彻党中央、国务院关于生态保护修复的决策部署，遵循《全国重要生态系统保护和修复重大工程总体规划（2021—2035 年）》等相关规划文件及行业法律法规要求，全面对接山水林田湖草沙一体化保护和系统治理的政策导向，体现国土空间规划和用途管制的顶层设计要求，统筹处理生态保护与经济发展的关系，确保所有术语内容不与行业现有政策、规划及法规冲突</w:t>
      </w:r>
    </w:p>
    <w:p w14:paraId="798C9959">
      <w:pPr>
        <w:pStyle w:val="3"/>
        <w:pageBreakBefore w:val="0"/>
        <w:kinsoku/>
        <w:wordWrap/>
        <w:overflowPunct/>
        <w:topLinePunct w:val="0"/>
        <w:autoSpaceDE/>
        <w:autoSpaceDN/>
        <w:bidi w:val="0"/>
        <w:adjustRightInd w:val="0"/>
        <w:snapToGrid w:val="0"/>
        <w:spacing w:line="500" w:lineRule="exact"/>
        <w:textAlignment w:val="auto"/>
      </w:pPr>
      <w:r>
        <w:rPr>
          <w:rFonts w:hint="eastAsia"/>
        </w:rPr>
        <w:t>2. 标准主要内容</w:t>
      </w:r>
    </w:p>
    <w:p w14:paraId="21E3E817">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hint="eastAsia" w:ascii="宋体" w:hAnsi="宋体"/>
          <w:kern w:val="0"/>
          <w:sz w:val="28"/>
          <w:szCs w:val="28"/>
        </w:rPr>
        <w:t>本标准主要包括：</w:t>
      </w:r>
    </w:p>
    <w:p w14:paraId="7F354ECB">
      <w:pPr>
        <w:pageBreakBefore w:val="0"/>
        <w:kinsoku/>
        <w:wordWrap/>
        <w:overflowPunct/>
        <w:topLinePunct w:val="0"/>
        <w:autoSpaceDE/>
        <w:autoSpaceDN/>
        <w:bidi w:val="0"/>
        <w:adjustRightInd w:val="0"/>
        <w:snapToGrid w:val="0"/>
        <w:spacing w:line="500" w:lineRule="exact"/>
        <w:ind w:firstLine="630"/>
        <w:textAlignment w:val="auto"/>
        <w:rPr>
          <w:rFonts w:ascii="宋体" w:hAnsi="宋体"/>
          <w:b/>
          <w:bCs/>
          <w:kern w:val="0"/>
          <w:sz w:val="28"/>
          <w:szCs w:val="28"/>
        </w:rPr>
      </w:pPr>
      <w:r>
        <w:rPr>
          <w:rFonts w:hint="eastAsia" w:ascii="宋体" w:hAnsi="宋体"/>
          <w:b/>
          <w:bCs/>
          <w:kern w:val="0"/>
          <w:sz w:val="28"/>
          <w:szCs w:val="28"/>
        </w:rPr>
        <w:t>基础术语</w:t>
      </w:r>
      <w:r>
        <w:rPr>
          <w:rFonts w:hint="eastAsia" w:ascii="宋体" w:hAnsi="宋体"/>
          <w:kern w:val="0"/>
          <w:sz w:val="28"/>
          <w:szCs w:val="28"/>
        </w:rPr>
        <w:t>：</w:t>
      </w:r>
      <w:r>
        <w:rPr>
          <w:rFonts w:ascii="宋体" w:hAnsi="宋体"/>
          <w:kern w:val="0"/>
          <w:sz w:val="28"/>
          <w:szCs w:val="28"/>
        </w:rPr>
        <w:t>该部分主要界定山水林田湖草沙一体化保护和修复工程的基础共性概念，为整个标准体系提供底层概念支撑。</w:t>
      </w:r>
      <w:r>
        <w:rPr>
          <w:rFonts w:hint="eastAsia" w:ascii="宋体" w:hAnsi="宋体"/>
          <w:kern w:val="0"/>
          <w:sz w:val="28"/>
          <w:szCs w:val="28"/>
        </w:rPr>
        <w:t>包括，山水林田湖草沙一体化保护、系统治理、生态保护修复、自然资源等基础概念。</w:t>
      </w:r>
      <w:r>
        <w:rPr>
          <w:rFonts w:ascii="宋体" w:hAnsi="宋体"/>
          <w:kern w:val="0"/>
          <w:sz w:val="28"/>
          <w:szCs w:val="28"/>
        </w:rPr>
        <w:t xml:space="preserve"> </w:t>
      </w:r>
    </w:p>
    <w:p w14:paraId="5AF95A60">
      <w:pPr>
        <w:pageBreakBefore w:val="0"/>
        <w:kinsoku/>
        <w:wordWrap/>
        <w:overflowPunct/>
        <w:topLinePunct w:val="0"/>
        <w:autoSpaceDE/>
        <w:autoSpaceDN/>
        <w:bidi w:val="0"/>
        <w:adjustRightInd w:val="0"/>
        <w:snapToGrid w:val="0"/>
        <w:spacing w:line="500" w:lineRule="exact"/>
        <w:ind w:firstLine="630"/>
        <w:textAlignment w:val="auto"/>
        <w:rPr>
          <w:rFonts w:ascii="宋体" w:hAnsi="宋体"/>
          <w:b/>
          <w:bCs/>
          <w:kern w:val="0"/>
          <w:sz w:val="28"/>
          <w:szCs w:val="28"/>
        </w:rPr>
      </w:pPr>
      <w:r>
        <w:rPr>
          <w:rFonts w:hint="eastAsia" w:ascii="宋体" w:hAnsi="宋体"/>
          <w:b/>
          <w:bCs/>
          <w:kern w:val="0"/>
          <w:sz w:val="28"/>
          <w:szCs w:val="28"/>
        </w:rPr>
        <w:t>工程术语</w:t>
      </w:r>
      <w:r>
        <w:rPr>
          <w:rFonts w:hint="eastAsia" w:ascii="宋体" w:hAnsi="宋体"/>
          <w:kern w:val="0"/>
          <w:sz w:val="28"/>
          <w:szCs w:val="28"/>
        </w:rPr>
        <w:t>：</w:t>
      </w:r>
      <w:r>
        <w:rPr>
          <w:rFonts w:ascii="宋体" w:hAnsi="宋体"/>
          <w:kern w:val="0"/>
          <w:sz w:val="28"/>
          <w:szCs w:val="28"/>
        </w:rPr>
        <w:t>主要界定一体化保护修复工程中跨要素、跨行业的通用技术概念，覆盖工程全流程的共性技术动作</w:t>
      </w:r>
      <w:r>
        <w:rPr>
          <w:rFonts w:hint="eastAsia" w:ascii="宋体" w:hAnsi="宋体"/>
          <w:kern w:val="0"/>
          <w:sz w:val="28"/>
          <w:szCs w:val="28"/>
        </w:rPr>
        <w:t>。生态保护工程、生态修复工程、综合治理工程、修复单元、修复措施、修复目标等。</w:t>
      </w:r>
      <w:r>
        <w:rPr>
          <w:rFonts w:ascii="宋体" w:hAnsi="宋体"/>
          <w:kern w:val="0"/>
          <w:sz w:val="28"/>
          <w:szCs w:val="28"/>
        </w:rPr>
        <w:t xml:space="preserve"> </w:t>
      </w:r>
    </w:p>
    <w:p w14:paraId="7C7E6CE0">
      <w:pPr>
        <w:pageBreakBefore w:val="0"/>
        <w:kinsoku/>
        <w:wordWrap/>
        <w:overflowPunct/>
        <w:topLinePunct w:val="0"/>
        <w:autoSpaceDE/>
        <w:autoSpaceDN/>
        <w:bidi w:val="0"/>
        <w:adjustRightInd w:val="0"/>
        <w:snapToGrid w:val="0"/>
        <w:spacing w:line="500" w:lineRule="exact"/>
        <w:ind w:firstLine="630"/>
        <w:textAlignment w:val="auto"/>
        <w:rPr>
          <w:rFonts w:ascii="宋体" w:hAnsi="宋体"/>
          <w:b/>
          <w:bCs/>
          <w:kern w:val="0"/>
          <w:sz w:val="28"/>
          <w:szCs w:val="28"/>
        </w:rPr>
      </w:pPr>
      <w:r>
        <w:rPr>
          <w:rFonts w:hint="eastAsia" w:ascii="宋体" w:hAnsi="宋体"/>
          <w:b/>
          <w:bCs/>
          <w:kern w:val="0"/>
          <w:sz w:val="28"/>
          <w:szCs w:val="28"/>
        </w:rPr>
        <w:t>生态系统术语</w:t>
      </w:r>
      <w:r>
        <w:rPr>
          <w:rFonts w:hint="eastAsia" w:ascii="宋体" w:hAnsi="宋体"/>
          <w:kern w:val="0"/>
          <w:sz w:val="28"/>
          <w:szCs w:val="28"/>
        </w:rPr>
        <w:t>：水源涵养、水土保持、生物多样性、生态系统服务、生态系统完整性、生态系统稳定性、生态连通性、生态安全、等。</w:t>
      </w:r>
      <w:r>
        <w:rPr>
          <w:rFonts w:ascii="宋体" w:hAnsi="宋体"/>
          <w:kern w:val="0"/>
          <w:sz w:val="28"/>
          <w:szCs w:val="28"/>
        </w:rPr>
        <w:t xml:space="preserve"> </w:t>
      </w:r>
    </w:p>
    <w:p w14:paraId="0F97EC27">
      <w:pPr>
        <w:pageBreakBefore w:val="0"/>
        <w:kinsoku/>
        <w:wordWrap/>
        <w:overflowPunct/>
        <w:topLinePunct w:val="0"/>
        <w:autoSpaceDE/>
        <w:autoSpaceDN/>
        <w:bidi w:val="0"/>
        <w:adjustRightInd w:val="0"/>
        <w:snapToGrid w:val="0"/>
        <w:spacing w:line="500" w:lineRule="exact"/>
        <w:ind w:firstLine="630"/>
        <w:textAlignment w:val="auto"/>
        <w:rPr>
          <w:rFonts w:ascii="宋体" w:hAnsi="宋体"/>
          <w:b/>
          <w:bCs/>
          <w:kern w:val="0"/>
          <w:sz w:val="28"/>
          <w:szCs w:val="28"/>
        </w:rPr>
      </w:pPr>
      <w:r>
        <w:rPr>
          <w:rFonts w:hint="eastAsia" w:ascii="宋体" w:hAnsi="宋体"/>
          <w:b/>
          <w:bCs/>
          <w:kern w:val="0"/>
          <w:sz w:val="28"/>
          <w:szCs w:val="28"/>
        </w:rPr>
        <w:t>调查监测术语</w:t>
      </w:r>
      <w:r>
        <w:rPr>
          <w:rFonts w:hint="eastAsia" w:ascii="宋体" w:hAnsi="宋体"/>
          <w:kern w:val="0"/>
          <w:sz w:val="28"/>
          <w:szCs w:val="28"/>
        </w:rPr>
        <w:t>：基线调查、本底调查、动态监测、遥感监测、生态监测指标等。</w:t>
      </w:r>
      <w:r>
        <w:rPr>
          <w:rFonts w:ascii="宋体" w:hAnsi="宋体"/>
          <w:kern w:val="0"/>
          <w:sz w:val="28"/>
          <w:szCs w:val="28"/>
        </w:rPr>
        <w:t xml:space="preserve"> </w:t>
      </w:r>
    </w:p>
    <w:p w14:paraId="029B3BA2">
      <w:pPr>
        <w:pageBreakBefore w:val="0"/>
        <w:kinsoku/>
        <w:wordWrap/>
        <w:overflowPunct/>
        <w:topLinePunct w:val="0"/>
        <w:autoSpaceDE/>
        <w:autoSpaceDN/>
        <w:bidi w:val="0"/>
        <w:adjustRightInd w:val="0"/>
        <w:snapToGrid w:val="0"/>
        <w:spacing w:line="500" w:lineRule="exact"/>
        <w:ind w:firstLine="630"/>
        <w:textAlignment w:val="auto"/>
        <w:rPr>
          <w:rFonts w:ascii="宋体" w:hAnsi="宋体"/>
          <w:b/>
          <w:bCs/>
          <w:kern w:val="0"/>
          <w:sz w:val="28"/>
          <w:szCs w:val="28"/>
        </w:rPr>
      </w:pPr>
      <w:r>
        <w:rPr>
          <w:rFonts w:hint="eastAsia" w:ascii="宋体" w:hAnsi="宋体"/>
          <w:b/>
          <w:bCs/>
          <w:kern w:val="0"/>
          <w:sz w:val="28"/>
          <w:szCs w:val="28"/>
        </w:rPr>
        <w:t>成效评价术语</w:t>
      </w:r>
      <w:r>
        <w:rPr>
          <w:rFonts w:hint="eastAsia" w:ascii="宋体" w:hAnsi="宋体"/>
          <w:kern w:val="0"/>
          <w:sz w:val="28"/>
          <w:szCs w:val="28"/>
        </w:rPr>
        <w:t>：生态成效、管理成效、社会效益、经济效益、综合效益、恢复潜力、生态质量等。</w:t>
      </w:r>
      <w:r>
        <w:rPr>
          <w:rFonts w:ascii="宋体" w:hAnsi="宋体"/>
          <w:kern w:val="0"/>
          <w:sz w:val="28"/>
          <w:szCs w:val="28"/>
        </w:rPr>
        <w:t xml:space="preserve"> </w:t>
      </w:r>
    </w:p>
    <w:p w14:paraId="69E1527F">
      <w:pPr>
        <w:pageBreakBefore w:val="0"/>
        <w:kinsoku/>
        <w:wordWrap/>
        <w:overflowPunct/>
        <w:topLinePunct w:val="0"/>
        <w:autoSpaceDE/>
        <w:autoSpaceDN/>
        <w:bidi w:val="0"/>
        <w:adjustRightInd w:val="0"/>
        <w:snapToGrid w:val="0"/>
        <w:spacing w:line="500" w:lineRule="exact"/>
        <w:ind w:firstLine="630"/>
        <w:textAlignment w:val="auto"/>
        <w:rPr>
          <w:rFonts w:ascii="宋体" w:hAnsi="宋体"/>
          <w:b/>
          <w:bCs/>
          <w:kern w:val="0"/>
          <w:sz w:val="28"/>
          <w:szCs w:val="28"/>
        </w:rPr>
      </w:pPr>
      <w:r>
        <w:rPr>
          <w:rFonts w:hint="eastAsia" w:ascii="宋体" w:hAnsi="宋体"/>
          <w:b/>
          <w:bCs/>
          <w:kern w:val="0"/>
          <w:sz w:val="28"/>
          <w:szCs w:val="28"/>
        </w:rPr>
        <w:t>工程管理术语</w:t>
      </w:r>
      <w:r>
        <w:rPr>
          <w:rFonts w:hint="eastAsia" w:ascii="宋体" w:hAnsi="宋体"/>
          <w:kern w:val="0"/>
          <w:sz w:val="28"/>
          <w:szCs w:val="28"/>
        </w:rPr>
        <w:t>：</w:t>
      </w:r>
      <w:r>
        <w:rPr>
          <w:rFonts w:ascii="宋体" w:hAnsi="宋体"/>
          <w:kern w:val="0"/>
          <w:sz w:val="28"/>
          <w:szCs w:val="28"/>
        </w:rPr>
        <w:t>主要界定一体化保护修复工程全流程管理的通用技术概念，覆盖工程策划、规划、设计、实施、验收、监测等关键环节，术语定义与现有工程管理类行业标准的表述逻辑保持高度一致。</w:t>
      </w:r>
      <w:r>
        <w:rPr>
          <w:rFonts w:hint="eastAsia" w:ascii="宋体" w:hAnsi="宋体"/>
          <w:kern w:val="0"/>
          <w:sz w:val="28"/>
          <w:szCs w:val="28"/>
        </w:rPr>
        <w:t>包括，工程实施、全生命周期管理、绩效评价、后期管护等。</w:t>
      </w:r>
    </w:p>
    <w:p w14:paraId="6BF5E02A">
      <w:pPr>
        <w:pStyle w:val="3"/>
        <w:pageBreakBefore w:val="0"/>
        <w:kinsoku/>
        <w:wordWrap/>
        <w:overflowPunct/>
        <w:topLinePunct w:val="0"/>
        <w:autoSpaceDE/>
        <w:autoSpaceDN/>
        <w:bidi w:val="0"/>
        <w:adjustRightInd w:val="0"/>
        <w:snapToGrid w:val="0"/>
        <w:spacing w:line="500" w:lineRule="exact"/>
        <w:textAlignment w:val="auto"/>
      </w:pPr>
      <w:r>
        <w:rPr>
          <w:rFonts w:hint="eastAsia"/>
        </w:rPr>
        <w:t>3 术语确定依据</w:t>
      </w:r>
    </w:p>
    <w:p w14:paraId="35826D35">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ascii="宋体" w:hAnsi="宋体"/>
          <w:kern w:val="0"/>
          <w:sz w:val="28"/>
          <w:szCs w:val="28"/>
        </w:rPr>
        <w:t>本标准主要技术内容的确定，严格依据国家</w:t>
      </w:r>
      <w:r>
        <w:rPr>
          <w:rFonts w:hint="eastAsia" w:ascii="宋体" w:hAnsi="宋体"/>
          <w:kern w:val="0"/>
          <w:sz w:val="28"/>
          <w:szCs w:val="28"/>
        </w:rPr>
        <w:t>法律法规、</w:t>
      </w:r>
      <w:r>
        <w:rPr>
          <w:rFonts w:ascii="宋体" w:hAnsi="宋体"/>
          <w:kern w:val="0"/>
          <w:sz w:val="28"/>
          <w:szCs w:val="28"/>
        </w:rPr>
        <w:t>政策文件、行业现有标准、生态基础理论及工程实践经验</w:t>
      </w:r>
      <w:r>
        <w:rPr>
          <w:rFonts w:hint="eastAsia" w:ascii="宋体" w:hAnsi="宋体"/>
          <w:kern w:val="0"/>
          <w:sz w:val="28"/>
          <w:szCs w:val="28"/>
        </w:rPr>
        <w:t>等方面</w:t>
      </w:r>
      <w:r>
        <w:rPr>
          <w:rFonts w:ascii="宋体" w:hAnsi="宋体"/>
          <w:kern w:val="0"/>
          <w:sz w:val="28"/>
          <w:szCs w:val="28"/>
        </w:rPr>
        <w:t>的支撑依据，确保术语的权威性、科学性与适用性。</w:t>
      </w:r>
    </w:p>
    <w:p w14:paraId="119D8F7F">
      <w:pPr>
        <w:pStyle w:val="4"/>
        <w:pageBreakBefore w:val="0"/>
        <w:kinsoku/>
        <w:wordWrap/>
        <w:overflowPunct/>
        <w:topLinePunct w:val="0"/>
        <w:autoSpaceDE/>
        <w:autoSpaceDN/>
        <w:bidi w:val="0"/>
        <w:adjustRightInd w:val="0"/>
        <w:snapToGrid w:val="0"/>
        <w:spacing w:line="500" w:lineRule="exact"/>
        <w:textAlignment w:val="auto"/>
      </w:pPr>
      <w:r>
        <w:rPr>
          <w:rFonts w:hint="eastAsia"/>
        </w:rPr>
        <w:t>3.1政策依据</w:t>
      </w:r>
    </w:p>
    <w:p w14:paraId="6496A745">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hint="eastAsia" w:ascii="宋体" w:hAnsi="宋体"/>
          <w:kern w:val="0"/>
          <w:sz w:val="28"/>
          <w:szCs w:val="28"/>
        </w:rPr>
        <w:t>术语概念的核心表述直接承接国家政策文件中的权威表述，包括：</w:t>
      </w:r>
    </w:p>
    <w:p w14:paraId="029BDB63">
      <w:pPr>
        <w:pStyle w:val="13"/>
        <w:pageBreakBefore w:val="0"/>
        <w:numPr>
          <w:ilvl w:val="0"/>
          <w:numId w:val="1"/>
        </w:numPr>
        <w:kinsoku/>
        <w:wordWrap/>
        <w:overflowPunct/>
        <w:topLinePunct w:val="0"/>
        <w:autoSpaceDE/>
        <w:autoSpaceDN/>
        <w:bidi w:val="0"/>
        <w:adjustRightInd w:val="0"/>
        <w:snapToGrid w:val="0"/>
        <w:spacing w:after="0" w:line="500" w:lineRule="exact"/>
        <w:ind w:left="1071" w:hanging="442" w:firstLineChars="0"/>
        <w:textAlignment w:val="auto"/>
        <w:rPr>
          <w:rFonts w:ascii="宋体" w:hAnsi="宋体" w:eastAsia="宋体"/>
          <w:sz w:val="28"/>
          <w:szCs w:val="28"/>
        </w:rPr>
      </w:pPr>
      <w:r>
        <w:rPr>
          <w:rFonts w:hint="eastAsia" w:ascii="宋体" w:hAnsi="宋体" w:eastAsia="宋体"/>
          <w:sz w:val="28"/>
          <w:szCs w:val="28"/>
        </w:rPr>
        <w:t>党的二十大报告、《中共中央国务院关于全面推进美丽中国建设的意见》等顶层文件中关于 “山水林田湖草沙一体化保护和系统治理” 的权威概念表述；</w:t>
      </w:r>
    </w:p>
    <w:p w14:paraId="303C05DC">
      <w:pPr>
        <w:pStyle w:val="13"/>
        <w:pageBreakBefore w:val="0"/>
        <w:numPr>
          <w:ilvl w:val="0"/>
          <w:numId w:val="1"/>
        </w:numPr>
        <w:kinsoku/>
        <w:wordWrap/>
        <w:overflowPunct/>
        <w:topLinePunct w:val="0"/>
        <w:autoSpaceDE/>
        <w:autoSpaceDN/>
        <w:bidi w:val="0"/>
        <w:adjustRightInd w:val="0"/>
        <w:snapToGrid w:val="0"/>
        <w:spacing w:after="0" w:line="500" w:lineRule="exact"/>
        <w:ind w:left="1071" w:hanging="442" w:firstLineChars="0"/>
        <w:textAlignment w:val="auto"/>
        <w:rPr>
          <w:rFonts w:ascii="宋体" w:hAnsi="宋体" w:eastAsia="宋体"/>
          <w:sz w:val="28"/>
          <w:szCs w:val="28"/>
        </w:rPr>
      </w:pPr>
      <w:r>
        <w:rPr>
          <w:rFonts w:hint="eastAsia" w:ascii="宋体" w:hAnsi="宋体" w:eastAsia="宋体"/>
          <w:sz w:val="28"/>
          <w:szCs w:val="28"/>
        </w:rPr>
        <w:t>《全国重要生态系统保护和修复重大工程总体规划（2021—2035 年）》等行业规划文件中明确的工程实施、系统治理相关的概念内涵；</w:t>
      </w:r>
    </w:p>
    <w:p w14:paraId="09B998CD">
      <w:pPr>
        <w:pStyle w:val="13"/>
        <w:pageBreakBefore w:val="0"/>
        <w:numPr>
          <w:ilvl w:val="0"/>
          <w:numId w:val="1"/>
        </w:numPr>
        <w:kinsoku/>
        <w:wordWrap/>
        <w:overflowPunct/>
        <w:topLinePunct w:val="0"/>
        <w:autoSpaceDE/>
        <w:autoSpaceDN/>
        <w:bidi w:val="0"/>
        <w:adjustRightInd w:val="0"/>
        <w:snapToGrid w:val="0"/>
        <w:spacing w:after="0" w:line="500" w:lineRule="exact"/>
        <w:ind w:left="1071" w:hanging="442" w:firstLineChars="0"/>
        <w:textAlignment w:val="auto"/>
        <w:rPr>
          <w:rFonts w:ascii="宋体" w:hAnsi="宋体" w:eastAsia="宋体"/>
          <w:sz w:val="28"/>
          <w:szCs w:val="28"/>
        </w:rPr>
      </w:pPr>
      <w:r>
        <w:rPr>
          <w:rFonts w:hint="eastAsia" w:ascii="宋体" w:hAnsi="宋体" w:eastAsia="宋体"/>
          <w:sz w:val="28"/>
          <w:szCs w:val="28"/>
        </w:rPr>
        <w:t>自然资源部、财政部、生态环境部联合印发的《山水林田湖草生态保护修复工程指南（试行）》（自然资办发〔2020〕38 号）中，关于工程实施、生态治理的官方概念界定。</w:t>
      </w:r>
    </w:p>
    <w:p w14:paraId="3027ACB7">
      <w:pPr>
        <w:pStyle w:val="4"/>
        <w:pageBreakBefore w:val="0"/>
        <w:kinsoku/>
        <w:wordWrap/>
        <w:overflowPunct/>
        <w:topLinePunct w:val="0"/>
        <w:autoSpaceDE/>
        <w:autoSpaceDN/>
        <w:bidi w:val="0"/>
        <w:adjustRightInd w:val="0"/>
        <w:snapToGrid w:val="0"/>
        <w:spacing w:line="500" w:lineRule="exact"/>
        <w:textAlignment w:val="auto"/>
      </w:pPr>
      <w:r>
        <w:rPr>
          <w:rFonts w:hint="eastAsia"/>
        </w:rPr>
        <w:t>3.2 标准依据</w:t>
      </w:r>
    </w:p>
    <w:p w14:paraId="7D19C3D1">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hint="eastAsia" w:ascii="宋体" w:hAnsi="宋体"/>
          <w:kern w:val="0"/>
          <w:sz w:val="28"/>
          <w:szCs w:val="28"/>
        </w:rPr>
        <w:t>充分对接现有国家、行业及团体标准中的成熟术语定义，重点参考资源包括：</w:t>
      </w:r>
    </w:p>
    <w:p w14:paraId="607A12DF">
      <w:pPr>
        <w:pStyle w:val="13"/>
        <w:pageBreakBefore w:val="0"/>
        <w:numPr>
          <w:ilvl w:val="0"/>
          <w:numId w:val="1"/>
        </w:numPr>
        <w:kinsoku/>
        <w:wordWrap/>
        <w:overflowPunct/>
        <w:topLinePunct w:val="0"/>
        <w:autoSpaceDE/>
        <w:autoSpaceDN/>
        <w:bidi w:val="0"/>
        <w:adjustRightInd w:val="0"/>
        <w:snapToGrid w:val="0"/>
        <w:spacing w:after="0" w:line="500" w:lineRule="exact"/>
        <w:ind w:left="1071" w:hanging="442" w:firstLineChars="0"/>
        <w:textAlignment w:val="auto"/>
        <w:rPr>
          <w:rFonts w:ascii="宋体" w:hAnsi="宋体" w:eastAsia="宋体"/>
          <w:sz w:val="28"/>
          <w:szCs w:val="28"/>
        </w:rPr>
      </w:pPr>
      <w:r>
        <w:rPr>
          <w:rFonts w:hint="eastAsia" w:ascii="宋体" w:hAnsi="宋体" w:eastAsia="宋体"/>
          <w:sz w:val="28"/>
          <w:szCs w:val="28"/>
        </w:rPr>
        <w:t>《TD/T 1068-2022国土空间生态保护修复工程实施方案编制规程》、《TD/T 1069-2022国土空间生态保护修复工程验收规范》等行业标准中已明确的术语定义；</w:t>
      </w:r>
    </w:p>
    <w:p w14:paraId="4632EF12">
      <w:pPr>
        <w:pStyle w:val="13"/>
        <w:pageBreakBefore w:val="0"/>
        <w:numPr>
          <w:ilvl w:val="0"/>
          <w:numId w:val="1"/>
        </w:numPr>
        <w:kinsoku/>
        <w:wordWrap/>
        <w:overflowPunct/>
        <w:topLinePunct w:val="0"/>
        <w:autoSpaceDE/>
        <w:autoSpaceDN/>
        <w:bidi w:val="0"/>
        <w:adjustRightInd w:val="0"/>
        <w:snapToGrid w:val="0"/>
        <w:spacing w:after="0" w:line="500" w:lineRule="exact"/>
        <w:ind w:left="1071" w:hanging="442" w:firstLineChars="0"/>
        <w:textAlignment w:val="auto"/>
        <w:rPr>
          <w:rFonts w:ascii="宋体" w:hAnsi="宋体" w:eastAsia="宋体"/>
          <w:sz w:val="28"/>
          <w:szCs w:val="28"/>
        </w:rPr>
      </w:pPr>
      <w:r>
        <w:rPr>
          <w:rFonts w:hint="eastAsia" w:ascii="宋体" w:hAnsi="宋体" w:eastAsia="宋体"/>
          <w:sz w:val="28"/>
          <w:szCs w:val="28"/>
        </w:rPr>
        <w:t>《T/ECOSC 0001—2026山水林田湖草沙一体化保护和修复工程效益评估规范》、《T/CAGHPER 089-2024山水林田湖草沙生态环境调查规范》等团体标准中已形成行业共识的技术概念；</w:t>
      </w:r>
    </w:p>
    <w:p w14:paraId="2B0A5B42">
      <w:pPr>
        <w:pStyle w:val="13"/>
        <w:pageBreakBefore w:val="0"/>
        <w:numPr>
          <w:ilvl w:val="0"/>
          <w:numId w:val="1"/>
        </w:numPr>
        <w:kinsoku/>
        <w:wordWrap/>
        <w:overflowPunct/>
        <w:topLinePunct w:val="0"/>
        <w:autoSpaceDE/>
        <w:autoSpaceDN/>
        <w:bidi w:val="0"/>
        <w:adjustRightInd w:val="0"/>
        <w:snapToGrid w:val="0"/>
        <w:spacing w:after="0" w:line="500" w:lineRule="exact"/>
        <w:ind w:left="1071" w:hanging="442" w:firstLineChars="0"/>
        <w:textAlignment w:val="auto"/>
        <w:rPr>
          <w:rFonts w:ascii="宋体" w:hAnsi="宋体" w:eastAsia="宋体"/>
          <w:sz w:val="28"/>
          <w:szCs w:val="28"/>
        </w:rPr>
      </w:pPr>
      <w:r>
        <w:rPr>
          <w:rFonts w:hint="eastAsia" w:ascii="宋体" w:hAnsi="宋体" w:eastAsia="宋体"/>
          <w:sz w:val="28"/>
          <w:szCs w:val="28"/>
        </w:rPr>
        <w:t>《GB/T 21010土地利用现状分类》、《GB/T 21141防沙治沙技术规范》、《GB/T 37067退化草地修复技术规范》等跨行业基础标准中的相关术语表述。</w:t>
      </w:r>
    </w:p>
    <w:p w14:paraId="475BC506">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hint="eastAsia" w:ascii="宋体" w:hAnsi="宋体"/>
          <w:kern w:val="0"/>
          <w:sz w:val="28"/>
          <w:szCs w:val="28"/>
        </w:rPr>
        <w:t>对不同行业现有标准中存在概念表述差异的术语，编制组结合一体化工程的实际应用场景，通过行业协商、专家论证的方式，确定统一的行业标准表述逻辑。</w:t>
      </w:r>
    </w:p>
    <w:p w14:paraId="26A24D0D">
      <w:pPr>
        <w:pStyle w:val="4"/>
        <w:pageBreakBefore w:val="0"/>
        <w:kinsoku/>
        <w:wordWrap/>
        <w:overflowPunct/>
        <w:topLinePunct w:val="0"/>
        <w:autoSpaceDE/>
        <w:autoSpaceDN/>
        <w:bidi w:val="0"/>
        <w:adjustRightInd w:val="0"/>
        <w:snapToGrid w:val="0"/>
        <w:spacing w:line="500" w:lineRule="exact"/>
        <w:textAlignment w:val="auto"/>
      </w:pPr>
      <w:r>
        <w:rPr>
          <w:rFonts w:hint="eastAsia"/>
        </w:rPr>
        <w:t>3.3 理论依据</w:t>
      </w:r>
    </w:p>
    <w:p w14:paraId="3B72A558">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hint="eastAsia" w:ascii="宋体" w:hAnsi="宋体"/>
          <w:kern w:val="0"/>
          <w:sz w:val="28"/>
          <w:szCs w:val="28"/>
        </w:rPr>
        <w:t>术语定义的科学性依托生态保护修复的基础理论支撑，核心理论资源包括：</w:t>
      </w:r>
    </w:p>
    <w:p w14:paraId="383DEE98">
      <w:pPr>
        <w:pStyle w:val="13"/>
        <w:pageBreakBefore w:val="0"/>
        <w:numPr>
          <w:ilvl w:val="0"/>
          <w:numId w:val="1"/>
        </w:numPr>
        <w:kinsoku/>
        <w:wordWrap/>
        <w:overflowPunct/>
        <w:topLinePunct w:val="0"/>
        <w:autoSpaceDE/>
        <w:autoSpaceDN/>
        <w:bidi w:val="0"/>
        <w:adjustRightInd w:val="0"/>
        <w:snapToGrid w:val="0"/>
        <w:spacing w:after="0" w:line="500" w:lineRule="exact"/>
        <w:ind w:left="1071" w:hanging="442" w:firstLineChars="0"/>
        <w:textAlignment w:val="auto"/>
        <w:rPr>
          <w:rFonts w:ascii="宋体" w:hAnsi="宋体" w:eastAsia="宋体"/>
          <w:sz w:val="28"/>
          <w:szCs w:val="28"/>
        </w:rPr>
      </w:pPr>
      <w:r>
        <w:rPr>
          <w:rFonts w:hint="eastAsia" w:ascii="宋体" w:hAnsi="宋体" w:eastAsia="宋体"/>
          <w:sz w:val="28"/>
          <w:szCs w:val="28"/>
        </w:rPr>
        <w:t>山水林田湖草沙生命共同体理论，以及生态系统整体性、系统性及其内在运行机制的研究结论；</w:t>
      </w:r>
    </w:p>
    <w:p w14:paraId="3AF71DF4">
      <w:pPr>
        <w:pStyle w:val="13"/>
        <w:pageBreakBefore w:val="0"/>
        <w:numPr>
          <w:ilvl w:val="0"/>
          <w:numId w:val="1"/>
        </w:numPr>
        <w:kinsoku/>
        <w:wordWrap/>
        <w:overflowPunct/>
        <w:topLinePunct w:val="0"/>
        <w:autoSpaceDE/>
        <w:autoSpaceDN/>
        <w:bidi w:val="0"/>
        <w:adjustRightInd w:val="0"/>
        <w:snapToGrid w:val="0"/>
        <w:spacing w:after="0" w:line="500" w:lineRule="exact"/>
        <w:ind w:left="1071" w:hanging="442" w:firstLineChars="0"/>
        <w:textAlignment w:val="auto"/>
        <w:rPr>
          <w:rFonts w:ascii="宋体" w:hAnsi="宋体" w:eastAsia="宋体"/>
          <w:sz w:val="28"/>
          <w:szCs w:val="28"/>
        </w:rPr>
      </w:pPr>
      <w:r>
        <w:rPr>
          <w:rFonts w:hint="eastAsia" w:ascii="宋体" w:hAnsi="宋体" w:eastAsia="宋体"/>
          <w:sz w:val="28"/>
          <w:szCs w:val="28"/>
        </w:rPr>
        <w:t>生态胁迫、生态系统退化、基于自然的解决方案（NbS）等核心概念的权威定义，其中 NbS 的定义直接对接 IUCN《基于自然的解决方案全球标准》中的官方表述；</w:t>
      </w:r>
    </w:p>
    <w:p w14:paraId="1DB75625">
      <w:pPr>
        <w:pStyle w:val="13"/>
        <w:pageBreakBefore w:val="0"/>
        <w:numPr>
          <w:ilvl w:val="0"/>
          <w:numId w:val="1"/>
        </w:numPr>
        <w:kinsoku/>
        <w:wordWrap/>
        <w:overflowPunct/>
        <w:topLinePunct w:val="0"/>
        <w:autoSpaceDE/>
        <w:autoSpaceDN/>
        <w:bidi w:val="0"/>
        <w:adjustRightInd w:val="0"/>
        <w:snapToGrid w:val="0"/>
        <w:spacing w:after="0" w:line="500" w:lineRule="exact"/>
        <w:ind w:left="1071" w:hanging="442" w:firstLineChars="0"/>
        <w:textAlignment w:val="auto"/>
        <w:rPr>
          <w:rFonts w:ascii="宋体" w:hAnsi="宋体" w:eastAsia="宋体"/>
          <w:sz w:val="28"/>
          <w:szCs w:val="28"/>
        </w:rPr>
      </w:pPr>
      <w:r>
        <w:rPr>
          <w:rFonts w:hint="eastAsia" w:ascii="宋体" w:hAnsi="宋体" w:eastAsia="宋体"/>
          <w:sz w:val="28"/>
          <w:szCs w:val="28"/>
        </w:rPr>
        <w:t>国内生态保护修复领域主流学术研究成果及行业专家共识，确保术语定义符合生态系统演替规律、内在机理及系统性运行逻辑。</w:t>
      </w:r>
    </w:p>
    <w:p w14:paraId="5DA2C4D5">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hint="eastAsia" w:ascii="宋体" w:hAnsi="宋体"/>
          <w:kern w:val="0"/>
          <w:sz w:val="28"/>
          <w:szCs w:val="28"/>
        </w:rPr>
        <w:t>对存在多种定义的术语，优先采用国家标准已有定义；无统一定义的，通过专家论证形成规范定义。</w:t>
      </w:r>
    </w:p>
    <w:p w14:paraId="24614518">
      <w:pPr>
        <w:pStyle w:val="3"/>
        <w:pageBreakBefore w:val="0"/>
        <w:kinsoku/>
        <w:wordWrap/>
        <w:overflowPunct/>
        <w:topLinePunct w:val="0"/>
        <w:autoSpaceDE/>
        <w:autoSpaceDN/>
        <w:bidi w:val="0"/>
        <w:adjustRightInd w:val="0"/>
        <w:snapToGrid w:val="0"/>
        <w:spacing w:line="500" w:lineRule="exact"/>
        <w:textAlignment w:val="auto"/>
      </w:pPr>
      <w:r>
        <w:rPr>
          <w:rFonts w:hint="eastAsia"/>
        </w:rPr>
        <w:t>4 新旧标准对比</w:t>
      </w:r>
    </w:p>
    <w:p w14:paraId="432746FE">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hint="eastAsia" w:ascii="宋体" w:hAnsi="宋体"/>
          <w:kern w:val="0"/>
          <w:sz w:val="28"/>
          <w:szCs w:val="28"/>
        </w:rPr>
        <w:t>本标准属于新制定标准，无新旧标准对比内容。</w:t>
      </w:r>
    </w:p>
    <w:p w14:paraId="42A4655D">
      <w:pPr>
        <w:pStyle w:val="2"/>
        <w:pageBreakBefore w:val="0"/>
        <w:kinsoku/>
        <w:wordWrap/>
        <w:overflowPunct/>
        <w:topLinePunct w:val="0"/>
        <w:autoSpaceDE/>
        <w:autoSpaceDN/>
        <w:bidi w:val="0"/>
        <w:adjustRightInd w:val="0"/>
        <w:snapToGrid w:val="0"/>
        <w:spacing w:line="500" w:lineRule="exact"/>
        <w:textAlignment w:val="auto"/>
      </w:pPr>
      <w:r>
        <w:rPr>
          <w:rFonts w:hint="eastAsia"/>
        </w:rPr>
        <w:t>三、主要试验（或验证）的分析、综述报告，技术经济论证，预期的经济效果</w:t>
      </w:r>
    </w:p>
    <w:p w14:paraId="69B69E93">
      <w:pPr>
        <w:pStyle w:val="3"/>
        <w:pageBreakBefore w:val="0"/>
        <w:kinsoku/>
        <w:wordWrap/>
        <w:overflowPunct/>
        <w:topLinePunct w:val="0"/>
        <w:autoSpaceDE/>
        <w:autoSpaceDN/>
        <w:bidi w:val="0"/>
        <w:adjustRightInd w:val="0"/>
        <w:snapToGrid w:val="0"/>
        <w:spacing w:line="500" w:lineRule="exact"/>
        <w:textAlignment w:val="auto"/>
      </w:pPr>
      <w:r>
        <w:rPr>
          <w:rFonts w:hint="eastAsia"/>
        </w:rPr>
        <w:t>1.验证分析</w:t>
      </w:r>
    </w:p>
    <w:p w14:paraId="4C216812">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ascii="宋体" w:hAnsi="宋体"/>
          <w:kern w:val="0"/>
          <w:sz w:val="28"/>
          <w:szCs w:val="28"/>
        </w:rPr>
        <w:t>本标准为生态保护修复工程的基础通用术语标准，核心技术内容为术语的概念界定、科学定义和适用场景表述。与普通工程类标准侧重工艺参数、检测指标的验证逻辑不同，术语标准的验证核心是：概念的科学性、行业共识度、不同场景下的适用性、与现有标准的协调性，以及表述逻辑的行业普遍理解程度。</w:t>
      </w:r>
      <w:r>
        <w:rPr>
          <w:rFonts w:hint="eastAsia" w:ascii="宋体" w:hAnsi="宋体"/>
          <w:kern w:val="0"/>
          <w:sz w:val="28"/>
          <w:szCs w:val="28"/>
        </w:rPr>
        <w:t>本标准不涉及产品性能指标、检测方法及试验验证。</w:t>
      </w:r>
    </w:p>
    <w:p w14:paraId="38A25AC0">
      <w:pPr>
        <w:pageBreakBefore w:val="0"/>
        <w:kinsoku/>
        <w:wordWrap/>
        <w:overflowPunct/>
        <w:topLinePunct w:val="0"/>
        <w:autoSpaceDE/>
        <w:autoSpaceDN/>
        <w:bidi w:val="0"/>
        <w:adjustRightInd w:val="0"/>
        <w:snapToGrid w:val="0"/>
        <w:spacing w:line="500" w:lineRule="exact"/>
        <w:ind w:firstLine="630"/>
        <w:textAlignment w:val="auto"/>
        <w:rPr>
          <w:rFonts w:ascii="宋体" w:hAnsi="宋体"/>
          <w:kern w:val="0"/>
          <w:sz w:val="28"/>
          <w:szCs w:val="28"/>
        </w:rPr>
      </w:pPr>
      <w:r>
        <w:rPr>
          <w:rFonts w:hint="eastAsia" w:ascii="宋体" w:hAnsi="宋体"/>
          <w:kern w:val="0"/>
          <w:sz w:val="28"/>
          <w:szCs w:val="28"/>
        </w:rPr>
        <w:t>编制过程中主要开展了以下验证工作：</w:t>
      </w:r>
    </w:p>
    <w:p w14:paraId="4780418E">
      <w:pPr>
        <w:pStyle w:val="13"/>
        <w:pageBreakBefore w:val="0"/>
        <w:numPr>
          <w:ilvl w:val="0"/>
          <w:numId w:val="2"/>
        </w:numPr>
        <w:kinsoku/>
        <w:wordWrap/>
        <w:overflowPunct/>
        <w:topLinePunct w:val="0"/>
        <w:autoSpaceDE/>
        <w:autoSpaceDN/>
        <w:bidi w:val="0"/>
        <w:adjustRightInd w:val="0"/>
        <w:snapToGrid w:val="0"/>
        <w:spacing w:after="0" w:line="500" w:lineRule="exact"/>
        <w:ind w:left="1276" w:hanging="567" w:firstLineChars="0"/>
        <w:textAlignment w:val="auto"/>
        <w:rPr>
          <w:rFonts w:ascii="宋体" w:hAnsi="宋体" w:eastAsia="宋体"/>
          <w:sz w:val="28"/>
          <w:szCs w:val="28"/>
        </w:rPr>
      </w:pPr>
      <w:r>
        <w:rPr>
          <w:rFonts w:hint="eastAsia" w:ascii="宋体" w:hAnsi="宋体" w:eastAsia="宋体"/>
          <w:sz w:val="28"/>
          <w:szCs w:val="28"/>
        </w:rPr>
        <w:t>对国内现行国家标准、行业标准及地方标准中的相关术语进行了系统比对分析；</w:t>
      </w:r>
      <w:r>
        <w:rPr>
          <w:rFonts w:ascii="宋体" w:hAnsi="宋体" w:eastAsia="宋体"/>
          <w:sz w:val="28"/>
          <w:szCs w:val="28"/>
        </w:rPr>
        <w:t>编制组建立专门的术语比对验证机制，将标准编制过程中拟定的所有术语定义，与行业现有技术标准的相关内容进行逐一比对，重点确保跨行业术语的概念一致性，以及同行业不同标准体系中的技术概念衔接性；</w:t>
      </w:r>
    </w:p>
    <w:p w14:paraId="1E5FBB35">
      <w:pPr>
        <w:pStyle w:val="13"/>
        <w:pageBreakBefore w:val="0"/>
        <w:numPr>
          <w:ilvl w:val="0"/>
          <w:numId w:val="2"/>
        </w:numPr>
        <w:kinsoku/>
        <w:wordWrap/>
        <w:overflowPunct/>
        <w:topLinePunct w:val="0"/>
        <w:autoSpaceDE/>
        <w:autoSpaceDN/>
        <w:bidi w:val="0"/>
        <w:adjustRightInd w:val="0"/>
        <w:snapToGrid w:val="0"/>
        <w:spacing w:after="0" w:line="500" w:lineRule="exact"/>
        <w:ind w:left="1276" w:hanging="567" w:firstLineChars="0"/>
        <w:textAlignment w:val="auto"/>
        <w:rPr>
          <w:rFonts w:ascii="宋体" w:hAnsi="宋体" w:eastAsia="宋体"/>
          <w:sz w:val="28"/>
          <w:szCs w:val="28"/>
        </w:rPr>
      </w:pPr>
      <w:r>
        <w:rPr>
          <w:rFonts w:hint="eastAsia" w:ascii="宋体" w:hAnsi="宋体" w:eastAsia="宋体"/>
          <w:sz w:val="28"/>
          <w:szCs w:val="28"/>
        </w:rPr>
        <w:t>结合全国山水林田湖草沙工程实践，对术语适用性进行了验证，尤其是</w:t>
      </w:r>
      <w:r>
        <w:rPr>
          <w:rFonts w:ascii="宋体" w:hAnsi="宋体" w:eastAsia="宋体"/>
          <w:sz w:val="28"/>
          <w:szCs w:val="28"/>
        </w:rPr>
        <w:t>术语在不同区域、不同类型生态要素治理场景下的实际适用性。</w:t>
      </w:r>
      <w:r>
        <w:rPr>
          <w:rFonts w:hint="eastAsia" w:ascii="宋体" w:hAnsi="宋体" w:eastAsia="宋体"/>
          <w:sz w:val="28"/>
          <w:szCs w:val="28"/>
        </w:rPr>
        <w:t>确保</w:t>
      </w:r>
      <w:r>
        <w:rPr>
          <w:rFonts w:ascii="宋体" w:hAnsi="宋体" w:eastAsia="宋体"/>
          <w:sz w:val="28"/>
          <w:szCs w:val="28"/>
        </w:rPr>
        <w:t>术语定义符合工程实际技术逻辑、表述容易被一线技术人员理解、概念</w:t>
      </w:r>
      <w:r>
        <w:rPr>
          <w:rFonts w:hint="eastAsia" w:ascii="宋体" w:hAnsi="宋体" w:eastAsia="宋体"/>
          <w:sz w:val="28"/>
          <w:szCs w:val="28"/>
        </w:rPr>
        <w:t>无</w:t>
      </w:r>
      <w:r>
        <w:rPr>
          <w:rFonts w:ascii="宋体" w:hAnsi="宋体" w:eastAsia="宋体"/>
          <w:sz w:val="28"/>
          <w:szCs w:val="28"/>
        </w:rPr>
        <w:t>行业理解歧义</w:t>
      </w:r>
      <w:r>
        <w:rPr>
          <w:rFonts w:hint="eastAsia" w:ascii="宋体" w:hAnsi="宋体" w:eastAsia="宋体"/>
          <w:sz w:val="28"/>
          <w:szCs w:val="28"/>
        </w:rPr>
        <w:t>、</w:t>
      </w:r>
      <w:r>
        <w:rPr>
          <w:rFonts w:ascii="宋体" w:hAnsi="宋体" w:eastAsia="宋体"/>
          <w:sz w:val="28"/>
          <w:szCs w:val="28"/>
        </w:rPr>
        <w:t>与工程现有技术文件的表述兼容、能直接应用于工程技术文件编制；</w:t>
      </w:r>
    </w:p>
    <w:p w14:paraId="599D92D4">
      <w:pPr>
        <w:pStyle w:val="13"/>
        <w:pageBreakBefore w:val="0"/>
        <w:numPr>
          <w:ilvl w:val="0"/>
          <w:numId w:val="2"/>
        </w:numPr>
        <w:kinsoku/>
        <w:wordWrap/>
        <w:overflowPunct/>
        <w:topLinePunct w:val="0"/>
        <w:autoSpaceDE/>
        <w:autoSpaceDN/>
        <w:bidi w:val="0"/>
        <w:adjustRightInd w:val="0"/>
        <w:snapToGrid w:val="0"/>
        <w:spacing w:after="0" w:line="500" w:lineRule="exact"/>
        <w:ind w:left="1276" w:hanging="567" w:firstLineChars="0"/>
        <w:textAlignment w:val="auto"/>
        <w:rPr>
          <w:rFonts w:ascii="宋体" w:hAnsi="宋体" w:eastAsia="宋体"/>
          <w:sz w:val="28"/>
          <w:szCs w:val="28"/>
        </w:rPr>
      </w:pPr>
      <w:r>
        <w:rPr>
          <w:rFonts w:hint="eastAsia" w:ascii="宋体" w:hAnsi="宋体" w:eastAsia="宋体"/>
          <w:sz w:val="28"/>
          <w:szCs w:val="28"/>
        </w:rPr>
        <w:t>组织多轮编制组内部专家论证，对术语定义准确性、一致性、规范性进行了充分验证。</w:t>
      </w:r>
      <w:r>
        <w:rPr>
          <w:rFonts w:ascii="宋体" w:hAnsi="宋体" w:eastAsia="宋体"/>
          <w:sz w:val="28"/>
          <w:szCs w:val="28"/>
        </w:rPr>
        <w:t>针对部分存在行业表述差异的术语，编制组系统梳理了不同行业标准的概念表述差异及实际使用场景，通过与相关行业技术专家多轮协商研讨，最终形成了兼顾各方使用习惯的统一术语表述，规避未来工程应用中出现概念理解偏差的风险</w:t>
      </w:r>
      <w:r>
        <w:rPr>
          <w:rFonts w:hint="eastAsia" w:ascii="宋体" w:hAnsi="宋体" w:eastAsia="宋体"/>
          <w:sz w:val="28"/>
          <w:szCs w:val="28"/>
        </w:rPr>
        <w:t>。</w:t>
      </w:r>
    </w:p>
    <w:p w14:paraId="731BC544">
      <w:pPr>
        <w:pStyle w:val="3"/>
        <w:pageBreakBefore w:val="0"/>
        <w:kinsoku/>
        <w:wordWrap/>
        <w:overflowPunct/>
        <w:topLinePunct w:val="0"/>
        <w:autoSpaceDE/>
        <w:autoSpaceDN/>
        <w:bidi w:val="0"/>
        <w:adjustRightInd w:val="0"/>
        <w:snapToGrid w:val="0"/>
        <w:spacing w:line="500" w:lineRule="exact"/>
        <w:textAlignment w:val="auto"/>
      </w:pPr>
      <w:r>
        <w:rPr>
          <w:rFonts w:hint="eastAsia"/>
        </w:rPr>
        <w:t>2 技术经济论证</w:t>
      </w:r>
    </w:p>
    <w:p w14:paraId="0B6BB060">
      <w:pPr>
        <w:pStyle w:val="4"/>
        <w:pageBreakBefore w:val="0"/>
        <w:kinsoku/>
        <w:wordWrap/>
        <w:overflowPunct/>
        <w:topLinePunct w:val="0"/>
        <w:autoSpaceDE/>
        <w:autoSpaceDN/>
        <w:bidi w:val="0"/>
        <w:adjustRightInd w:val="0"/>
        <w:snapToGrid w:val="0"/>
        <w:spacing w:line="500" w:lineRule="exact"/>
        <w:textAlignment w:val="auto"/>
      </w:pPr>
      <w:r>
        <w:t>2.1 技术效益</w:t>
      </w:r>
    </w:p>
    <w:p w14:paraId="3D5A114A">
      <w:pPr>
        <w:pageBreakBefore w:val="0"/>
        <w:kinsoku/>
        <w:wordWrap/>
        <w:overflowPunct/>
        <w:topLinePunct w:val="0"/>
        <w:autoSpaceDE/>
        <w:autoSpaceDN/>
        <w:bidi w:val="0"/>
        <w:adjustRightInd w:val="0"/>
        <w:snapToGrid w:val="0"/>
        <w:spacing w:line="500" w:lineRule="exact"/>
        <w:ind w:firstLine="426"/>
        <w:textAlignment w:val="auto"/>
        <w:rPr>
          <w:rFonts w:ascii="宋体" w:hAnsi="宋体"/>
          <w:kern w:val="0"/>
          <w:sz w:val="28"/>
          <w:szCs w:val="28"/>
        </w:rPr>
      </w:pPr>
      <w:r>
        <w:rPr>
          <w:rFonts w:hint="eastAsia" w:ascii="宋体" w:hAnsi="宋体"/>
          <w:kern w:val="0"/>
          <w:sz w:val="28"/>
          <w:szCs w:val="28"/>
        </w:rPr>
        <w:t>本标准作为行业基础性通用技术标准，发布实施后将产生多维度的技术支撑效益，具体体现在以下方面：</w:t>
      </w:r>
    </w:p>
    <w:p w14:paraId="4356297C">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实现行业术语统一，彻底解决过去不同行业、不同地区、不同工程场景下同类技术概念表述差异、理解偏差的问题，有效降低工程技术人员、行业管理人员之间的技术沟通成本，规避因概念理解偏差导致的工程技术风险；</w:t>
      </w:r>
    </w:p>
    <w:p w14:paraId="5B825F93">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支撑行业标准化建设，为后续一体化保护修复工程的相关技术标准制定、工程技术文件编制提供统一的术语基础，进一步完善国土空间生态保护修复领域的标准体系，提升行业标准化整体水平；</w:t>
      </w:r>
    </w:p>
    <w:p w14:paraId="339968F7">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服务工程全流程管理，术语定义与工程立项、规划、设计、实施、验收、监测等实际管理场景高度衔接，为各环节的技术工作提供统一的技术表述依据，提升工程管理的规范化水平；</w:t>
      </w:r>
    </w:p>
    <w:p w14:paraId="1F5C880D">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强化理论与实践衔接，系统整合了生态基础理论与行业成熟工程实践经验，为一体化保护修复技术的推广应用提供了清晰的技术概念支撑，助力行业技术成果的落地应用。</w:t>
      </w:r>
    </w:p>
    <w:p w14:paraId="3BDC16AA">
      <w:pPr>
        <w:pStyle w:val="4"/>
        <w:pageBreakBefore w:val="0"/>
        <w:kinsoku/>
        <w:wordWrap/>
        <w:overflowPunct/>
        <w:topLinePunct w:val="0"/>
        <w:autoSpaceDE/>
        <w:autoSpaceDN/>
        <w:bidi w:val="0"/>
        <w:adjustRightInd w:val="0"/>
        <w:snapToGrid w:val="0"/>
        <w:spacing w:line="500" w:lineRule="exact"/>
        <w:textAlignment w:val="auto"/>
      </w:pPr>
      <w:r>
        <w:rPr>
          <w:rFonts w:hint="eastAsia"/>
        </w:rPr>
        <w:t>2.2 经济效益</w:t>
      </w:r>
    </w:p>
    <w:p w14:paraId="5EE5E3B5">
      <w:pPr>
        <w:pageBreakBefore w:val="0"/>
        <w:kinsoku/>
        <w:wordWrap/>
        <w:overflowPunct/>
        <w:topLinePunct w:val="0"/>
        <w:autoSpaceDE/>
        <w:autoSpaceDN/>
        <w:bidi w:val="0"/>
        <w:adjustRightInd w:val="0"/>
        <w:snapToGrid w:val="0"/>
        <w:spacing w:line="500" w:lineRule="exact"/>
        <w:ind w:firstLine="426"/>
        <w:textAlignment w:val="auto"/>
        <w:rPr>
          <w:rFonts w:ascii="宋体" w:hAnsi="宋体"/>
          <w:kern w:val="0"/>
          <w:sz w:val="28"/>
          <w:szCs w:val="28"/>
        </w:rPr>
      </w:pPr>
      <w:r>
        <w:rPr>
          <w:rFonts w:hint="eastAsia" w:ascii="宋体" w:hAnsi="宋体"/>
          <w:kern w:val="0"/>
          <w:sz w:val="28"/>
          <w:szCs w:val="28"/>
        </w:rPr>
        <w:t>本标准间接地对工程经济效益提升形成支撑。</w:t>
      </w:r>
    </w:p>
    <w:p w14:paraId="3584BC13">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标准发布实施后，能够显著降低工程设计、施工、验收、监测等环节的技术沟通成本，减少因概念理解偏差导致的工程设计变更、施工调整、技术配合成本，提升工程实施效率；</w:t>
      </w:r>
    </w:p>
    <w:p w14:paraId="0D18A784">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为社会资本参与生态保护修复工程提供统一、明确的技术表述框架，降低社会资本参与工程的技术门槛、信息不对称程度，进一步激发社会资本参与行业建设的积极性；</w:t>
      </w:r>
    </w:p>
    <w:p w14:paraId="055E5D97">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为工程招标、采购、合同签订提供统一的技术术语依据，降低技术理解分歧带来的工程合同纠纷风险，保障工程的顺利实施。</w:t>
      </w:r>
    </w:p>
    <w:p w14:paraId="10391791">
      <w:pPr>
        <w:pStyle w:val="4"/>
        <w:pageBreakBefore w:val="0"/>
        <w:numPr>
          <w:ilvl w:val="1"/>
          <w:numId w:val="4"/>
        </w:numPr>
        <w:kinsoku/>
        <w:wordWrap/>
        <w:overflowPunct/>
        <w:topLinePunct w:val="0"/>
        <w:autoSpaceDE/>
        <w:autoSpaceDN/>
        <w:bidi w:val="0"/>
        <w:adjustRightInd w:val="0"/>
        <w:snapToGrid w:val="0"/>
        <w:spacing w:line="500" w:lineRule="exact"/>
        <w:textAlignment w:val="auto"/>
      </w:pPr>
      <w:r>
        <w:rPr>
          <w:rFonts w:hint="eastAsia"/>
        </w:rPr>
        <w:t>生态效益</w:t>
      </w:r>
    </w:p>
    <w:p w14:paraId="70D92E82">
      <w:pPr>
        <w:pageBreakBefore w:val="0"/>
        <w:kinsoku/>
        <w:wordWrap/>
        <w:overflowPunct/>
        <w:topLinePunct w:val="0"/>
        <w:autoSpaceDE/>
        <w:autoSpaceDN/>
        <w:bidi w:val="0"/>
        <w:adjustRightInd w:val="0"/>
        <w:snapToGrid w:val="0"/>
        <w:spacing w:line="500" w:lineRule="exact"/>
        <w:ind w:firstLine="426"/>
        <w:textAlignment w:val="auto"/>
        <w:rPr>
          <w:rFonts w:ascii="宋体" w:hAnsi="宋体"/>
          <w:kern w:val="0"/>
          <w:sz w:val="28"/>
          <w:szCs w:val="28"/>
        </w:rPr>
      </w:pPr>
      <w:r>
        <w:rPr>
          <w:rFonts w:hint="eastAsia" w:ascii="宋体" w:hAnsi="宋体"/>
          <w:kern w:val="0"/>
          <w:sz w:val="28"/>
          <w:szCs w:val="28"/>
        </w:rPr>
        <w:t>本标准的实施将对生态保护修复工作产生显著的正向支撑效益。</w:t>
      </w:r>
      <w:r>
        <w:rPr>
          <w:rFonts w:hint="eastAsia" w:ascii="宋体" w:hAnsi="宋体"/>
          <w:sz w:val="28"/>
          <w:szCs w:val="28"/>
        </w:rPr>
        <w:t>在生态层面，通过统一技术表述逻辑，助力科学、规范地开展生态保护修复工程，提升工程实施质量，推动生态系统结构和功能恢复，提升生态系统自我恢复能力和稳定性，巩固生态安全屏障；</w:t>
      </w:r>
    </w:p>
    <w:p w14:paraId="5390240B">
      <w:pPr>
        <w:pStyle w:val="4"/>
        <w:pageBreakBefore w:val="0"/>
        <w:numPr>
          <w:ilvl w:val="1"/>
          <w:numId w:val="5"/>
        </w:numPr>
        <w:kinsoku/>
        <w:wordWrap/>
        <w:overflowPunct/>
        <w:topLinePunct w:val="0"/>
        <w:autoSpaceDE/>
        <w:autoSpaceDN/>
        <w:bidi w:val="0"/>
        <w:adjustRightInd w:val="0"/>
        <w:snapToGrid w:val="0"/>
        <w:spacing w:line="500" w:lineRule="exact"/>
        <w:textAlignment w:val="auto"/>
      </w:pPr>
      <w:r>
        <w:rPr>
          <w:rFonts w:hint="eastAsia"/>
        </w:rPr>
        <w:t>社会效益</w:t>
      </w:r>
    </w:p>
    <w:p w14:paraId="7949C181">
      <w:pPr>
        <w:pageBreakBefore w:val="0"/>
        <w:kinsoku/>
        <w:wordWrap/>
        <w:overflowPunct/>
        <w:topLinePunct w:val="0"/>
        <w:autoSpaceDE/>
        <w:autoSpaceDN/>
        <w:bidi w:val="0"/>
        <w:adjustRightInd w:val="0"/>
        <w:snapToGrid w:val="0"/>
        <w:spacing w:line="500" w:lineRule="exact"/>
        <w:ind w:firstLine="630"/>
        <w:textAlignment w:val="auto"/>
        <w:rPr>
          <w:rFonts w:ascii="宋体" w:hAnsi="宋体"/>
          <w:sz w:val="28"/>
          <w:szCs w:val="28"/>
        </w:rPr>
      </w:pPr>
      <w:r>
        <w:rPr>
          <w:rFonts w:hint="eastAsia" w:ascii="宋体" w:hAnsi="宋体"/>
          <w:sz w:val="28"/>
          <w:szCs w:val="28"/>
        </w:rPr>
        <w:t>在社会效益层面，为行业技术交流、工程经验总结提供统一的技术语言，提升行业管理规范化水平；为生态保护修复工程的科普、公众参与提供清晰的概念支撑，提升社会各界对一体化保护修复工作的理解和认知水平。</w:t>
      </w:r>
    </w:p>
    <w:p w14:paraId="1D917C09">
      <w:pPr>
        <w:pStyle w:val="3"/>
        <w:pageBreakBefore w:val="0"/>
        <w:kinsoku/>
        <w:wordWrap/>
        <w:overflowPunct/>
        <w:topLinePunct w:val="0"/>
        <w:autoSpaceDE/>
        <w:autoSpaceDN/>
        <w:bidi w:val="0"/>
        <w:adjustRightInd w:val="0"/>
        <w:snapToGrid w:val="0"/>
        <w:spacing w:line="500" w:lineRule="exact"/>
        <w:textAlignment w:val="auto"/>
      </w:pPr>
      <w:r>
        <w:rPr>
          <w:rFonts w:hint="eastAsia"/>
        </w:rPr>
        <w:t>3 预期效果</w:t>
      </w:r>
    </w:p>
    <w:p w14:paraId="715016A5">
      <w:pPr>
        <w:pageBreakBefore w:val="0"/>
        <w:kinsoku/>
        <w:wordWrap/>
        <w:overflowPunct/>
        <w:topLinePunct w:val="0"/>
        <w:autoSpaceDE/>
        <w:autoSpaceDN/>
        <w:bidi w:val="0"/>
        <w:adjustRightInd w:val="0"/>
        <w:snapToGrid w:val="0"/>
        <w:spacing w:line="500" w:lineRule="exact"/>
        <w:ind w:firstLine="426"/>
        <w:textAlignment w:val="auto"/>
        <w:rPr>
          <w:rFonts w:ascii="宋体" w:hAnsi="宋体"/>
          <w:kern w:val="0"/>
          <w:sz w:val="28"/>
          <w:szCs w:val="28"/>
        </w:rPr>
      </w:pPr>
      <w:r>
        <w:rPr>
          <w:rFonts w:hint="eastAsia" w:ascii="宋体" w:hAnsi="宋体"/>
          <w:kern w:val="0"/>
          <w:sz w:val="28"/>
          <w:szCs w:val="28"/>
        </w:rPr>
        <w:t>本标准作为山水林田湖草沙一体化保护和修复工程的基础性通用技术标准，预期在行业技术体系中发挥四个方面的核心作用：</w:t>
      </w:r>
    </w:p>
    <w:p w14:paraId="2881ACAE">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统一行业技术语言，有效消除不同行业、不同区域、不同工程场景下的概念理解偏差，显著降低工程技术沟通成本；</w:t>
      </w:r>
    </w:p>
    <w:p w14:paraId="11CA68E7">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支撑行业技术标准体系建设，为后续制定工程规划、设计、施工、验收、监测等相关专项标准提供统一的术语基础；</w:t>
      </w:r>
    </w:p>
    <w:p w14:paraId="1D2729A8">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规范工程实施全流程的技术表述，为工程技术文件编制、行业管理文件制定、技术文件归档提供统一的技术依据；</w:t>
      </w:r>
    </w:p>
    <w:p w14:paraId="6FDC153B">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支撑行业技术交流与工程经验总结，为国内不同区域间的工程经验交流、行业技术成果推广应用提供清晰、统一的概念基础，提高生态保护修复工程规范化水平；</w:t>
      </w:r>
    </w:p>
    <w:p w14:paraId="764BF905">
      <w:pPr>
        <w:pStyle w:val="13"/>
        <w:pageBreakBefore w:val="0"/>
        <w:numPr>
          <w:ilvl w:val="0"/>
          <w:numId w:val="3"/>
        </w:numPr>
        <w:kinsoku/>
        <w:wordWrap/>
        <w:overflowPunct/>
        <w:topLinePunct w:val="0"/>
        <w:autoSpaceDE/>
        <w:autoSpaceDN/>
        <w:bidi w:val="0"/>
        <w:adjustRightInd w:val="0"/>
        <w:snapToGrid w:val="0"/>
        <w:spacing w:after="0" w:line="500" w:lineRule="exact"/>
        <w:ind w:left="867" w:hanging="442" w:firstLineChars="0"/>
        <w:textAlignment w:val="auto"/>
        <w:rPr>
          <w:rFonts w:ascii="宋体" w:hAnsi="宋体" w:eastAsia="宋体"/>
          <w:sz w:val="28"/>
          <w:szCs w:val="28"/>
        </w:rPr>
      </w:pPr>
      <w:r>
        <w:rPr>
          <w:rFonts w:hint="eastAsia" w:ascii="宋体" w:hAnsi="宋体" w:eastAsia="宋体"/>
          <w:sz w:val="28"/>
          <w:szCs w:val="28"/>
        </w:rPr>
        <w:t>推动我国生态保护修复标准体系建设，为后续系列国家标准制定提供统一基础。</w:t>
      </w:r>
    </w:p>
    <w:p w14:paraId="3A63A2D7">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p>
    <w:p w14:paraId="37D16ABD">
      <w:pPr>
        <w:pStyle w:val="2"/>
        <w:pageBreakBefore w:val="0"/>
        <w:kinsoku/>
        <w:wordWrap/>
        <w:overflowPunct/>
        <w:topLinePunct w:val="0"/>
        <w:autoSpaceDE/>
        <w:autoSpaceDN/>
        <w:bidi w:val="0"/>
        <w:adjustRightInd w:val="0"/>
        <w:snapToGrid w:val="0"/>
        <w:spacing w:line="500" w:lineRule="exact"/>
        <w:textAlignment w:val="auto"/>
      </w:pPr>
      <w:r>
        <w:rPr>
          <w:rFonts w:hint="eastAsia"/>
        </w:rPr>
        <w:t>四、标准涉及的相关知识产权说明；</w:t>
      </w:r>
    </w:p>
    <w:p w14:paraId="5E8672E8">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本标准在编制过程中参考了国家法律法规、公开发布的国家标准、行业标准及国内外公开文献，不涉及任何专利技术。</w:t>
      </w:r>
    </w:p>
    <w:p w14:paraId="66F318E7">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标准文本中的术语定义均经过重新组织和规范化表达，不侵犯任何知识产权。</w:t>
      </w:r>
      <w:r>
        <w:rPr>
          <w:rFonts w:ascii="宋体" w:hAnsi="宋体"/>
          <w:kern w:val="0"/>
          <w:sz w:val="28"/>
          <w:szCs w:val="28"/>
        </w:rPr>
        <w:t>本标准编制过程中参考的现有行业标准、学术研究成果、工程实践经验，均来自公开发布的行业技术文件、行业公开的试点工程实践成果；所整合的成熟术语定义，均来自行业公开的国家标准、行业标准、团体标准，或已形成行业普遍共识的公开政策文件、学术研究成果，不存在侵犯第三方知识产权的风险。</w:t>
      </w:r>
    </w:p>
    <w:p w14:paraId="6911B86A">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截至目前，未发现涉及本标准内容的专利或其他知识产权问题。</w:t>
      </w:r>
      <w:r>
        <w:rPr>
          <w:rFonts w:ascii="宋体" w:hAnsi="宋体"/>
          <w:kern w:val="0"/>
          <w:sz w:val="28"/>
          <w:szCs w:val="28"/>
        </w:rPr>
        <w:t>若未来在标准实施过程中发现涉及知识产权的相关问题，将按照《国家标准管理办法》及</w:t>
      </w:r>
      <w:r>
        <w:rPr>
          <w:rFonts w:hint="eastAsia" w:ascii="宋体" w:hAnsi="宋体"/>
          <w:kern w:val="0"/>
          <w:sz w:val="28"/>
          <w:szCs w:val="28"/>
        </w:rPr>
        <w:t>中国林学会</w:t>
      </w:r>
      <w:r>
        <w:rPr>
          <w:rFonts w:ascii="宋体" w:hAnsi="宋体"/>
          <w:kern w:val="0"/>
          <w:sz w:val="28"/>
          <w:szCs w:val="28"/>
        </w:rPr>
        <w:t>标准化技术委员会的相关管理程序，及时研究处理。</w:t>
      </w:r>
    </w:p>
    <w:p w14:paraId="77F8B936">
      <w:pPr>
        <w:pStyle w:val="2"/>
        <w:pageBreakBefore w:val="0"/>
        <w:kinsoku/>
        <w:wordWrap/>
        <w:overflowPunct/>
        <w:topLinePunct w:val="0"/>
        <w:autoSpaceDE/>
        <w:autoSpaceDN/>
        <w:bidi w:val="0"/>
        <w:adjustRightInd w:val="0"/>
        <w:snapToGrid w:val="0"/>
        <w:spacing w:line="500" w:lineRule="exact"/>
        <w:textAlignment w:val="auto"/>
      </w:pPr>
      <w:r>
        <w:rPr>
          <w:rFonts w:hint="eastAsia"/>
        </w:rPr>
        <w:t>五、采用国际标准的程度与水平的简要说明</w:t>
      </w:r>
    </w:p>
    <w:p w14:paraId="6F6308E4">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目前，国际标准化组织尚无专门针对山水林田湖草沙一体化保护和修复工程术语的国际标准。</w:t>
      </w:r>
    </w:p>
    <w:p w14:paraId="455906AB">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本标准编制过程中参考了联合国《生态系统恢复十年》倡议、国际生态恢复学会（SER）有关生态恢复术语，以及ISO生态环境管理等相关标准中涉及的术语和定义，结合我国生态文明建设理念和自然资源统一管理实践进行了本土化吸收与创新。</w:t>
      </w:r>
    </w:p>
    <w:p w14:paraId="38B443B8">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因此，本标准属于自主研制团体标准，未等同采用或修改采用国际标准，但在术语体系构建和定义原则上与国际相关理念保持协调一致。</w:t>
      </w:r>
    </w:p>
    <w:p w14:paraId="27754BA5">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ascii="宋体" w:hAnsi="宋体"/>
          <w:kern w:val="0"/>
          <w:sz w:val="28"/>
          <w:szCs w:val="28"/>
        </w:rPr>
        <w:t>整体而言，本标准的技术水平符合国际生态保护修复领域的主流技术发展趋势，术语表述逻辑与国际标准的相关概念保持了一致性，能够支撑行业开展国际间的技术交流与工程合作。</w:t>
      </w:r>
    </w:p>
    <w:p w14:paraId="1BE643AE">
      <w:pPr>
        <w:pStyle w:val="2"/>
        <w:pageBreakBefore w:val="0"/>
        <w:kinsoku/>
        <w:wordWrap/>
        <w:overflowPunct/>
        <w:topLinePunct w:val="0"/>
        <w:autoSpaceDE/>
        <w:autoSpaceDN/>
        <w:bidi w:val="0"/>
        <w:adjustRightInd w:val="0"/>
        <w:snapToGrid w:val="0"/>
        <w:spacing w:line="500" w:lineRule="exact"/>
        <w:textAlignment w:val="auto"/>
      </w:pPr>
      <w:r>
        <w:rPr>
          <w:rFonts w:hint="eastAsia"/>
        </w:rPr>
        <w:t>六、重大意见分歧的处理经过和依据</w:t>
      </w:r>
    </w:p>
    <w:p w14:paraId="08474620">
      <w:pPr>
        <w:pageBreakBefore w:val="0"/>
        <w:kinsoku/>
        <w:wordWrap/>
        <w:overflowPunct/>
        <w:topLinePunct w:val="0"/>
        <w:autoSpaceDE/>
        <w:autoSpaceDN/>
        <w:bidi w:val="0"/>
        <w:adjustRightInd w:val="0"/>
        <w:snapToGrid w:val="0"/>
        <w:spacing w:line="500" w:lineRule="exact"/>
        <w:ind w:firstLine="560"/>
        <w:textAlignment w:val="auto"/>
        <w:rPr>
          <w:rFonts w:ascii="宋体" w:hAnsi="宋体"/>
          <w:color w:val="000000" w:themeColor="text1"/>
          <w:kern w:val="0"/>
          <w:sz w:val="28"/>
          <w:szCs w:val="28"/>
        </w:rPr>
      </w:pPr>
      <w:r>
        <w:rPr>
          <w:rFonts w:hint="eastAsia" w:ascii="宋体" w:hAnsi="宋体"/>
          <w:kern w:val="0"/>
          <w:sz w:val="28"/>
          <w:szCs w:val="28"/>
        </w:rPr>
        <w:t>标准编制组内部征求意见过程中，部分专家主要围绕以下问题提出不同</w:t>
      </w:r>
      <w:r>
        <w:rPr>
          <w:rFonts w:hint="eastAsia" w:ascii="宋体" w:hAnsi="宋体"/>
          <w:color w:val="000000" w:themeColor="text1"/>
          <w:kern w:val="0"/>
          <w:sz w:val="28"/>
          <w:szCs w:val="28"/>
        </w:rPr>
        <w:t>意见：“生态修复”与“生态恢复”的概念边界；“系统治理”与“综合治理”的区别；“生态保护”与“生态修复”的关系；“山水林田湖草沙”是否包含海洋生态系统；“修复单元”划分原则。</w:t>
      </w:r>
    </w:p>
    <w:p w14:paraId="3159E3BC">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color w:val="000000" w:themeColor="text1"/>
          <w:kern w:val="0"/>
          <w:sz w:val="28"/>
          <w:szCs w:val="28"/>
        </w:rPr>
        <w:t>起草组组织多轮内部专题研讨，充分吸收自然</w:t>
      </w:r>
      <w:r>
        <w:rPr>
          <w:rFonts w:hint="eastAsia" w:ascii="宋体" w:hAnsi="宋体"/>
          <w:kern w:val="0"/>
          <w:sz w:val="28"/>
          <w:szCs w:val="28"/>
        </w:rPr>
        <w:t>资源、生态学、林业、水利等领域专家意见，并结合党中央、国务院关于山水林田湖草沙一体化保护和系统治理的政策文件，对相关术语进行了统一规范，最终形成一致意见。</w:t>
      </w:r>
    </w:p>
    <w:p w14:paraId="46CFB8F7">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目前不存在重大未解决分歧。</w:t>
      </w:r>
    </w:p>
    <w:p w14:paraId="6BBF35D0">
      <w:pPr>
        <w:pStyle w:val="2"/>
        <w:pageBreakBefore w:val="0"/>
        <w:kinsoku/>
        <w:wordWrap/>
        <w:overflowPunct/>
        <w:topLinePunct w:val="0"/>
        <w:autoSpaceDE/>
        <w:autoSpaceDN/>
        <w:bidi w:val="0"/>
        <w:adjustRightInd w:val="0"/>
        <w:snapToGrid w:val="0"/>
        <w:spacing w:line="500" w:lineRule="exact"/>
        <w:textAlignment w:val="auto"/>
      </w:pPr>
      <w:r>
        <w:rPr>
          <w:rFonts w:hint="eastAsia"/>
        </w:rPr>
        <w:t>七、其他应予说明的事项</w:t>
      </w:r>
    </w:p>
    <w:p w14:paraId="456E24EB">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（一）本标准属于山水林田湖草沙一体化保护和修复工程标准体系中的基础性标准，是相关规划、调查、设计、施工、监测、评价及管理标准的重要支撑。</w:t>
      </w:r>
    </w:p>
    <w:p w14:paraId="2D8B37DE">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（二）建议本标准发布实施后，加强宣贯培训，推动相关行业统一使用标准术语。</w:t>
      </w:r>
    </w:p>
    <w:p w14:paraId="75DD03DB">
      <w:pPr>
        <w:pageBreakBefore w:val="0"/>
        <w:kinsoku/>
        <w:wordWrap/>
        <w:overflowPunct/>
        <w:topLinePunct w:val="0"/>
        <w:autoSpaceDE/>
        <w:autoSpaceDN/>
        <w:bidi w:val="0"/>
        <w:adjustRightInd w:val="0"/>
        <w:snapToGrid w:val="0"/>
        <w:spacing w:line="500" w:lineRule="exact"/>
        <w:ind w:firstLine="560"/>
        <w:textAlignment w:val="auto"/>
        <w:rPr>
          <w:rFonts w:ascii="宋体" w:hAnsi="宋体"/>
          <w:kern w:val="0"/>
          <w:sz w:val="28"/>
          <w:szCs w:val="28"/>
        </w:rPr>
      </w:pPr>
      <w:r>
        <w:rPr>
          <w:rFonts w:hint="eastAsia" w:ascii="宋体" w:hAnsi="宋体"/>
          <w:kern w:val="0"/>
          <w:sz w:val="28"/>
          <w:szCs w:val="28"/>
        </w:rPr>
        <w:t>（三）建议结合国家生态保护修复重大工程实施情况及相关科技发展，适时开展标准修订工作，保持术语体系的科学性、先进性和适用性。</w:t>
      </w:r>
    </w:p>
    <w:p w14:paraId="5E47AF61">
      <w:pPr>
        <w:pageBreakBefore w:val="0"/>
        <w:kinsoku/>
        <w:wordWrap/>
        <w:overflowPunct/>
        <w:topLinePunct w:val="0"/>
        <w:autoSpaceDE/>
        <w:autoSpaceDN/>
        <w:bidi w:val="0"/>
        <w:adjustRightInd w:val="0"/>
        <w:snapToGrid w:val="0"/>
        <w:spacing w:line="500" w:lineRule="exact"/>
        <w:textAlignment w:val="auto"/>
        <w:rPr>
          <w:rFonts w:ascii="宋体" w:hAnsi="宋体"/>
          <w:sz w:val="28"/>
          <w:szCs w:val="28"/>
        </w:rPr>
      </w:pPr>
    </w:p>
    <w:p w14:paraId="0B7A690C">
      <w:pPr>
        <w:pageBreakBefore w:val="0"/>
        <w:kinsoku/>
        <w:wordWrap/>
        <w:overflowPunct/>
        <w:topLinePunct w:val="0"/>
        <w:autoSpaceDE/>
        <w:autoSpaceDN/>
        <w:bidi w:val="0"/>
        <w:adjustRightInd w:val="0"/>
        <w:snapToGrid w:val="0"/>
        <w:spacing w:line="500" w:lineRule="exact"/>
        <w:textAlignment w:val="auto"/>
        <w:rPr>
          <w:rFonts w:ascii="宋体" w:hAnsi="宋体"/>
          <w:sz w:val="28"/>
          <w:szCs w:val="28"/>
        </w:rPr>
      </w:pPr>
    </w:p>
    <w:p w14:paraId="5329F54F">
      <w:pPr>
        <w:bidi w:val="0"/>
        <w:rPr>
          <w:rFonts w:ascii="Times New Roman" w:hAnsi="Times New Roman" w:eastAsia="宋体" w:cs="Times New Roman"/>
          <w:kern w:val="2"/>
          <w:sz w:val="21"/>
          <w:szCs w:val="20"/>
          <w:lang w:val="en-US" w:eastAsia="zh-CN" w:bidi="ar-SA"/>
        </w:rPr>
      </w:pPr>
    </w:p>
    <w:p w14:paraId="0421247D">
      <w:pPr>
        <w:bidi w:val="0"/>
        <w:rPr>
          <w:lang w:val="en-US" w:eastAsia="zh-CN"/>
        </w:rPr>
      </w:pPr>
    </w:p>
    <w:p w14:paraId="015C958E">
      <w:pPr>
        <w:bidi w:val="0"/>
        <w:rPr>
          <w:lang w:val="en-US" w:eastAsia="zh-CN"/>
        </w:rPr>
      </w:pPr>
    </w:p>
    <w:p w14:paraId="647DC18B">
      <w:pPr>
        <w:bidi w:val="0"/>
        <w:rPr>
          <w:lang w:val="en-US" w:eastAsia="zh-CN"/>
        </w:rPr>
      </w:pPr>
    </w:p>
    <w:p w14:paraId="54B82AAD">
      <w:pPr>
        <w:bidi w:val="0"/>
        <w:rPr>
          <w:lang w:val="en-US" w:eastAsia="zh-CN"/>
        </w:rPr>
      </w:pPr>
    </w:p>
    <w:p w14:paraId="5704AA65">
      <w:pPr>
        <w:bidi w:val="0"/>
        <w:rPr>
          <w:lang w:val="en-US" w:eastAsia="zh-CN"/>
        </w:rPr>
      </w:pPr>
    </w:p>
    <w:p w14:paraId="4E96FD75">
      <w:pPr>
        <w:bidi w:val="0"/>
        <w:rPr>
          <w:lang w:val="en-US" w:eastAsia="zh-CN"/>
        </w:rPr>
      </w:pPr>
    </w:p>
    <w:p w14:paraId="349E18A5">
      <w:pPr>
        <w:bidi w:val="0"/>
        <w:rPr>
          <w:lang w:val="en-US" w:eastAsia="zh-CN"/>
        </w:rPr>
      </w:pPr>
    </w:p>
    <w:p w14:paraId="74885489">
      <w:pPr>
        <w:tabs>
          <w:tab w:val="left" w:pos="4967"/>
        </w:tabs>
        <w:bidi w:val="0"/>
        <w:jc w:val="left"/>
        <w:rPr>
          <w:lang w:val="en-US" w:eastAsia="zh-CN"/>
        </w:rPr>
      </w:pPr>
      <w:r>
        <w:rPr>
          <w:rFonts w:hint="eastAsia"/>
          <w:lang w:val="en-US" w:eastAsia="zh-CN"/>
        </w:rPr>
        <w:tab/>
      </w:r>
      <w:bookmarkStart w:id="0" w:name="_GoBack"/>
      <w:bookmarkEnd w:id="0"/>
    </w:p>
    <w:sectPr>
      <w:footerReference r:id="rId3" w:type="default"/>
      <w:footerReference r:id="rId4"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Wingdings">
    <w:panose1 w:val="05000000000000000000"/>
    <w:charset w:val="00"/>
    <w:family w:val="decorative"/>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1"/>
      <w:docPartObj>
        <w:docPartGallery w:val="AutoText"/>
      </w:docPartObj>
    </w:sdtPr>
    <w:sdtEndPr>
      <w:rPr>
        <w:rStyle w:val="10"/>
      </w:rPr>
    </w:sdtEndPr>
    <w:sdtContent>
      <w:p w14:paraId="0581B53C">
        <w:pPr>
          <w:pStyle w:val="5"/>
          <w:framePr w:wrap="auto" w:vAnchor="text" w:hAnchor="margin" w:xAlign="center" w:y="1"/>
          <w:rPr>
            <w:rStyle w:val="10"/>
          </w:rPr>
        </w:pPr>
        <w:r>
          <w:rPr>
            <w:rStyle w:val="10"/>
          </w:rPr>
          <w:fldChar w:fldCharType="begin"/>
        </w:r>
        <w:r>
          <w:rPr>
            <w:rStyle w:val="10"/>
          </w:rPr>
          <w:instrText xml:space="preserve"> PAGE </w:instrText>
        </w:r>
        <w:r>
          <w:rPr>
            <w:rStyle w:val="10"/>
          </w:rPr>
          <w:fldChar w:fldCharType="separate"/>
        </w:r>
        <w:r>
          <w:rPr>
            <w:rStyle w:val="10"/>
          </w:rPr>
          <w:t>1</w:t>
        </w:r>
        <w:r>
          <w:rPr>
            <w:rStyle w:val="10"/>
          </w:rPr>
          <w:fldChar w:fldCharType="end"/>
        </w:r>
      </w:p>
    </w:sdtContent>
  </w:sdt>
  <w:p w14:paraId="164E343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313448803"/>
      <w:docPartObj>
        <w:docPartGallery w:val="AutoText"/>
      </w:docPartObj>
    </w:sdtPr>
    <w:sdtEndPr>
      <w:rPr>
        <w:rStyle w:val="10"/>
      </w:rPr>
    </w:sdtEndPr>
    <w:sdtContent>
      <w:p w14:paraId="27F38A1A">
        <w:pPr>
          <w:pStyle w:val="5"/>
          <w:framePr w:wrap="auto" w:vAnchor="text" w:hAnchor="margin" w:xAlign="center" w:y="1"/>
          <w:rPr>
            <w:rStyle w:val="10"/>
          </w:rPr>
        </w:pPr>
        <w:r>
          <w:rPr>
            <w:rStyle w:val="10"/>
          </w:rPr>
          <w:fldChar w:fldCharType="begin"/>
        </w:r>
        <w:r>
          <w:rPr>
            <w:rStyle w:val="10"/>
          </w:rPr>
          <w:instrText xml:space="preserve"> PAGE </w:instrText>
        </w:r>
        <w:r>
          <w:rPr>
            <w:rStyle w:val="10"/>
          </w:rPr>
          <w:fldChar w:fldCharType="separate"/>
        </w:r>
        <w:r>
          <w:rPr>
            <w:rStyle w:val="10"/>
          </w:rPr>
          <w:fldChar w:fldCharType="end"/>
        </w:r>
      </w:p>
    </w:sdtContent>
  </w:sdt>
  <w:p w14:paraId="06F726B1">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1A2117"/>
    <w:multiLevelType w:val="multilevel"/>
    <w:tmpl w:val="1D1A2117"/>
    <w:lvl w:ilvl="0" w:tentative="0">
      <w:start w:val="2"/>
      <w:numFmt w:val="decimal"/>
      <w:lvlText w:val="%1"/>
      <w:lvlJc w:val="left"/>
      <w:pPr>
        <w:ind w:left="420" w:hanging="420"/>
      </w:pPr>
      <w:rPr>
        <w:rFonts w:hint="default"/>
      </w:rPr>
    </w:lvl>
    <w:lvl w:ilvl="1" w:tentative="0">
      <w:start w:val="3"/>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
    <w:nsid w:val="2EA76FD4"/>
    <w:multiLevelType w:val="multilevel"/>
    <w:tmpl w:val="2EA76FD4"/>
    <w:lvl w:ilvl="0" w:tentative="0">
      <w:start w:val="2"/>
      <w:numFmt w:val="decimal"/>
      <w:lvlText w:val="%1"/>
      <w:lvlJc w:val="left"/>
      <w:pPr>
        <w:ind w:left="420" w:hanging="420"/>
      </w:pPr>
      <w:rPr>
        <w:rFonts w:hint="default"/>
      </w:rPr>
    </w:lvl>
    <w:lvl w:ilvl="1" w:tentative="0">
      <w:start w:val="4"/>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2">
    <w:nsid w:val="3936006F"/>
    <w:multiLevelType w:val="multilevel"/>
    <w:tmpl w:val="3936006F"/>
    <w:lvl w:ilvl="0" w:tentative="0">
      <w:start w:val="1"/>
      <w:numFmt w:val="bullet"/>
      <w:lvlText w:val="—"/>
      <w:lvlJc w:val="left"/>
      <w:pPr>
        <w:ind w:left="440" w:hanging="440"/>
      </w:pPr>
      <w:rPr>
        <w:rFonts w:hint="default" w:ascii="Arial" w:hAnsi="Arial"/>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DB879DF"/>
    <w:multiLevelType w:val="multilevel"/>
    <w:tmpl w:val="3DB879DF"/>
    <w:lvl w:ilvl="0" w:tentative="0">
      <w:start w:val="1"/>
      <w:numFmt w:val="bullet"/>
      <w:lvlText w:val="—"/>
      <w:lvlJc w:val="left"/>
      <w:pPr>
        <w:ind w:left="866" w:hanging="440"/>
      </w:pPr>
      <w:rPr>
        <w:rFonts w:hint="default" w:ascii="Arial" w:hAnsi="Arial"/>
      </w:rPr>
    </w:lvl>
    <w:lvl w:ilvl="1" w:tentative="0">
      <w:start w:val="1"/>
      <w:numFmt w:val="bullet"/>
      <w:lvlText w:val=""/>
      <w:lvlJc w:val="left"/>
      <w:pPr>
        <w:ind w:left="1306" w:hanging="440"/>
      </w:pPr>
      <w:rPr>
        <w:rFonts w:hint="default" w:ascii="Wingdings" w:hAnsi="Wingdings"/>
      </w:rPr>
    </w:lvl>
    <w:lvl w:ilvl="2" w:tentative="0">
      <w:start w:val="1"/>
      <w:numFmt w:val="bullet"/>
      <w:lvlText w:val=""/>
      <w:lvlJc w:val="left"/>
      <w:pPr>
        <w:ind w:left="1746" w:hanging="440"/>
      </w:pPr>
      <w:rPr>
        <w:rFonts w:hint="default" w:ascii="Wingdings" w:hAnsi="Wingdings"/>
      </w:rPr>
    </w:lvl>
    <w:lvl w:ilvl="3" w:tentative="0">
      <w:start w:val="1"/>
      <w:numFmt w:val="bullet"/>
      <w:lvlText w:val=""/>
      <w:lvlJc w:val="left"/>
      <w:pPr>
        <w:ind w:left="2186" w:hanging="440"/>
      </w:pPr>
      <w:rPr>
        <w:rFonts w:hint="default" w:ascii="Wingdings" w:hAnsi="Wingdings"/>
      </w:rPr>
    </w:lvl>
    <w:lvl w:ilvl="4" w:tentative="0">
      <w:start w:val="1"/>
      <w:numFmt w:val="bullet"/>
      <w:lvlText w:val=""/>
      <w:lvlJc w:val="left"/>
      <w:pPr>
        <w:ind w:left="2626" w:hanging="440"/>
      </w:pPr>
      <w:rPr>
        <w:rFonts w:hint="default" w:ascii="Wingdings" w:hAnsi="Wingdings"/>
      </w:rPr>
    </w:lvl>
    <w:lvl w:ilvl="5" w:tentative="0">
      <w:start w:val="1"/>
      <w:numFmt w:val="bullet"/>
      <w:lvlText w:val=""/>
      <w:lvlJc w:val="left"/>
      <w:pPr>
        <w:ind w:left="3066" w:hanging="440"/>
      </w:pPr>
      <w:rPr>
        <w:rFonts w:hint="default" w:ascii="Wingdings" w:hAnsi="Wingdings"/>
      </w:rPr>
    </w:lvl>
    <w:lvl w:ilvl="6" w:tentative="0">
      <w:start w:val="1"/>
      <w:numFmt w:val="bullet"/>
      <w:lvlText w:val=""/>
      <w:lvlJc w:val="left"/>
      <w:pPr>
        <w:ind w:left="3506" w:hanging="440"/>
      </w:pPr>
      <w:rPr>
        <w:rFonts w:hint="default" w:ascii="Wingdings" w:hAnsi="Wingdings"/>
      </w:rPr>
    </w:lvl>
    <w:lvl w:ilvl="7" w:tentative="0">
      <w:start w:val="1"/>
      <w:numFmt w:val="bullet"/>
      <w:lvlText w:val=""/>
      <w:lvlJc w:val="left"/>
      <w:pPr>
        <w:ind w:left="3946" w:hanging="440"/>
      </w:pPr>
      <w:rPr>
        <w:rFonts w:hint="default" w:ascii="Wingdings" w:hAnsi="Wingdings"/>
      </w:rPr>
    </w:lvl>
    <w:lvl w:ilvl="8" w:tentative="0">
      <w:start w:val="1"/>
      <w:numFmt w:val="bullet"/>
      <w:lvlText w:val=""/>
      <w:lvlJc w:val="left"/>
      <w:pPr>
        <w:ind w:left="4386" w:hanging="440"/>
      </w:pPr>
      <w:rPr>
        <w:rFonts w:hint="default" w:ascii="Wingdings" w:hAnsi="Wingdings"/>
      </w:rPr>
    </w:lvl>
  </w:abstractNum>
  <w:abstractNum w:abstractNumId="4">
    <w:nsid w:val="59B655C9"/>
    <w:multiLevelType w:val="multilevel"/>
    <w:tmpl w:val="59B655C9"/>
    <w:lvl w:ilvl="0" w:tentative="0">
      <w:start w:val="1"/>
      <w:numFmt w:val="bullet"/>
      <w:lvlText w:val="—"/>
      <w:lvlJc w:val="left"/>
      <w:pPr>
        <w:ind w:left="1070" w:hanging="440"/>
      </w:pPr>
      <w:rPr>
        <w:rFonts w:hint="default" w:ascii="Arial" w:hAnsi="Arial"/>
      </w:rPr>
    </w:lvl>
    <w:lvl w:ilvl="1" w:tentative="0">
      <w:start w:val="1"/>
      <w:numFmt w:val="bullet"/>
      <w:lvlText w:val=""/>
      <w:lvlJc w:val="left"/>
      <w:pPr>
        <w:ind w:left="1510" w:hanging="440"/>
      </w:pPr>
      <w:rPr>
        <w:rFonts w:hint="default" w:ascii="Wingdings" w:hAnsi="Wingdings"/>
      </w:rPr>
    </w:lvl>
    <w:lvl w:ilvl="2" w:tentative="0">
      <w:start w:val="1"/>
      <w:numFmt w:val="bullet"/>
      <w:lvlText w:val=""/>
      <w:lvlJc w:val="left"/>
      <w:pPr>
        <w:ind w:left="1950" w:hanging="440"/>
      </w:pPr>
      <w:rPr>
        <w:rFonts w:hint="default" w:ascii="Wingdings" w:hAnsi="Wingdings"/>
      </w:rPr>
    </w:lvl>
    <w:lvl w:ilvl="3" w:tentative="0">
      <w:start w:val="1"/>
      <w:numFmt w:val="bullet"/>
      <w:lvlText w:val=""/>
      <w:lvlJc w:val="left"/>
      <w:pPr>
        <w:ind w:left="2390" w:hanging="440"/>
      </w:pPr>
      <w:rPr>
        <w:rFonts w:hint="default" w:ascii="Wingdings" w:hAnsi="Wingdings"/>
      </w:rPr>
    </w:lvl>
    <w:lvl w:ilvl="4" w:tentative="0">
      <w:start w:val="1"/>
      <w:numFmt w:val="bullet"/>
      <w:lvlText w:val=""/>
      <w:lvlJc w:val="left"/>
      <w:pPr>
        <w:ind w:left="2830" w:hanging="440"/>
      </w:pPr>
      <w:rPr>
        <w:rFonts w:hint="default" w:ascii="Wingdings" w:hAnsi="Wingdings"/>
      </w:rPr>
    </w:lvl>
    <w:lvl w:ilvl="5" w:tentative="0">
      <w:start w:val="1"/>
      <w:numFmt w:val="bullet"/>
      <w:lvlText w:val=""/>
      <w:lvlJc w:val="left"/>
      <w:pPr>
        <w:ind w:left="3270" w:hanging="440"/>
      </w:pPr>
      <w:rPr>
        <w:rFonts w:hint="default" w:ascii="Wingdings" w:hAnsi="Wingdings"/>
      </w:rPr>
    </w:lvl>
    <w:lvl w:ilvl="6" w:tentative="0">
      <w:start w:val="1"/>
      <w:numFmt w:val="bullet"/>
      <w:lvlText w:val=""/>
      <w:lvlJc w:val="left"/>
      <w:pPr>
        <w:ind w:left="3710" w:hanging="440"/>
      </w:pPr>
      <w:rPr>
        <w:rFonts w:hint="default" w:ascii="Wingdings" w:hAnsi="Wingdings"/>
      </w:rPr>
    </w:lvl>
    <w:lvl w:ilvl="7" w:tentative="0">
      <w:start w:val="1"/>
      <w:numFmt w:val="bullet"/>
      <w:lvlText w:val=""/>
      <w:lvlJc w:val="left"/>
      <w:pPr>
        <w:ind w:left="4150" w:hanging="440"/>
      </w:pPr>
      <w:rPr>
        <w:rFonts w:hint="default" w:ascii="Wingdings" w:hAnsi="Wingdings"/>
      </w:rPr>
    </w:lvl>
    <w:lvl w:ilvl="8" w:tentative="0">
      <w:start w:val="1"/>
      <w:numFmt w:val="bullet"/>
      <w:lvlText w:val=""/>
      <w:lvlJc w:val="left"/>
      <w:pPr>
        <w:ind w:left="4590" w:hanging="440"/>
      </w:pPr>
      <w:rPr>
        <w:rFonts w:hint="default" w:ascii="Wingdings" w:hAnsi="Wingdings"/>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63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F56FF"/>
    <w:rsid w:val="000431F4"/>
    <w:rsid w:val="00063895"/>
    <w:rsid w:val="000C0CB3"/>
    <w:rsid w:val="000D5ADB"/>
    <w:rsid w:val="000E7EDB"/>
    <w:rsid w:val="001A2DDE"/>
    <w:rsid w:val="001B16C4"/>
    <w:rsid w:val="001D4E68"/>
    <w:rsid w:val="001E4228"/>
    <w:rsid w:val="00217917"/>
    <w:rsid w:val="00241A8B"/>
    <w:rsid w:val="0024329B"/>
    <w:rsid w:val="00266975"/>
    <w:rsid w:val="00277F29"/>
    <w:rsid w:val="002F75DC"/>
    <w:rsid w:val="00302E9A"/>
    <w:rsid w:val="003842D9"/>
    <w:rsid w:val="003A4A04"/>
    <w:rsid w:val="0047452E"/>
    <w:rsid w:val="0049749D"/>
    <w:rsid w:val="004D6D90"/>
    <w:rsid w:val="004F1D20"/>
    <w:rsid w:val="0050740C"/>
    <w:rsid w:val="005853C4"/>
    <w:rsid w:val="0059215E"/>
    <w:rsid w:val="005957FA"/>
    <w:rsid w:val="005D19FF"/>
    <w:rsid w:val="005F7C2A"/>
    <w:rsid w:val="00625FE9"/>
    <w:rsid w:val="00660831"/>
    <w:rsid w:val="0066586C"/>
    <w:rsid w:val="006A4AAC"/>
    <w:rsid w:val="006B0297"/>
    <w:rsid w:val="00715DEF"/>
    <w:rsid w:val="007300E0"/>
    <w:rsid w:val="007545AB"/>
    <w:rsid w:val="007B3B87"/>
    <w:rsid w:val="007B462E"/>
    <w:rsid w:val="007C05A1"/>
    <w:rsid w:val="008668CB"/>
    <w:rsid w:val="008B0F44"/>
    <w:rsid w:val="008D0286"/>
    <w:rsid w:val="009053FA"/>
    <w:rsid w:val="009C7CFE"/>
    <w:rsid w:val="009F1476"/>
    <w:rsid w:val="00A04879"/>
    <w:rsid w:val="00A22854"/>
    <w:rsid w:val="00A33BBD"/>
    <w:rsid w:val="00A67527"/>
    <w:rsid w:val="00A9213A"/>
    <w:rsid w:val="00AD3A71"/>
    <w:rsid w:val="00AF6176"/>
    <w:rsid w:val="00B01120"/>
    <w:rsid w:val="00B16167"/>
    <w:rsid w:val="00B3417B"/>
    <w:rsid w:val="00B5398A"/>
    <w:rsid w:val="00B66B1E"/>
    <w:rsid w:val="00B7542F"/>
    <w:rsid w:val="00BA38A8"/>
    <w:rsid w:val="00BC4206"/>
    <w:rsid w:val="00BE0118"/>
    <w:rsid w:val="00BF7066"/>
    <w:rsid w:val="00C342B2"/>
    <w:rsid w:val="00C3644A"/>
    <w:rsid w:val="00C734BE"/>
    <w:rsid w:val="00C86020"/>
    <w:rsid w:val="00CB10B7"/>
    <w:rsid w:val="00CD1ED8"/>
    <w:rsid w:val="00CF197F"/>
    <w:rsid w:val="00CF56FF"/>
    <w:rsid w:val="00D32928"/>
    <w:rsid w:val="00D659BC"/>
    <w:rsid w:val="00D804FC"/>
    <w:rsid w:val="00DB0192"/>
    <w:rsid w:val="00DF3735"/>
    <w:rsid w:val="00E30B14"/>
    <w:rsid w:val="00EA2CFC"/>
    <w:rsid w:val="00EB37CA"/>
    <w:rsid w:val="00EC4406"/>
    <w:rsid w:val="00F1535C"/>
    <w:rsid w:val="79FA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4"/>
    <w:qFormat/>
    <w:uiPriority w:val="9"/>
    <w:pPr>
      <w:spacing w:line="360" w:lineRule="auto"/>
      <w:outlineLvl w:val="0"/>
    </w:pPr>
    <w:rPr>
      <w:rFonts w:ascii="黑体" w:hAnsi="黑体" w:eastAsia="黑体"/>
      <w:b/>
      <w:bCs/>
      <w:kern w:val="0"/>
      <w:sz w:val="28"/>
      <w:szCs w:val="28"/>
    </w:rPr>
  </w:style>
  <w:style w:type="paragraph" w:styleId="3">
    <w:name w:val="heading 2"/>
    <w:basedOn w:val="1"/>
    <w:next w:val="1"/>
    <w:link w:val="15"/>
    <w:unhideWhenUsed/>
    <w:qFormat/>
    <w:uiPriority w:val="9"/>
    <w:pPr>
      <w:spacing w:line="360" w:lineRule="auto"/>
      <w:outlineLvl w:val="1"/>
    </w:pPr>
    <w:rPr>
      <w:rFonts w:ascii="宋体" w:hAnsi="宋体"/>
      <w:b/>
      <w:bCs/>
      <w:kern w:val="0"/>
      <w:sz w:val="28"/>
      <w:szCs w:val="28"/>
    </w:rPr>
  </w:style>
  <w:style w:type="paragraph" w:styleId="4">
    <w:name w:val="heading 3"/>
    <w:basedOn w:val="1"/>
    <w:next w:val="1"/>
    <w:link w:val="16"/>
    <w:unhideWhenUsed/>
    <w:qFormat/>
    <w:uiPriority w:val="9"/>
    <w:pPr>
      <w:keepNext/>
      <w:keepLines/>
      <w:spacing w:line="360" w:lineRule="auto"/>
      <w:outlineLvl w:val="2"/>
    </w:pPr>
    <w:rPr>
      <w:rFonts w:ascii="楷体" w:hAnsi="楷体" w:eastAsia="楷体"/>
      <w:b/>
      <w:bCs/>
      <w:sz w:val="28"/>
      <w:szCs w:val="2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8">
    <w:name w:val="Table Grid"/>
    <w:basedOn w:val="7"/>
    <w:qFormat/>
    <w:uiPriority w:val="59"/>
    <w:rPr>
      <w:rFonts w:eastAsia="微软雅黑"/>
      <w:kern w:val="0"/>
      <w:sz w:val="22"/>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semiHidden/>
    <w:unhideWhenUsed/>
    <w:qFormat/>
    <w:uiPriority w:val="99"/>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styleId="13">
    <w:name w:val="List Paragraph"/>
    <w:basedOn w:val="1"/>
    <w:qFormat/>
    <w:uiPriority w:val="34"/>
    <w:pPr>
      <w:widowControl/>
      <w:adjustRightInd w:val="0"/>
      <w:snapToGrid w:val="0"/>
      <w:spacing w:after="200"/>
      <w:ind w:firstLine="420" w:firstLineChars="200"/>
      <w:jc w:val="left"/>
    </w:pPr>
    <w:rPr>
      <w:rFonts w:ascii="Tahoma" w:hAnsi="Tahoma" w:eastAsia="微软雅黑" w:cstheme="minorBidi"/>
      <w:kern w:val="0"/>
      <w:sz w:val="22"/>
      <w:szCs w:val="22"/>
    </w:rPr>
  </w:style>
  <w:style w:type="character" w:customStyle="1" w:styleId="14">
    <w:name w:val="标题 1 字符"/>
    <w:basedOn w:val="9"/>
    <w:link w:val="2"/>
    <w:qFormat/>
    <w:uiPriority w:val="9"/>
    <w:rPr>
      <w:rFonts w:ascii="黑体" w:hAnsi="黑体" w:eastAsia="黑体" w:cs="Times New Roman"/>
      <w:b/>
      <w:bCs/>
      <w:kern w:val="0"/>
      <w:sz w:val="28"/>
      <w:szCs w:val="28"/>
    </w:rPr>
  </w:style>
  <w:style w:type="character" w:customStyle="1" w:styleId="15">
    <w:name w:val="标题 2 字符"/>
    <w:basedOn w:val="9"/>
    <w:link w:val="3"/>
    <w:qFormat/>
    <w:uiPriority w:val="9"/>
    <w:rPr>
      <w:rFonts w:ascii="宋体" w:hAnsi="宋体" w:eastAsia="宋体" w:cs="Times New Roman"/>
      <w:b/>
      <w:bCs/>
      <w:kern w:val="0"/>
      <w:sz w:val="28"/>
      <w:szCs w:val="28"/>
    </w:rPr>
  </w:style>
  <w:style w:type="character" w:customStyle="1" w:styleId="16">
    <w:name w:val="标题 3 字符"/>
    <w:basedOn w:val="9"/>
    <w:link w:val="4"/>
    <w:qFormat/>
    <w:uiPriority w:val="9"/>
    <w:rPr>
      <w:rFonts w:ascii="楷体" w:hAnsi="楷体" w:eastAsia="楷体" w:cs="Times New Roman"/>
      <w:b/>
      <w:bCs/>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B738B-1B67-7A46-BA6B-BEFBC7F0E8A2}">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1047</Words>
  <Characters>5970</Characters>
  <Lines>49</Lines>
  <Paragraphs>14</Paragraphs>
  <TotalTime>180</TotalTime>
  <ScaleCrop>false</ScaleCrop>
  <LinksUpToDate>false</LinksUpToDate>
  <CharactersWithSpaces>7003</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2018-09-06T08:30:00Z</dcterms:created>
  <dc:creator>201</dc:creator>
  <cp:lastModifiedBy>gjlcj</cp:lastModifiedBy>
  <dcterms:modified xsi:type="dcterms:W3CDTF">2026-09-02T10:24:44Z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C8D54670AD34273BEC88976ADC7FB591_42</vt:lpwstr>
  </property>
</Properties>
</file>