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A6128">
      <w:pPr>
        <w:pStyle w:val="36"/>
        <w:framePr w:w="10303" w:wrap="auto" w:vAnchor="page" w:hAnchor="page" w:x="1101" w:y="1111"/>
      </w:pPr>
      <w:bookmarkStart w:id="0" w:name="OLE_LINK4"/>
      <w:r>
        <w:rPr>
          <w:b/>
          <w:bCs/>
          <w:spacing w:val="-20"/>
          <w:sz w:val="24"/>
        </w:rPr>
        <w:t>ICS</w:t>
      </w:r>
      <w:r>
        <w:rPr>
          <w:rFonts w:hint="eastAsia"/>
          <w:b/>
          <w:bCs/>
          <w:spacing w:val="-20"/>
          <w:sz w:val="24"/>
        </w:rPr>
        <w:t>号</w:t>
      </w:r>
      <w:r>
        <w:rPr>
          <w:rFonts w:hint="eastAsia" w:hAnsi="黑体" w:cs="黑体"/>
          <w:b/>
          <w:bCs/>
        </w:rPr>
        <w:t xml:space="preserve">  </w:t>
      </w:r>
    </w:p>
    <w:p w14:paraId="22CAB496">
      <w:pPr>
        <w:pStyle w:val="36"/>
        <w:framePr w:w="10303" w:wrap="auto" w:vAnchor="page" w:hAnchor="page" w:x="1101" w:y="1111"/>
        <w:wordWrap w:val="0"/>
        <w:rPr>
          <w:b/>
          <w:bCs/>
        </w:rPr>
      </w:pPr>
      <w:r>
        <w:rPr>
          <w:b/>
          <w:bCs/>
          <w:sz w:val="24"/>
        </w:rPr>
        <mc:AlternateContent>
          <mc:Choice Requires="wps">
            <w:drawing>
              <wp:anchor distT="0" distB="0" distL="114300" distR="114300" simplePos="0" relativeHeight="251659264" behindDoc="1" locked="0" layoutInCell="1" allowOverlap="1">
                <wp:simplePos x="0" y="0"/>
                <wp:positionH relativeFrom="column">
                  <wp:posOffset>-76200</wp:posOffset>
                </wp:positionH>
                <wp:positionV relativeFrom="paragraph">
                  <wp:posOffset>188595</wp:posOffset>
                </wp:positionV>
                <wp:extent cx="866775" cy="198120"/>
                <wp:effectExtent l="0" t="0" r="1905" b="0"/>
                <wp:wrapNone/>
                <wp:docPr id="19" name="矩形 19"/>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6pt;margin-top:14.85pt;height:15.6pt;width:68.25pt;z-index:-251657216;mso-width-relative:page;mso-height-relative:page;" fillcolor="#FFFFFF" filled="t" stroked="f" coordsize="21600,21600" o:gfxdata="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Ohcx1jX&#10;AAAACQEAAA8AAAAAAAAAAQAgAAAAIgAAAGRycy9kb3ducmV2LnhtbFBLAQIUABQAAAAIAIdO4kAe&#10;yabMIQIAADUEAAAOAAAAAAAAAAEAIAAAACYBAABkcnMvZTJvRG9jLnhtbFBLBQYAAAAABgAGAFkB&#10;AAC5BQAAAAA=&#10;">
                <v:fill on="t" focussize="0,0"/>
                <v:stroke on="f"/>
                <v:imagedata o:title=""/>
                <o:lock v:ext="edit" aspectratio="f"/>
              </v:rect>
            </w:pict>
          </mc:Fallback>
        </mc:AlternateContent>
      </w:r>
      <w:r>
        <w:rPr>
          <w:rFonts w:hint="eastAsia" w:ascii="宋体" w:hAnsi="宋体"/>
        </w:rPr>
        <w:t>中国标准文献分类号</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4"/>
      </w:tblGrid>
      <w:tr w14:paraId="293CD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4"/>
            </w:tblGrid>
            <w:tr w14:paraId="1B2DA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p w14:paraId="0E775FC8">
                  <w:pPr>
                    <w:pStyle w:val="36"/>
                    <w:framePr w:w="10303" w:wrap="auto" w:vAnchor="page" w:hAnchor="page" w:x="1101" w:y="1111"/>
                    <w:jc w:val="right"/>
                    <w:rPr>
                      <w:sz w:val="112"/>
                      <w:szCs w:val="112"/>
                    </w:rPr>
                  </w:pPr>
                  <w:r>
                    <w:rPr>
                      <w:rFonts w:ascii="黑体"/>
                      <w:sz w:val="112"/>
                      <w:szCs w:val="112"/>
                    </w:rPr>
                    <mc:AlternateContent>
                      <mc:Choice Requires="wps">
                        <w:drawing>
                          <wp:anchor distT="0" distB="0" distL="114300" distR="114300" simplePos="0" relativeHeight="251660288" behindDoc="1" locked="0" layoutInCell="1" allowOverlap="1">
                            <wp:simplePos x="0" y="0"/>
                            <wp:positionH relativeFrom="column">
                              <wp:posOffset>-66675</wp:posOffset>
                            </wp:positionH>
                            <wp:positionV relativeFrom="paragraph">
                              <wp:posOffset>0</wp:posOffset>
                            </wp:positionV>
                            <wp:extent cx="866775" cy="198120"/>
                            <wp:effectExtent l="0" t="0" r="1905" b="0"/>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5.25pt;margin-top:0pt;height:15.6pt;width:68.25pt;z-index:-251656192;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iuL+zVAAAA&#10;BwEAAA8AAAAAAAAAAQAgAAAAIgAAAGRycy9kb3ducmV2LnhtbFBLAQIUABQAAAAIAIdO4kDuQJTW&#10;IAIAADUEAAAOAAAAAAAAAAEAIAAAACQBAABkcnMvZTJvRG9jLnhtbFBLBQYAAAAABgAGAFkBAAC2&#10;BQAAAAA=&#10;">
                            <v:fill on="t" focussize="0,0"/>
                            <v:stroke on="f"/>
                            <v:imagedata o:title=""/>
                            <o:lock v:ext="edit" aspectratio="f"/>
                          </v:rect>
                        </w:pict>
                      </mc:Fallback>
                    </mc:AlternateContent>
                  </w:r>
                  <w:r>
                    <w:rPr>
                      <w:b/>
                      <w:bCs/>
                      <w:sz w:val="112"/>
                      <w:szCs w:val="112"/>
                    </w:rPr>
                    <w:t>CSF</w:t>
                  </w:r>
                </w:p>
              </w:tc>
            </w:tr>
          </w:tbl>
          <w:p w14:paraId="746319AE">
            <w:pPr>
              <w:pStyle w:val="36"/>
              <w:framePr w:w="10303" w:wrap="auto" w:vAnchor="page" w:hAnchor="page" w:x="1101" w:y="1111"/>
            </w:pPr>
          </w:p>
        </w:tc>
      </w:tr>
    </w:tbl>
    <w:p w14:paraId="1C16FDCF">
      <w:pPr>
        <w:pStyle w:val="48"/>
        <w:framePr w:w="7714" w:wrap="around" w:x="2311" w:y="3244"/>
        <w:rPr>
          <w:bCs/>
          <w:sz w:val="84"/>
          <w:szCs w:val="84"/>
        </w:rPr>
      </w:pPr>
      <w:r>
        <w:rPr>
          <w:rFonts w:hint="eastAsia" w:hAnsi="黑体" w:cs="黑体"/>
          <w:bCs/>
          <w:sz w:val="84"/>
          <w:szCs w:val="84"/>
        </w:rPr>
        <w:t>团体标准</w:t>
      </w:r>
    </w:p>
    <w:p w14:paraId="069BD805">
      <w:pPr>
        <w:framePr w:w="9639" w:h="4897" w:hRule="exact" w:wrap="around" w:vAnchor="page" w:hAnchor="page" w:x="1241" w:y="6371" w:anchorLock="1"/>
        <w:spacing w:line="600" w:lineRule="auto"/>
        <w:jc w:val="center"/>
        <w:rPr>
          <w:rFonts w:hint="eastAsia" w:ascii="黑体" w:hAnsi="黑体" w:eastAsia="黑体"/>
          <w:sz w:val="52"/>
          <w:szCs w:val="52"/>
        </w:rPr>
      </w:pPr>
      <w:r>
        <w:rPr>
          <w:rFonts w:hint="eastAsia" w:ascii="黑体" w:hAnsi="黑体" w:eastAsia="黑体"/>
          <w:sz w:val="52"/>
          <w:szCs w:val="52"/>
        </w:rPr>
        <w:t>杉木林下箭叶淫羊藿—珍贵阔叶树复合</w:t>
      </w:r>
    </w:p>
    <w:p w14:paraId="2B4BDC81">
      <w:pPr>
        <w:framePr w:w="9639" w:h="4897" w:hRule="exact" w:wrap="around" w:vAnchor="page" w:hAnchor="page" w:x="1241" w:y="6371" w:anchorLock="1"/>
        <w:spacing w:line="600" w:lineRule="auto"/>
        <w:jc w:val="center"/>
        <w:rPr>
          <w:rFonts w:ascii="黑体" w:hAnsi="黑体" w:eastAsia="黑体"/>
          <w:sz w:val="52"/>
          <w:szCs w:val="52"/>
        </w:rPr>
      </w:pPr>
      <w:r>
        <w:rPr>
          <w:rFonts w:hint="eastAsia" w:ascii="黑体" w:hAnsi="黑体" w:eastAsia="黑体"/>
          <w:sz w:val="52"/>
          <w:szCs w:val="52"/>
        </w:rPr>
        <w:t>经营技术规程</w:t>
      </w:r>
    </w:p>
    <w:p w14:paraId="4DA060AA">
      <w:pPr>
        <w:framePr w:w="9639" w:h="4897" w:hRule="exact" w:wrap="around" w:vAnchor="page" w:hAnchor="page" w:x="1241" w:y="6371" w:anchorLock="1"/>
        <w:spacing w:line="600" w:lineRule="auto"/>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 xml:space="preserve">Technical regulation for compound management of </w:t>
      </w:r>
      <w:r>
        <w:rPr>
          <w:rFonts w:hint="default" w:ascii="Times New Roman" w:hAnsi="Times New Roman" w:eastAsia="黑体" w:cs="Times New Roman"/>
          <w:i/>
          <w:iCs/>
          <w:sz w:val="28"/>
          <w:szCs w:val="28"/>
        </w:rPr>
        <w:t>Epimedium sagittatum</w:t>
      </w:r>
      <w:r>
        <w:rPr>
          <w:rFonts w:hint="default" w:ascii="Times New Roman" w:hAnsi="Times New Roman" w:eastAsia="黑体" w:cs="Times New Roman"/>
          <w:sz w:val="28"/>
          <w:szCs w:val="28"/>
        </w:rPr>
        <w:t xml:space="preserve"> and precious broad-leaved trees under Chinese fir plantations</w:t>
      </w:r>
    </w:p>
    <w:p w14:paraId="281A94CC">
      <w:pPr>
        <w:framePr w:w="9639" w:h="4897" w:hRule="exact" w:wrap="around" w:vAnchor="page" w:hAnchor="page" w:x="1241" w:y="6371" w:anchorLock="1"/>
        <w:jc w:val="center"/>
        <w:rPr>
          <w:rFonts w:hint="eastAsia" w:eastAsia="宋体"/>
          <w:color w:val="000000"/>
          <w:sz w:val="32"/>
          <w:szCs w:val="32"/>
          <w:lang w:eastAsia="zh-CN"/>
        </w:rPr>
      </w:pPr>
      <w:r>
        <w:rPr>
          <w:rFonts w:hint="eastAsia" w:eastAsia="宋体"/>
          <w:color w:val="000000"/>
          <w:sz w:val="32"/>
          <w:szCs w:val="32"/>
          <w:lang w:eastAsia="zh-CN"/>
        </w:rPr>
        <w:t>（征求意见稿）</w:t>
      </w:r>
    </w:p>
    <w:p w14:paraId="65CD3A0C">
      <w:pPr>
        <w:rPr>
          <w:szCs w:val="20"/>
        </w:rPr>
      </w:pP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4A8B7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571C0C3B">
            <w:pPr>
              <w:pStyle w:val="49"/>
              <w:framePr w:wrap="around" w:x="1601" w:y="4546"/>
              <w:ind w:left="420"/>
              <w:rPr>
                <w:rFonts w:hAnsi="黑体" w:cs="黑体"/>
                <w:bCs/>
              </w:rPr>
            </w:pPr>
            <w:bookmarkStart w:id="1" w:name="DT"/>
            <w:r>
              <w:rPr>
                <w:rFonts w:hAnsi="黑体" w:cs="黑体"/>
                <w:bCs/>
              </w:rPr>
              <mc:AlternateContent>
                <mc:Choice Requires="wps">
                  <w:drawing>
                    <wp:anchor distT="0" distB="0" distL="114300" distR="114300" simplePos="0" relativeHeight="251662336" behindDoc="0" locked="0" layoutInCell="1" allowOverlap="1">
                      <wp:simplePos x="0" y="0"/>
                      <wp:positionH relativeFrom="column">
                        <wp:posOffset>-172085</wp:posOffset>
                      </wp:positionH>
                      <wp:positionV relativeFrom="paragraph">
                        <wp:posOffset>519430</wp:posOffset>
                      </wp:positionV>
                      <wp:extent cx="6120130" cy="0"/>
                      <wp:effectExtent l="0" t="6350" r="0" b="635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margin-left:-13.55pt;margin-top:40.9pt;height:0pt;width:481.9pt;z-index:251662336;mso-width-relative:page;mso-height-relative:page;" filled="f" stroked="t" coordsize="21600,21600" o:gfxdata="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DWoOj&#10;2AAAAAkBAAAPAAAAAAAAAAEAIAAAACIAAABkcnMvZG93bnJldi54bWxQSwECFAAUAAAACACHTuJA&#10;VD5XEOgBAAC5AwAADgAAAAAAAAABACAAAAAnAQAAZHJzL2Uyb0RvYy54bWxQSwUGAAAAAAYABgBZ&#10;AQAAgQUAAAAA&#10;">
                      <v:fill on="f" focussize="0,0"/>
                      <v:stroke weight="1pt" color="#000000" joinstyle="round"/>
                      <v:imagedata o:title=""/>
                      <o:lock v:ext="edit" aspectratio="f"/>
                    </v:line>
                  </w:pict>
                </mc:Fallback>
              </mc:AlternateContent>
            </w:r>
            <w:r>
              <w:rPr>
                <w:rFonts w:hAnsi="黑体" w:cs="黑体"/>
                <w:bCs/>
              </w:rPr>
              <w:t>T/CSF</w:t>
            </w:r>
            <w:r>
              <w:rPr>
                <w:rFonts w:hAnsi="黑体" w:cs="黑体"/>
                <w:bCs/>
              </w:rPr>
              <mc:AlternateContent>
                <mc:Choice Requires="wps">
                  <w:drawing>
                    <wp:anchor distT="0" distB="0" distL="114300" distR="114300" simplePos="0" relativeHeight="251663360"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72.8pt;margin-top:2.7pt;height:18pt;width:90pt;z-index:-251653120;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eYPLL1gAAAAgB&#10;AAAPAAAAAAAAAAEAIAAAACIAAABkcnMvZG93bnJldi54bWxQSwECFAAUAAAACACHTuJAh+gEbR0C&#10;AAA0BAAADgAAAAAAAAABACAAAAAlAQAAZHJzL2Uyb0RvYy54bWxQSwUGAAAAAAYABgBZAQAAtAUA&#10;AAAA&#10;">
                      <v:fill on="t" focussize="0,0"/>
                      <v:stroke on="f"/>
                      <v:imagedata o:title=""/>
                      <o:lock v:ext="edit" aspectratio="f"/>
                    </v:rect>
                  </w:pict>
                </mc:Fallback>
              </mc:AlternateContent>
            </w:r>
            <w:bookmarkEnd w:id="1"/>
            <w:r>
              <w:rPr>
                <w:rFonts w:hint="eastAsia" w:hAnsi="黑体" w:cs="黑体"/>
                <w:bCs/>
              </w:rPr>
              <w:t xml:space="preserve"> </w:t>
            </w:r>
            <w:r>
              <w:rPr>
                <w:rFonts w:hAnsi="黑体" w:cs="黑体"/>
                <w:bCs/>
              </w:rPr>
              <w:t>×××</w:t>
            </w:r>
            <w:r>
              <w:rPr>
                <w:rFonts w:hint="eastAsia" w:hAnsi="黑体" w:cs="黑体"/>
                <w:bCs/>
              </w:rPr>
              <w:t>—</w:t>
            </w:r>
            <w:r>
              <w:rPr>
                <w:rFonts w:hAnsi="黑体" w:cs="黑体"/>
                <w:bCs/>
              </w:rPr>
              <w:t>××××</w:t>
            </w:r>
          </w:p>
        </w:tc>
      </w:tr>
    </w:tbl>
    <w:p w14:paraId="0289F81C"/>
    <w:p w14:paraId="34E19192"/>
    <w:p w14:paraId="4916C992">
      <w:r>
        <mc:AlternateContent>
          <mc:Choice Requires="wps">
            <w:drawing>
              <wp:anchor distT="0" distB="0" distL="114300" distR="114300" simplePos="0" relativeHeight="251668480" behindDoc="0" locked="0" layoutInCell="1" allowOverlap="1">
                <wp:simplePos x="0" y="0"/>
                <wp:positionH relativeFrom="column">
                  <wp:posOffset>1548130</wp:posOffset>
                </wp:positionH>
                <wp:positionV relativeFrom="paragraph">
                  <wp:posOffset>7267575</wp:posOffset>
                </wp:positionV>
                <wp:extent cx="1983740" cy="446405"/>
                <wp:effectExtent l="0" t="0" r="12700" b="10795"/>
                <wp:wrapNone/>
                <wp:docPr id="23" name="文本框 23"/>
                <wp:cNvGraphicFramePr/>
                <a:graphic xmlns:a="http://schemas.openxmlformats.org/drawingml/2006/main">
                  <a:graphicData uri="http://schemas.microsoft.com/office/word/2010/wordprocessingShape">
                    <wps:wsp>
                      <wps:cNvSpPr txBox="1">
                        <a:spLocks noChangeArrowheads="1"/>
                      </wps:cNvSpPr>
                      <wps:spPr bwMode="auto">
                        <a:xfrm>
                          <a:off x="0" y="0"/>
                          <a:ext cx="1983740" cy="446405"/>
                        </a:xfrm>
                        <a:prstGeom prst="rect">
                          <a:avLst/>
                        </a:prstGeom>
                        <a:solidFill>
                          <a:srgbClr val="FFFFFF"/>
                        </a:solidFill>
                        <a:ln>
                          <a:noFill/>
                        </a:ln>
                        <a:effectLst/>
                      </wps:spPr>
                      <wps:txbx>
                        <w:txbxContent>
                          <w:p w14:paraId="20AB35FC">
                            <w:pPr>
                              <w:rPr>
                                <w:rFonts w:ascii="黑体" w:hAnsi="黑体" w:eastAsia="黑体"/>
                                <w:sz w:val="28"/>
                              </w:rPr>
                            </w:pPr>
                            <w:r>
                              <w:rPr>
                                <w:rFonts w:hint="eastAsia" w:ascii="黑体" w:hAnsi="黑体" w:eastAsia="黑体"/>
                                <w:sz w:val="28"/>
                              </w:rPr>
                              <w:t>2018—xx-xx 发布</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9pt;margin-top:572.25pt;height:35.15pt;width:156.2pt;z-index:251668480;mso-width-relative:page;mso-height-relative:page;" fillcolor="#FFFFFF" filled="t" stroked="f" coordsize="21600,21600" o:gfxdata="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wXhBp2gAAAA0BAAAPAAAAAAAAAAEAIAAAACIAAABkcnMvZG93bnJldi54&#10;bWxQSwECFAAUAAAACACHTuJA3K2IJzECAABOBAAADgAAAAAAAAABACAAAAApAQAAZHJzL2Uyb0Rv&#10;Yy54bWxQSwUGAAAAAAYABgBZAQAAzAUAAAAA&#10;">
                <v:fill on="t" focussize="0,0"/>
                <v:stroke on="f"/>
                <v:imagedata o:title=""/>
                <o:lock v:ext="edit" aspectratio="f"/>
                <v:textbox>
                  <w:txbxContent>
                    <w:p w14:paraId="20AB35FC">
                      <w:pPr>
                        <w:rPr>
                          <w:rFonts w:ascii="黑体" w:hAnsi="黑体" w:eastAsia="黑体"/>
                          <w:sz w:val="28"/>
                        </w:rPr>
                      </w:pPr>
                      <w:r>
                        <w:rPr>
                          <w:rFonts w:hint="eastAsia" w:ascii="黑体" w:hAnsi="黑体" w:eastAsia="黑体"/>
                          <w:sz w:val="28"/>
                        </w:rPr>
                        <w:t>2018—xx-xx 发布</w:t>
                      </w:r>
                    </w:p>
                  </w:txbxContent>
                </v:textbox>
              </v:shape>
            </w:pict>
          </mc:Fallback>
        </mc:AlternateContent>
      </w:r>
    </w:p>
    <w:p w14:paraId="5C179443">
      <w:r>
        <mc:AlternateContent>
          <mc:Choice Requires="wps">
            <w:drawing>
              <wp:anchor distT="0" distB="0" distL="114300" distR="114300" simplePos="0" relativeHeight="251661312" behindDoc="0" locked="0" layoutInCell="1" allowOverlap="1">
                <wp:simplePos x="0" y="0"/>
                <wp:positionH relativeFrom="column">
                  <wp:posOffset>-42545</wp:posOffset>
                </wp:positionH>
                <wp:positionV relativeFrom="paragraph">
                  <wp:posOffset>4705985</wp:posOffset>
                </wp:positionV>
                <wp:extent cx="6120130" cy="0"/>
                <wp:effectExtent l="0" t="6350" r="0" b="6350"/>
                <wp:wrapNone/>
                <wp:docPr id="14" name="直接箭头连接符 14"/>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2700">
                          <a:solidFill>
                            <a:srgbClr val="000000"/>
                          </a:solidFill>
                          <a:round/>
                        </a:ln>
                        <a:effectLst/>
                      </wps:spPr>
                      <wps:bodyPr/>
                    </wps:wsp>
                  </a:graphicData>
                </a:graphic>
              </wp:anchor>
            </w:drawing>
          </mc:Choice>
          <mc:Fallback>
            <w:pict>
              <v:shape id="_x0000_s1026" o:spid="_x0000_s1026" o:spt="32" type="#_x0000_t32" style="position:absolute;left:0pt;margin-left:-3.35pt;margin-top:370.55pt;height:0pt;width:481.9pt;z-index:251661312;mso-width-relative:page;mso-height-relative:page;" filled="f" stroked="t" coordsize="21600,21600" o:gfxdata="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jSpRp9QAAAAKAQAADwAAAAAAAAABACAAAAAiAAAAZHJzL2Rvd25yZXYueG1sUEsB&#10;AhQAFAAAAAgAh07iQM2Dx0P5AQAAzwMAAA4AAAAAAAAAAQAgAAAAIwEAAGRycy9lMm9Eb2MueG1s&#10;UEsFBgAAAAAGAAYAWQEAAI4FAAAAAA==&#10;">
                <v:fill on="f" focussize="0,0"/>
                <v:stroke weight="1pt" color="#000000" joinstyle="round"/>
                <v:imagedata o:title=""/>
                <o:lock v:ext="edit" aspectratio="f"/>
              </v:shape>
            </w:pict>
          </mc:Fallback>
        </mc:AlternateContent>
      </w:r>
    </w:p>
    <w:p w14:paraId="2D0EE813"/>
    <w:p w14:paraId="321A975A">
      <w:r>
        <mc:AlternateContent>
          <mc:Choice Requires="wps">
            <w:drawing>
              <wp:anchor distT="0" distB="0" distL="114300" distR="114300" simplePos="0" relativeHeight="251670528" behindDoc="0" locked="0" layoutInCell="1" allowOverlap="1">
                <wp:simplePos x="0" y="0"/>
                <wp:positionH relativeFrom="column">
                  <wp:posOffset>4410075</wp:posOffset>
                </wp:positionH>
                <wp:positionV relativeFrom="paragraph">
                  <wp:posOffset>60325</wp:posOffset>
                </wp:positionV>
                <wp:extent cx="1840230" cy="401955"/>
                <wp:effectExtent l="0" t="0" r="3810" b="9525"/>
                <wp:wrapNone/>
                <wp:docPr id="2" name="文本框 25"/>
                <wp:cNvGraphicFramePr/>
                <a:graphic xmlns:a="http://schemas.openxmlformats.org/drawingml/2006/main">
                  <a:graphicData uri="http://schemas.microsoft.com/office/word/2010/wordprocessingShape">
                    <wps:wsp>
                      <wps:cNvSpPr txBox="1"/>
                      <wps:spPr>
                        <a:xfrm>
                          <a:off x="0" y="0"/>
                          <a:ext cx="1840230" cy="401955"/>
                        </a:xfrm>
                        <a:prstGeom prst="rect">
                          <a:avLst/>
                        </a:prstGeom>
                        <a:solidFill>
                          <a:srgbClr val="FFFFFF"/>
                        </a:solidFill>
                        <a:ln w="6350">
                          <a:noFill/>
                        </a:ln>
                      </wps:spPr>
                      <wps:txbx>
                        <w:txbxContent>
                          <w:p w14:paraId="2D1BE5FD">
                            <w:pPr>
                              <w:rPr>
                                <w:rFonts w:ascii="黑体" w:hAnsi="黑体" w:eastAsia="黑体"/>
                                <w:b/>
                                <w:sz w:val="28"/>
                              </w:rPr>
                            </w:pPr>
                            <w:r>
                              <w:rPr>
                                <w:rFonts w:ascii="黑体" w:hAnsi="黑体" w:eastAsia="黑体" w:cs="Arial"/>
                                <w:sz w:val="28"/>
                              </w:rPr>
                              <w:t>xxxx -xx-xx</w:t>
                            </w:r>
                            <w:r>
                              <w:rPr>
                                <w:rFonts w:hint="eastAsia" w:ascii="黑体" w:hAnsi="黑体" w:eastAsia="黑体"/>
                                <w:sz w:val="28"/>
                              </w:rPr>
                              <w:t xml:space="preserve"> 实施</w:t>
                            </w:r>
                          </w:p>
                          <w:p w14:paraId="227F5DAD"/>
                        </w:txbxContent>
                      </wps:txbx>
                      <wps:bodyPr upright="1"/>
                    </wps:wsp>
                  </a:graphicData>
                </a:graphic>
              </wp:anchor>
            </w:drawing>
          </mc:Choice>
          <mc:Fallback>
            <w:pict>
              <v:shape id="文本框 25" o:spid="_x0000_s1026" o:spt="202" type="#_x0000_t202" style="position:absolute;left:0pt;margin-left:347.25pt;margin-top:4.75pt;height:31.65pt;width:144.9pt;z-index:251670528;mso-width-relative:page;mso-height-relative:page;" fillcolor="#FFFFFF" filled="t" stroked="f" coordsize="21600,21600" o:gfxdata="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TNOdE1QAAAAgBAAAPAAAAAAAAAAEAIAAAACIAAABkcnMvZG93&#10;bnJldi54bWxQSwECFAAUAAAACACHTuJAs3DppMoBAACBAwAADgAAAAAAAAABACAAAAAkAQAAZHJz&#10;L2Uyb0RvYy54bWxQSwUGAAAAAAYABgBZAQAAYAUAAAAA&#10;">
                <v:fill on="t" focussize="0,0"/>
                <v:stroke on="f" weight="0.5pt"/>
                <v:imagedata o:title=""/>
                <o:lock v:ext="edit" aspectratio="f"/>
                <v:textbox>
                  <w:txbxContent>
                    <w:p w14:paraId="2D1BE5FD">
                      <w:pPr>
                        <w:rPr>
                          <w:rFonts w:ascii="黑体" w:hAnsi="黑体" w:eastAsia="黑体"/>
                          <w:b/>
                          <w:sz w:val="28"/>
                        </w:rPr>
                      </w:pPr>
                      <w:r>
                        <w:rPr>
                          <w:rFonts w:ascii="黑体" w:hAnsi="黑体" w:eastAsia="黑体" w:cs="Arial"/>
                          <w:sz w:val="28"/>
                        </w:rPr>
                        <w:t>xxxx -xx-xx</w:t>
                      </w:r>
                      <w:r>
                        <w:rPr>
                          <w:rFonts w:hint="eastAsia" w:ascii="黑体" w:hAnsi="黑体" w:eastAsia="黑体"/>
                          <w:sz w:val="28"/>
                        </w:rPr>
                        <w:t xml:space="preserve"> 实施</w:t>
                      </w:r>
                    </w:p>
                    <w:p w14:paraId="227F5DAD"/>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-26670</wp:posOffset>
                </wp:positionH>
                <wp:positionV relativeFrom="paragraph">
                  <wp:posOffset>60325</wp:posOffset>
                </wp:positionV>
                <wp:extent cx="1840230" cy="492125"/>
                <wp:effectExtent l="0" t="0" r="3810" b="10795"/>
                <wp:wrapNone/>
                <wp:docPr id="1" name="文本框 24"/>
                <wp:cNvGraphicFramePr/>
                <a:graphic xmlns:a="http://schemas.openxmlformats.org/drawingml/2006/main">
                  <a:graphicData uri="http://schemas.microsoft.com/office/word/2010/wordprocessingShape">
                    <wps:wsp>
                      <wps:cNvSpPr txBox="1"/>
                      <wps:spPr>
                        <a:xfrm>
                          <a:off x="0" y="0"/>
                          <a:ext cx="1840230" cy="492125"/>
                        </a:xfrm>
                        <a:prstGeom prst="rect">
                          <a:avLst/>
                        </a:prstGeom>
                        <a:solidFill>
                          <a:srgbClr val="FFFFFF"/>
                        </a:solidFill>
                        <a:ln w="6350">
                          <a:noFill/>
                        </a:ln>
                      </wps:spPr>
                      <wps:txbx>
                        <w:txbxContent>
                          <w:p w14:paraId="266BABE8">
                            <w:pPr>
                              <w:rPr>
                                <w:rFonts w:ascii="黑体" w:hAnsi="黑体" w:eastAsia="黑体"/>
                                <w:sz w:val="28"/>
                              </w:rPr>
                            </w:pPr>
                            <w:r>
                              <w:rPr>
                                <w:rFonts w:ascii="黑体" w:hAnsi="黑体" w:eastAsia="黑体" w:cs="Arial"/>
                                <w:sz w:val="28"/>
                              </w:rPr>
                              <w:t>xxxx -xx-xx</w:t>
                            </w:r>
                            <w:r>
                              <w:rPr>
                                <w:rFonts w:hint="eastAsia" w:ascii="黑体" w:hAnsi="黑体" w:eastAsia="黑体"/>
                                <w:sz w:val="28"/>
                              </w:rPr>
                              <w:t xml:space="preserve"> 发布</w:t>
                            </w:r>
                          </w:p>
                          <w:p w14:paraId="014AF1AE"/>
                        </w:txbxContent>
                      </wps:txbx>
                      <wps:bodyPr upright="1"/>
                    </wps:wsp>
                  </a:graphicData>
                </a:graphic>
              </wp:anchor>
            </w:drawing>
          </mc:Choice>
          <mc:Fallback>
            <w:pict>
              <v:shape id="文本框 24" o:spid="_x0000_s1026" o:spt="202" type="#_x0000_t202" style="position:absolute;left:0pt;margin-left:-2.1pt;margin-top:4.75pt;height:38.75pt;width:144.9pt;z-index:251669504;mso-width-relative:page;mso-height-relative:page;" fillcolor="#FFFFFF" filled="t" stroked="f" coordsize="21600,21600" o:gfxdata="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MWNDtMAAAAHAQAADwAAAAAAAAABACAAAAAiAAAAZHJzL2Rvd25yZXYu&#10;eG1sUEsBAhQAFAAAAAgAh07iQBKWsZLHAQAAgQMAAA4AAAAAAAAAAQAgAAAAIgEAAGRycy9lMm9E&#10;b2MueG1sUEsFBgAAAAAGAAYAWQEAAFsFAAAAAA==&#10;">
                <v:fill on="t" focussize="0,0"/>
                <v:stroke on="f" weight="0.5pt"/>
                <v:imagedata o:title=""/>
                <o:lock v:ext="edit" aspectratio="f"/>
                <v:textbox>
                  <w:txbxContent>
                    <w:p w14:paraId="266BABE8">
                      <w:pPr>
                        <w:rPr>
                          <w:rFonts w:ascii="黑体" w:hAnsi="黑体" w:eastAsia="黑体"/>
                          <w:sz w:val="28"/>
                        </w:rPr>
                      </w:pPr>
                      <w:r>
                        <w:rPr>
                          <w:rFonts w:ascii="黑体" w:hAnsi="黑体" w:eastAsia="黑体" w:cs="Arial"/>
                          <w:sz w:val="28"/>
                        </w:rPr>
                        <w:t>xxxx -xx-xx</w:t>
                      </w:r>
                      <w:r>
                        <w:rPr>
                          <w:rFonts w:hint="eastAsia" w:ascii="黑体" w:hAnsi="黑体" w:eastAsia="黑体"/>
                          <w:sz w:val="28"/>
                        </w:rPr>
                        <w:t xml:space="preserve"> 发布</w:t>
                      </w:r>
                    </w:p>
                    <w:p w14:paraId="014AF1AE"/>
                  </w:txbxContent>
                </v:textbox>
              </v:shape>
            </w:pict>
          </mc:Fallback>
        </mc:AlternateContent>
      </w:r>
    </w:p>
    <w:p w14:paraId="0EF30A2D"/>
    <w:p w14:paraId="7D66FAF0"/>
    <w:p w14:paraId="7D1AE029">
      <w:r>
        <w:rPr>
          <w:rFonts w:ascii="Times New Roman" w:hAnsi="Times New Roman" w:cs="Times New Roman"/>
          <w:b/>
          <w:color w:val="000000" w:themeColor="text1"/>
          <w:sz w:val="48"/>
          <w:szCs w:val="48"/>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321945</wp:posOffset>
                </wp:positionH>
                <wp:positionV relativeFrom="paragraph">
                  <wp:posOffset>33020</wp:posOffset>
                </wp:positionV>
                <wp:extent cx="5509895" cy="515620"/>
                <wp:effectExtent l="0" t="0" r="6985" b="2540"/>
                <wp:wrapNone/>
                <wp:docPr id="5" name="文本框 28"/>
                <wp:cNvGraphicFramePr/>
                <a:graphic xmlns:a="http://schemas.openxmlformats.org/drawingml/2006/main">
                  <a:graphicData uri="http://schemas.microsoft.com/office/word/2010/wordprocessingShape">
                    <wps:wsp>
                      <wps:cNvSpPr txBox="1"/>
                      <wps:spPr>
                        <a:xfrm>
                          <a:off x="0" y="0"/>
                          <a:ext cx="5509895" cy="515620"/>
                        </a:xfrm>
                        <a:prstGeom prst="rect">
                          <a:avLst/>
                        </a:prstGeom>
                        <a:solidFill>
                          <a:srgbClr val="FFFFFF"/>
                        </a:solidFill>
                        <a:ln w="6350">
                          <a:noFill/>
                        </a:ln>
                      </wps:spPr>
                      <wps:txbx>
                        <w:txbxContent>
                          <w:p w14:paraId="552A02BC">
                            <w:pPr>
                              <w:jc w:val="cente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txbxContent>
                      </wps:txbx>
                      <wps:bodyPr upright="1"/>
                    </wps:wsp>
                  </a:graphicData>
                </a:graphic>
              </wp:anchor>
            </w:drawing>
          </mc:Choice>
          <mc:Fallback>
            <w:pict>
              <v:shape id="文本框 28" o:spid="_x0000_s1026" o:spt="202" type="#_x0000_t202" style="position:absolute;left:0pt;margin-left:25.35pt;margin-top:2.6pt;height:40.6pt;width:433.85pt;z-index:251671552;mso-width-relative:page;mso-height-relative:page;" fillcolor="#FFFFFF" filled="t" stroked="f" coordsize="21600,21600" o:gfxdata="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IPjuQfTAAAABwEAAA8AAAAAAAAAAQAgAAAAIgAAAGRycy9kb3du&#10;cmV2LnhtbFBLAQIUABQAAAAIAIdO4kC7kbRiywEAAIEDAAAOAAAAAAAAAAEAIAAAACIBAABkcnMv&#10;ZTJvRG9jLnhtbFBLBQYAAAAABgAGAFkBAABfBQAAAAA=&#10;">
                <v:fill on="t" focussize="0,0"/>
                <v:stroke on="f" weight="0.5pt"/>
                <v:imagedata o:title=""/>
                <o:lock v:ext="edit" aspectratio="f"/>
                <v:textbox>
                  <w:txbxContent>
                    <w:p w14:paraId="552A02BC">
                      <w:pPr>
                        <w:jc w:val="cente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txbxContent>
                </v:textbox>
              </v:shape>
            </w:pict>
          </mc:Fallback>
        </mc:AlternateContent>
      </w:r>
    </w:p>
    <w:p w14:paraId="51695D28">
      <w:r>
        <mc:AlternateContent>
          <mc:Choice Requires="wps">
            <w:drawing>
              <wp:anchor distT="0" distB="0" distL="114300" distR="114300" simplePos="0" relativeHeight="251672576" behindDoc="0" locked="0" layoutInCell="1" allowOverlap="1">
                <wp:simplePos x="0" y="0"/>
                <wp:positionH relativeFrom="column">
                  <wp:posOffset>-26670</wp:posOffset>
                </wp:positionH>
                <wp:positionV relativeFrom="paragraph">
                  <wp:posOffset>-274955</wp:posOffset>
                </wp:positionV>
                <wp:extent cx="6120130" cy="0"/>
                <wp:effectExtent l="0" t="6350" r="0" b="6350"/>
                <wp:wrapNone/>
                <wp:docPr id="6" name="自选图形 9"/>
                <wp:cNvGraphicFramePr/>
                <a:graphic xmlns:a="http://schemas.openxmlformats.org/drawingml/2006/main">
                  <a:graphicData uri="http://schemas.microsoft.com/office/word/2010/wordprocessingShape">
                    <wps:wsp>
                      <wps:cNvCnPr/>
                      <wps:spPr>
                        <a:xfrm>
                          <a:off x="0" y="0"/>
                          <a:ext cx="6120130"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自选图形 9" o:spid="_x0000_s1026" o:spt="32" type="#_x0000_t32" style="position:absolute;left:0pt;margin-left:-2.1pt;margin-top:-21.65pt;height:0pt;width:481.9pt;z-index:251672576;mso-width-relative:page;mso-height-relative:page;" filled="f" stroked="t" coordsize="21600,21600" o:gfxdata="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YmKhNUAAAAKAQAADwAAAAAAAAABACAAAAAiAAAAZHJzL2Rvd25yZXYueG1sUEsBAhQAFAAA&#10;AAgAh07iQIl70MXyAQAA5AMAAA4AAAAAAAAAAQAgAAAAJAEAAGRycy9lMm9Eb2MueG1sUEsFBgAA&#10;AAAGAAYAWQEAAIgFAAAAAA==&#10;">
                <v:fill on="f" focussize="0,0"/>
                <v:stroke weight="1pt" color="#000000" joinstyle="round"/>
                <v:imagedata o:title=""/>
                <o:lock v:ext="edit" aspectratio="f"/>
              </v:shape>
            </w:pict>
          </mc:Fallback>
        </mc:AlternateContent>
      </w:r>
    </w:p>
    <w:p w14:paraId="2D2D5D1D">
      <w:pPr>
        <w:rPr>
          <w:rFonts w:ascii="Times New Roman" w:hAnsi="Times New Roman" w:cs="Times New Roman"/>
          <w:b/>
          <w:color w:val="000000" w:themeColor="text1"/>
          <w:sz w:val="48"/>
          <w:szCs w:val="48"/>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6" w:h="16838"/>
          <w:pgMar w:top="567" w:right="1134" w:bottom="1134" w:left="1418" w:header="851" w:footer="992" w:gutter="0"/>
          <w:pgNumType w:start="1"/>
          <w:cols w:space="425" w:num="1"/>
          <w:titlePg/>
          <w:docGrid w:type="lines" w:linePitch="312" w:charSpace="0"/>
        </w:sectPr>
      </w:pPr>
    </w:p>
    <w:p w14:paraId="5F847332">
      <w:pPr>
        <w:pStyle w:val="35"/>
        <w:tabs>
          <w:tab w:val="left" w:pos="323"/>
          <w:tab w:val="center" w:pos="4677"/>
        </w:tabs>
        <w:rPr>
          <w:rFonts w:hAnsi="黑体"/>
          <w:szCs w:val="32"/>
        </w:rPr>
      </w:pPr>
      <w:bookmarkStart w:id="2" w:name="_Toc23374"/>
      <w:r>
        <w:rPr>
          <w:rFonts w:hint="eastAsia" w:hAnsi="黑体"/>
          <w:szCs w:val="32"/>
        </w:rPr>
        <w:t>目    次</w:t>
      </w:r>
      <w:bookmarkEnd w:id="2"/>
    </w:p>
    <w:sdt>
      <w:sdtPr>
        <w:rPr>
          <w:rFonts w:ascii="宋体" w:hAnsi="宋体" w:eastAsia="宋体" w:cstheme="minorBidi"/>
          <w:kern w:val="2"/>
          <w:sz w:val="21"/>
          <w:szCs w:val="22"/>
          <w:lang w:val="en-US" w:eastAsia="zh-CN" w:bidi="ar-SA"/>
        </w:rPr>
        <w:id w:val="147471937"/>
        <w15:color w:val="DBDBDB"/>
        <w:docPartObj>
          <w:docPartGallery w:val="Table of Contents"/>
          <w:docPartUnique/>
        </w:docPartObj>
      </w:sdtPr>
      <w:sdtEndPr>
        <w:rPr>
          <w:rFonts w:ascii="宋体" w:hAnsi="宋体" w:eastAsia="宋体" w:cstheme="minorBidi"/>
          <w:kern w:val="2"/>
          <w:sz w:val="21"/>
          <w:szCs w:val="21"/>
          <w:lang w:val="en-US" w:eastAsia="zh-CN" w:bidi="ar-SA"/>
        </w:rPr>
      </w:sdtEndPr>
      <w:sdtContent>
        <w:p w14:paraId="093C8218">
          <w:pPr>
            <w:spacing w:before="0" w:beforeLines="0" w:after="0" w:afterLines="0" w:line="240" w:lineRule="auto"/>
            <w:ind w:left="0" w:leftChars="0" w:right="0" w:rightChars="0" w:firstLine="0" w:firstLineChars="0"/>
            <w:jc w:val="center"/>
          </w:pPr>
          <w:r>
            <w:rPr>
              <w:rFonts w:ascii="宋体" w:hAnsi="宋体" w:eastAsia="宋体"/>
              <w:szCs w:val="21"/>
            </w:rPr>
            <w:fldChar w:fldCharType="begin"/>
          </w:r>
          <w:r>
            <w:rPr>
              <w:rFonts w:ascii="宋体" w:hAnsi="宋体" w:eastAsia="宋体"/>
              <w:szCs w:val="21"/>
            </w:rPr>
            <w:instrText xml:space="preserve">TOC \o "1-1" \h \u </w:instrText>
          </w:r>
          <w:r>
            <w:rPr>
              <w:rFonts w:ascii="宋体" w:hAnsi="宋体" w:eastAsia="宋体"/>
              <w:szCs w:val="21"/>
            </w:rPr>
            <w:fldChar w:fldCharType="separate"/>
          </w:r>
        </w:p>
        <w:p w14:paraId="7C39427F">
          <w:pPr>
            <w:pStyle w:val="16"/>
            <w:tabs>
              <w:tab w:val="right" w:leader="dot" w:pos="9354"/>
            </w:tabs>
            <w:rPr>
              <w:rFonts w:hint="eastAsia" w:asciiTheme="majorEastAsia" w:hAnsiTheme="majorEastAsia" w:eastAsiaTheme="majorEastAsia" w:cstheme="majorEastAsia"/>
              <w:b w:val="0"/>
              <w:bCs w:val="0"/>
            </w:rPr>
          </w:pPr>
          <w:r>
            <w:rPr>
              <w:rFonts w:hint="eastAsia" w:asciiTheme="majorEastAsia" w:hAnsiTheme="majorEastAsia" w:eastAsiaTheme="majorEastAsia" w:cstheme="majorEastAsia"/>
              <w:b w:val="0"/>
              <w:bCs w:val="0"/>
              <w:szCs w:val="21"/>
            </w:rPr>
            <w:fldChar w:fldCharType="begin"/>
          </w:r>
          <w:r>
            <w:rPr>
              <w:rFonts w:hint="eastAsia" w:asciiTheme="majorEastAsia" w:hAnsiTheme="majorEastAsia" w:eastAsiaTheme="majorEastAsia" w:cstheme="majorEastAsia"/>
              <w:b w:val="0"/>
              <w:bCs w:val="0"/>
              <w:szCs w:val="21"/>
            </w:rPr>
            <w:instrText xml:space="preserve"> HYPERLINK \l _Toc14629 </w:instrText>
          </w:r>
          <w:r>
            <w:rPr>
              <w:rFonts w:hint="eastAsia" w:asciiTheme="majorEastAsia" w:hAnsiTheme="majorEastAsia" w:eastAsiaTheme="majorEastAsia" w:cstheme="majorEastAsia"/>
              <w:b w:val="0"/>
              <w:bCs w:val="0"/>
              <w:szCs w:val="21"/>
            </w:rPr>
            <w:fldChar w:fldCharType="separate"/>
          </w:r>
          <w:r>
            <w:rPr>
              <w:rFonts w:hint="eastAsia" w:asciiTheme="majorEastAsia" w:hAnsiTheme="majorEastAsia" w:eastAsiaTheme="majorEastAsia" w:cstheme="majorEastAsia"/>
              <w:b w:val="0"/>
              <w:bCs w:val="0"/>
              <w:kern w:val="0"/>
            </w:rPr>
            <w:t>前    言</w:t>
          </w:r>
          <w:r>
            <w:rPr>
              <w:rFonts w:hint="eastAsia" w:asciiTheme="majorEastAsia" w:hAnsiTheme="majorEastAsia" w:eastAsiaTheme="majorEastAsia" w:cstheme="majorEastAsia"/>
              <w:b w:val="0"/>
              <w:bCs w:val="0"/>
            </w:rPr>
            <w:tab/>
          </w:r>
          <w:r>
            <w:rPr>
              <w:rFonts w:hint="eastAsia" w:asciiTheme="majorEastAsia" w:hAnsiTheme="majorEastAsia" w:eastAsiaTheme="majorEastAsia" w:cstheme="majorEastAsia"/>
              <w:b w:val="0"/>
              <w:bCs w:val="0"/>
            </w:rPr>
            <w:fldChar w:fldCharType="begin"/>
          </w:r>
          <w:r>
            <w:rPr>
              <w:rFonts w:hint="eastAsia" w:asciiTheme="majorEastAsia" w:hAnsiTheme="majorEastAsia" w:eastAsiaTheme="majorEastAsia" w:cstheme="majorEastAsia"/>
              <w:b w:val="0"/>
              <w:bCs w:val="0"/>
            </w:rPr>
            <w:instrText xml:space="preserve"> PAGEREF _Toc14629 \h </w:instrText>
          </w:r>
          <w:r>
            <w:rPr>
              <w:rFonts w:hint="eastAsia" w:asciiTheme="majorEastAsia" w:hAnsiTheme="majorEastAsia" w:eastAsiaTheme="majorEastAsia" w:cstheme="majorEastAsia"/>
              <w:b w:val="0"/>
              <w:bCs w:val="0"/>
            </w:rPr>
            <w:fldChar w:fldCharType="separate"/>
          </w:r>
          <w:r>
            <w:rPr>
              <w:rFonts w:hint="eastAsia" w:asciiTheme="majorEastAsia" w:hAnsiTheme="majorEastAsia" w:eastAsiaTheme="majorEastAsia" w:cstheme="majorEastAsia"/>
              <w:b w:val="0"/>
              <w:bCs w:val="0"/>
            </w:rPr>
            <w:t>II</w:t>
          </w:r>
          <w:r>
            <w:rPr>
              <w:rFonts w:hint="eastAsia" w:asciiTheme="majorEastAsia" w:hAnsiTheme="majorEastAsia" w:eastAsiaTheme="majorEastAsia" w:cstheme="majorEastAsia"/>
              <w:b w:val="0"/>
              <w:bCs w:val="0"/>
            </w:rPr>
            <w:fldChar w:fldCharType="end"/>
          </w:r>
          <w:r>
            <w:rPr>
              <w:rFonts w:hint="eastAsia" w:asciiTheme="majorEastAsia" w:hAnsiTheme="majorEastAsia" w:eastAsiaTheme="majorEastAsia" w:cstheme="majorEastAsia"/>
              <w:b w:val="0"/>
              <w:bCs w:val="0"/>
              <w:szCs w:val="21"/>
            </w:rPr>
            <w:fldChar w:fldCharType="end"/>
          </w:r>
        </w:p>
        <w:p w14:paraId="1F7AA609">
          <w:pPr>
            <w:pStyle w:val="16"/>
            <w:tabs>
              <w:tab w:val="right" w:leader="dot" w:pos="9354"/>
            </w:tabs>
            <w:rPr>
              <w:rFonts w:hint="eastAsia" w:asciiTheme="majorEastAsia" w:hAnsiTheme="majorEastAsia" w:eastAsiaTheme="majorEastAsia" w:cstheme="majorEastAsia"/>
              <w:b w:val="0"/>
              <w:bCs w:val="0"/>
            </w:rPr>
          </w:pPr>
          <w:r>
            <w:rPr>
              <w:rFonts w:hint="eastAsia" w:asciiTheme="majorEastAsia" w:hAnsiTheme="majorEastAsia" w:eastAsiaTheme="majorEastAsia" w:cstheme="majorEastAsia"/>
              <w:b w:val="0"/>
              <w:bCs w:val="0"/>
              <w:szCs w:val="21"/>
            </w:rPr>
            <w:fldChar w:fldCharType="begin"/>
          </w:r>
          <w:r>
            <w:rPr>
              <w:rFonts w:hint="eastAsia" w:asciiTheme="majorEastAsia" w:hAnsiTheme="majorEastAsia" w:eastAsiaTheme="majorEastAsia" w:cstheme="majorEastAsia"/>
              <w:b w:val="0"/>
              <w:bCs w:val="0"/>
              <w:szCs w:val="21"/>
            </w:rPr>
            <w:instrText xml:space="preserve"> HYPERLINK \l _Toc2911 </w:instrText>
          </w:r>
          <w:r>
            <w:rPr>
              <w:rFonts w:hint="eastAsia" w:asciiTheme="majorEastAsia" w:hAnsiTheme="majorEastAsia" w:eastAsiaTheme="majorEastAsia" w:cstheme="majorEastAsia"/>
              <w:b w:val="0"/>
              <w:bCs w:val="0"/>
              <w:szCs w:val="21"/>
            </w:rPr>
            <w:fldChar w:fldCharType="separate"/>
          </w:r>
          <w:r>
            <w:rPr>
              <w:rFonts w:hint="eastAsia" w:asciiTheme="majorEastAsia" w:hAnsiTheme="majorEastAsia" w:eastAsiaTheme="majorEastAsia" w:cstheme="majorEastAsia"/>
              <w:b w:val="0"/>
              <w:bCs w:val="0"/>
              <w:kern w:val="0"/>
              <w:szCs w:val="20"/>
            </w:rPr>
            <w:t>1</w:t>
          </w:r>
          <w:r>
            <w:rPr>
              <w:rFonts w:hint="eastAsia" w:asciiTheme="majorEastAsia" w:hAnsiTheme="majorEastAsia" w:eastAsiaTheme="majorEastAsia" w:cstheme="majorEastAsia"/>
              <w:b w:val="0"/>
              <w:bCs w:val="0"/>
              <w:kern w:val="0"/>
              <w:szCs w:val="20"/>
              <w:lang w:val="en-US" w:eastAsia="zh-CN"/>
            </w:rPr>
            <w:t xml:space="preserve">  </w:t>
          </w:r>
          <w:r>
            <w:rPr>
              <w:rFonts w:hint="eastAsia" w:asciiTheme="majorEastAsia" w:hAnsiTheme="majorEastAsia" w:eastAsiaTheme="majorEastAsia" w:cstheme="majorEastAsia"/>
              <w:b w:val="0"/>
              <w:bCs w:val="0"/>
              <w:kern w:val="0"/>
              <w:szCs w:val="20"/>
            </w:rPr>
            <w:t>范围</w:t>
          </w:r>
          <w:r>
            <w:rPr>
              <w:rFonts w:hint="eastAsia" w:asciiTheme="majorEastAsia" w:hAnsiTheme="majorEastAsia" w:eastAsiaTheme="majorEastAsia" w:cstheme="majorEastAsia"/>
              <w:b w:val="0"/>
              <w:bCs w:val="0"/>
            </w:rPr>
            <w:tab/>
          </w:r>
          <w:r>
            <w:rPr>
              <w:rFonts w:hint="eastAsia" w:asciiTheme="majorEastAsia" w:hAnsiTheme="majorEastAsia" w:eastAsiaTheme="majorEastAsia" w:cstheme="majorEastAsia"/>
              <w:b w:val="0"/>
              <w:bCs w:val="0"/>
            </w:rPr>
            <w:fldChar w:fldCharType="begin"/>
          </w:r>
          <w:r>
            <w:rPr>
              <w:rFonts w:hint="eastAsia" w:asciiTheme="majorEastAsia" w:hAnsiTheme="majorEastAsia" w:eastAsiaTheme="majorEastAsia" w:cstheme="majorEastAsia"/>
              <w:b w:val="0"/>
              <w:bCs w:val="0"/>
            </w:rPr>
            <w:instrText xml:space="preserve"> PAGEREF _Toc2911 \h </w:instrText>
          </w:r>
          <w:r>
            <w:rPr>
              <w:rFonts w:hint="eastAsia" w:asciiTheme="majorEastAsia" w:hAnsiTheme="majorEastAsia" w:eastAsiaTheme="majorEastAsia" w:cstheme="majorEastAsia"/>
              <w:b w:val="0"/>
              <w:bCs w:val="0"/>
            </w:rPr>
            <w:fldChar w:fldCharType="separate"/>
          </w:r>
          <w:r>
            <w:rPr>
              <w:rFonts w:hint="eastAsia" w:asciiTheme="majorEastAsia" w:hAnsiTheme="majorEastAsia" w:eastAsiaTheme="majorEastAsia" w:cstheme="majorEastAsia"/>
              <w:b w:val="0"/>
              <w:bCs w:val="0"/>
            </w:rPr>
            <w:t>1</w:t>
          </w:r>
          <w:r>
            <w:rPr>
              <w:rFonts w:hint="eastAsia" w:asciiTheme="majorEastAsia" w:hAnsiTheme="majorEastAsia" w:eastAsiaTheme="majorEastAsia" w:cstheme="majorEastAsia"/>
              <w:b w:val="0"/>
              <w:bCs w:val="0"/>
            </w:rPr>
            <w:fldChar w:fldCharType="end"/>
          </w:r>
          <w:r>
            <w:rPr>
              <w:rFonts w:hint="eastAsia" w:asciiTheme="majorEastAsia" w:hAnsiTheme="majorEastAsia" w:eastAsiaTheme="majorEastAsia" w:cstheme="majorEastAsia"/>
              <w:b w:val="0"/>
              <w:bCs w:val="0"/>
              <w:szCs w:val="21"/>
            </w:rPr>
            <w:fldChar w:fldCharType="end"/>
          </w:r>
        </w:p>
        <w:p w14:paraId="73539453">
          <w:pPr>
            <w:pStyle w:val="16"/>
            <w:tabs>
              <w:tab w:val="right" w:leader="dot" w:pos="9354"/>
            </w:tabs>
            <w:rPr>
              <w:rFonts w:hint="eastAsia" w:asciiTheme="majorEastAsia" w:hAnsiTheme="majorEastAsia" w:eastAsiaTheme="majorEastAsia" w:cstheme="majorEastAsia"/>
              <w:b w:val="0"/>
              <w:bCs w:val="0"/>
            </w:rPr>
          </w:pPr>
          <w:r>
            <w:rPr>
              <w:rFonts w:hint="eastAsia" w:asciiTheme="majorEastAsia" w:hAnsiTheme="majorEastAsia" w:eastAsiaTheme="majorEastAsia" w:cstheme="majorEastAsia"/>
              <w:b w:val="0"/>
              <w:bCs w:val="0"/>
              <w:szCs w:val="21"/>
            </w:rPr>
            <w:fldChar w:fldCharType="begin"/>
          </w:r>
          <w:r>
            <w:rPr>
              <w:rFonts w:hint="eastAsia" w:asciiTheme="majorEastAsia" w:hAnsiTheme="majorEastAsia" w:eastAsiaTheme="majorEastAsia" w:cstheme="majorEastAsia"/>
              <w:b w:val="0"/>
              <w:bCs w:val="0"/>
              <w:szCs w:val="21"/>
            </w:rPr>
            <w:instrText xml:space="preserve"> HYPERLINK \l _Toc6115 </w:instrText>
          </w:r>
          <w:r>
            <w:rPr>
              <w:rFonts w:hint="eastAsia" w:asciiTheme="majorEastAsia" w:hAnsiTheme="majorEastAsia" w:eastAsiaTheme="majorEastAsia" w:cstheme="majorEastAsia"/>
              <w:b w:val="0"/>
              <w:bCs w:val="0"/>
              <w:szCs w:val="21"/>
            </w:rPr>
            <w:fldChar w:fldCharType="separate"/>
          </w:r>
          <w:r>
            <w:rPr>
              <w:rFonts w:hint="eastAsia" w:asciiTheme="majorEastAsia" w:hAnsiTheme="majorEastAsia" w:eastAsiaTheme="majorEastAsia" w:cstheme="majorEastAsia"/>
              <w:b w:val="0"/>
              <w:bCs w:val="0"/>
              <w:kern w:val="0"/>
              <w:szCs w:val="20"/>
            </w:rPr>
            <w:t>2</w:t>
          </w:r>
          <w:r>
            <w:rPr>
              <w:rFonts w:hint="eastAsia" w:asciiTheme="majorEastAsia" w:hAnsiTheme="majorEastAsia" w:eastAsiaTheme="majorEastAsia" w:cstheme="majorEastAsia"/>
              <w:b w:val="0"/>
              <w:bCs w:val="0"/>
              <w:kern w:val="0"/>
              <w:szCs w:val="20"/>
              <w:lang w:val="en-US" w:eastAsia="zh-CN"/>
            </w:rPr>
            <w:t xml:space="preserve">  </w:t>
          </w:r>
          <w:r>
            <w:rPr>
              <w:rFonts w:hint="eastAsia" w:asciiTheme="majorEastAsia" w:hAnsiTheme="majorEastAsia" w:eastAsiaTheme="majorEastAsia" w:cstheme="majorEastAsia"/>
              <w:b w:val="0"/>
              <w:bCs w:val="0"/>
              <w:kern w:val="0"/>
              <w:szCs w:val="20"/>
            </w:rPr>
            <w:t>规范性引用文件</w:t>
          </w:r>
          <w:r>
            <w:rPr>
              <w:rFonts w:hint="eastAsia" w:asciiTheme="majorEastAsia" w:hAnsiTheme="majorEastAsia" w:eastAsiaTheme="majorEastAsia" w:cstheme="majorEastAsia"/>
              <w:b w:val="0"/>
              <w:bCs w:val="0"/>
            </w:rPr>
            <w:tab/>
          </w:r>
          <w:r>
            <w:rPr>
              <w:rFonts w:hint="eastAsia" w:asciiTheme="majorEastAsia" w:hAnsiTheme="majorEastAsia" w:eastAsiaTheme="majorEastAsia" w:cstheme="majorEastAsia"/>
              <w:b w:val="0"/>
              <w:bCs w:val="0"/>
            </w:rPr>
            <w:fldChar w:fldCharType="begin"/>
          </w:r>
          <w:r>
            <w:rPr>
              <w:rFonts w:hint="eastAsia" w:asciiTheme="majorEastAsia" w:hAnsiTheme="majorEastAsia" w:eastAsiaTheme="majorEastAsia" w:cstheme="majorEastAsia"/>
              <w:b w:val="0"/>
              <w:bCs w:val="0"/>
            </w:rPr>
            <w:instrText xml:space="preserve"> PAGEREF _Toc6115 \h </w:instrText>
          </w:r>
          <w:r>
            <w:rPr>
              <w:rFonts w:hint="eastAsia" w:asciiTheme="majorEastAsia" w:hAnsiTheme="majorEastAsia" w:eastAsiaTheme="majorEastAsia" w:cstheme="majorEastAsia"/>
              <w:b w:val="0"/>
              <w:bCs w:val="0"/>
            </w:rPr>
            <w:fldChar w:fldCharType="separate"/>
          </w:r>
          <w:r>
            <w:rPr>
              <w:rFonts w:hint="eastAsia" w:asciiTheme="majorEastAsia" w:hAnsiTheme="majorEastAsia" w:eastAsiaTheme="majorEastAsia" w:cstheme="majorEastAsia"/>
              <w:b w:val="0"/>
              <w:bCs w:val="0"/>
            </w:rPr>
            <w:t>1</w:t>
          </w:r>
          <w:r>
            <w:rPr>
              <w:rFonts w:hint="eastAsia" w:asciiTheme="majorEastAsia" w:hAnsiTheme="majorEastAsia" w:eastAsiaTheme="majorEastAsia" w:cstheme="majorEastAsia"/>
              <w:b w:val="0"/>
              <w:bCs w:val="0"/>
            </w:rPr>
            <w:fldChar w:fldCharType="end"/>
          </w:r>
          <w:r>
            <w:rPr>
              <w:rFonts w:hint="eastAsia" w:asciiTheme="majorEastAsia" w:hAnsiTheme="majorEastAsia" w:eastAsiaTheme="majorEastAsia" w:cstheme="majorEastAsia"/>
              <w:b w:val="0"/>
              <w:bCs w:val="0"/>
              <w:szCs w:val="21"/>
            </w:rPr>
            <w:fldChar w:fldCharType="end"/>
          </w:r>
        </w:p>
        <w:p w14:paraId="2F6920E4">
          <w:pPr>
            <w:pStyle w:val="16"/>
            <w:tabs>
              <w:tab w:val="right" w:leader="dot" w:pos="9354"/>
            </w:tabs>
            <w:rPr>
              <w:rFonts w:hint="eastAsia" w:asciiTheme="majorEastAsia" w:hAnsiTheme="majorEastAsia" w:eastAsiaTheme="majorEastAsia" w:cstheme="majorEastAsia"/>
              <w:b w:val="0"/>
              <w:bCs w:val="0"/>
            </w:rPr>
          </w:pPr>
          <w:r>
            <w:rPr>
              <w:rFonts w:hint="eastAsia" w:asciiTheme="majorEastAsia" w:hAnsiTheme="majorEastAsia" w:eastAsiaTheme="majorEastAsia" w:cstheme="majorEastAsia"/>
              <w:b w:val="0"/>
              <w:bCs w:val="0"/>
              <w:szCs w:val="21"/>
            </w:rPr>
            <w:fldChar w:fldCharType="begin"/>
          </w:r>
          <w:r>
            <w:rPr>
              <w:rFonts w:hint="eastAsia" w:asciiTheme="majorEastAsia" w:hAnsiTheme="majorEastAsia" w:eastAsiaTheme="majorEastAsia" w:cstheme="majorEastAsia"/>
              <w:b w:val="0"/>
              <w:bCs w:val="0"/>
              <w:szCs w:val="21"/>
            </w:rPr>
            <w:instrText xml:space="preserve"> HYPERLINK \l _Toc21869 </w:instrText>
          </w:r>
          <w:r>
            <w:rPr>
              <w:rFonts w:hint="eastAsia" w:asciiTheme="majorEastAsia" w:hAnsiTheme="majorEastAsia" w:eastAsiaTheme="majorEastAsia" w:cstheme="majorEastAsia"/>
              <w:b w:val="0"/>
              <w:bCs w:val="0"/>
              <w:szCs w:val="21"/>
            </w:rPr>
            <w:fldChar w:fldCharType="separate"/>
          </w:r>
          <w:r>
            <w:rPr>
              <w:rFonts w:hint="eastAsia" w:asciiTheme="majorEastAsia" w:hAnsiTheme="majorEastAsia" w:eastAsiaTheme="majorEastAsia" w:cstheme="majorEastAsia"/>
              <w:b w:val="0"/>
              <w:bCs w:val="0"/>
              <w:kern w:val="0"/>
              <w:szCs w:val="20"/>
            </w:rPr>
            <w:t>3</w:t>
          </w:r>
          <w:r>
            <w:rPr>
              <w:rFonts w:hint="eastAsia" w:asciiTheme="majorEastAsia" w:hAnsiTheme="majorEastAsia" w:eastAsiaTheme="majorEastAsia" w:cstheme="majorEastAsia"/>
              <w:b w:val="0"/>
              <w:bCs w:val="0"/>
              <w:kern w:val="0"/>
              <w:szCs w:val="20"/>
              <w:lang w:val="en-US" w:eastAsia="zh-CN"/>
            </w:rPr>
            <w:t xml:space="preserve">  </w:t>
          </w:r>
          <w:r>
            <w:rPr>
              <w:rFonts w:hint="eastAsia" w:asciiTheme="majorEastAsia" w:hAnsiTheme="majorEastAsia" w:eastAsiaTheme="majorEastAsia" w:cstheme="majorEastAsia"/>
              <w:b w:val="0"/>
              <w:bCs w:val="0"/>
              <w:kern w:val="0"/>
              <w:szCs w:val="20"/>
            </w:rPr>
            <w:t>术语和定义</w:t>
          </w:r>
          <w:r>
            <w:rPr>
              <w:rFonts w:hint="eastAsia" w:asciiTheme="majorEastAsia" w:hAnsiTheme="majorEastAsia" w:eastAsiaTheme="majorEastAsia" w:cstheme="majorEastAsia"/>
              <w:b w:val="0"/>
              <w:bCs w:val="0"/>
            </w:rPr>
            <w:tab/>
          </w:r>
          <w:r>
            <w:rPr>
              <w:rFonts w:hint="eastAsia" w:asciiTheme="majorEastAsia" w:hAnsiTheme="majorEastAsia" w:eastAsiaTheme="majorEastAsia" w:cstheme="majorEastAsia"/>
              <w:b w:val="0"/>
              <w:bCs w:val="0"/>
            </w:rPr>
            <w:fldChar w:fldCharType="begin"/>
          </w:r>
          <w:r>
            <w:rPr>
              <w:rFonts w:hint="eastAsia" w:asciiTheme="majorEastAsia" w:hAnsiTheme="majorEastAsia" w:eastAsiaTheme="majorEastAsia" w:cstheme="majorEastAsia"/>
              <w:b w:val="0"/>
              <w:bCs w:val="0"/>
            </w:rPr>
            <w:instrText xml:space="preserve"> PAGEREF _Toc21869 \h </w:instrText>
          </w:r>
          <w:r>
            <w:rPr>
              <w:rFonts w:hint="eastAsia" w:asciiTheme="majorEastAsia" w:hAnsiTheme="majorEastAsia" w:eastAsiaTheme="majorEastAsia" w:cstheme="majorEastAsia"/>
              <w:b w:val="0"/>
              <w:bCs w:val="0"/>
            </w:rPr>
            <w:fldChar w:fldCharType="separate"/>
          </w:r>
          <w:r>
            <w:rPr>
              <w:rFonts w:hint="eastAsia" w:asciiTheme="majorEastAsia" w:hAnsiTheme="majorEastAsia" w:eastAsiaTheme="majorEastAsia" w:cstheme="majorEastAsia"/>
              <w:b w:val="0"/>
              <w:bCs w:val="0"/>
            </w:rPr>
            <w:t>1</w:t>
          </w:r>
          <w:r>
            <w:rPr>
              <w:rFonts w:hint="eastAsia" w:asciiTheme="majorEastAsia" w:hAnsiTheme="majorEastAsia" w:eastAsiaTheme="majorEastAsia" w:cstheme="majorEastAsia"/>
              <w:b w:val="0"/>
              <w:bCs w:val="0"/>
            </w:rPr>
            <w:fldChar w:fldCharType="end"/>
          </w:r>
          <w:r>
            <w:rPr>
              <w:rFonts w:hint="eastAsia" w:asciiTheme="majorEastAsia" w:hAnsiTheme="majorEastAsia" w:eastAsiaTheme="majorEastAsia" w:cstheme="majorEastAsia"/>
              <w:b w:val="0"/>
              <w:bCs w:val="0"/>
              <w:szCs w:val="21"/>
            </w:rPr>
            <w:fldChar w:fldCharType="end"/>
          </w:r>
        </w:p>
        <w:p w14:paraId="0A4C9206">
          <w:pPr>
            <w:pStyle w:val="16"/>
            <w:tabs>
              <w:tab w:val="right" w:leader="dot" w:pos="9354"/>
            </w:tabs>
            <w:rPr>
              <w:rFonts w:hint="eastAsia" w:asciiTheme="majorEastAsia" w:hAnsiTheme="majorEastAsia" w:eastAsiaTheme="majorEastAsia" w:cstheme="majorEastAsia"/>
              <w:b w:val="0"/>
              <w:bCs w:val="0"/>
            </w:rPr>
          </w:pPr>
          <w:r>
            <w:rPr>
              <w:rFonts w:hint="eastAsia" w:asciiTheme="majorEastAsia" w:hAnsiTheme="majorEastAsia" w:eastAsiaTheme="majorEastAsia" w:cstheme="majorEastAsia"/>
              <w:b w:val="0"/>
              <w:bCs w:val="0"/>
              <w:szCs w:val="21"/>
            </w:rPr>
            <w:fldChar w:fldCharType="begin"/>
          </w:r>
          <w:r>
            <w:rPr>
              <w:rFonts w:hint="eastAsia" w:asciiTheme="majorEastAsia" w:hAnsiTheme="majorEastAsia" w:eastAsiaTheme="majorEastAsia" w:cstheme="majorEastAsia"/>
              <w:b w:val="0"/>
              <w:bCs w:val="0"/>
              <w:szCs w:val="21"/>
            </w:rPr>
            <w:instrText xml:space="preserve"> HYPERLINK \l _Toc28030 </w:instrText>
          </w:r>
          <w:r>
            <w:rPr>
              <w:rFonts w:hint="eastAsia" w:asciiTheme="majorEastAsia" w:hAnsiTheme="majorEastAsia" w:eastAsiaTheme="majorEastAsia" w:cstheme="majorEastAsia"/>
              <w:b w:val="0"/>
              <w:bCs w:val="0"/>
              <w:szCs w:val="21"/>
            </w:rPr>
            <w:fldChar w:fldCharType="separate"/>
          </w:r>
          <w:r>
            <w:rPr>
              <w:rFonts w:hint="eastAsia" w:asciiTheme="majorEastAsia" w:hAnsiTheme="majorEastAsia" w:eastAsiaTheme="majorEastAsia" w:cstheme="majorEastAsia"/>
              <w:b w:val="0"/>
              <w:bCs w:val="0"/>
              <w:kern w:val="0"/>
              <w:szCs w:val="20"/>
              <w:lang w:val="en-US" w:eastAsia="zh-CN"/>
            </w:rPr>
            <w:t>4  林地选择</w:t>
          </w:r>
          <w:r>
            <w:rPr>
              <w:rFonts w:hint="eastAsia" w:asciiTheme="majorEastAsia" w:hAnsiTheme="majorEastAsia" w:eastAsiaTheme="majorEastAsia" w:cstheme="majorEastAsia"/>
              <w:b w:val="0"/>
              <w:bCs w:val="0"/>
            </w:rPr>
            <w:tab/>
          </w:r>
          <w:r>
            <w:rPr>
              <w:rFonts w:hint="eastAsia" w:asciiTheme="majorEastAsia" w:hAnsiTheme="majorEastAsia" w:eastAsiaTheme="majorEastAsia" w:cstheme="majorEastAsia"/>
              <w:b w:val="0"/>
              <w:bCs w:val="0"/>
            </w:rPr>
            <w:fldChar w:fldCharType="begin"/>
          </w:r>
          <w:r>
            <w:rPr>
              <w:rFonts w:hint="eastAsia" w:asciiTheme="majorEastAsia" w:hAnsiTheme="majorEastAsia" w:eastAsiaTheme="majorEastAsia" w:cstheme="majorEastAsia"/>
              <w:b w:val="0"/>
              <w:bCs w:val="0"/>
            </w:rPr>
            <w:instrText xml:space="preserve"> PAGEREF _Toc28030 \h </w:instrText>
          </w:r>
          <w:r>
            <w:rPr>
              <w:rFonts w:hint="eastAsia" w:asciiTheme="majorEastAsia" w:hAnsiTheme="majorEastAsia" w:eastAsiaTheme="majorEastAsia" w:cstheme="majorEastAsia"/>
              <w:b w:val="0"/>
              <w:bCs w:val="0"/>
            </w:rPr>
            <w:fldChar w:fldCharType="separate"/>
          </w:r>
          <w:r>
            <w:rPr>
              <w:rFonts w:hint="eastAsia" w:asciiTheme="majorEastAsia" w:hAnsiTheme="majorEastAsia" w:eastAsiaTheme="majorEastAsia" w:cstheme="majorEastAsia"/>
              <w:b w:val="0"/>
              <w:bCs w:val="0"/>
            </w:rPr>
            <w:t>1</w:t>
          </w:r>
          <w:r>
            <w:rPr>
              <w:rFonts w:hint="eastAsia" w:asciiTheme="majorEastAsia" w:hAnsiTheme="majorEastAsia" w:eastAsiaTheme="majorEastAsia" w:cstheme="majorEastAsia"/>
              <w:b w:val="0"/>
              <w:bCs w:val="0"/>
            </w:rPr>
            <w:fldChar w:fldCharType="end"/>
          </w:r>
          <w:r>
            <w:rPr>
              <w:rFonts w:hint="eastAsia" w:asciiTheme="majorEastAsia" w:hAnsiTheme="majorEastAsia" w:eastAsiaTheme="majorEastAsia" w:cstheme="majorEastAsia"/>
              <w:b w:val="0"/>
              <w:bCs w:val="0"/>
              <w:szCs w:val="21"/>
            </w:rPr>
            <w:fldChar w:fldCharType="end"/>
          </w:r>
        </w:p>
        <w:p w14:paraId="5FAD0A89">
          <w:pPr>
            <w:pStyle w:val="16"/>
            <w:tabs>
              <w:tab w:val="right" w:leader="dot" w:pos="9354"/>
            </w:tabs>
            <w:rPr>
              <w:rFonts w:hint="eastAsia" w:asciiTheme="majorEastAsia" w:hAnsiTheme="majorEastAsia" w:eastAsiaTheme="majorEastAsia" w:cstheme="majorEastAsia"/>
              <w:b w:val="0"/>
              <w:bCs w:val="0"/>
            </w:rPr>
          </w:pPr>
          <w:r>
            <w:rPr>
              <w:rFonts w:hint="eastAsia" w:asciiTheme="majorEastAsia" w:hAnsiTheme="majorEastAsia" w:eastAsiaTheme="majorEastAsia" w:cstheme="majorEastAsia"/>
              <w:b w:val="0"/>
              <w:bCs w:val="0"/>
              <w:szCs w:val="21"/>
            </w:rPr>
            <w:fldChar w:fldCharType="begin"/>
          </w:r>
          <w:r>
            <w:rPr>
              <w:rFonts w:hint="eastAsia" w:asciiTheme="majorEastAsia" w:hAnsiTheme="majorEastAsia" w:eastAsiaTheme="majorEastAsia" w:cstheme="majorEastAsia"/>
              <w:b w:val="0"/>
              <w:bCs w:val="0"/>
              <w:szCs w:val="21"/>
            </w:rPr>
            <w:instrText xml:space="preserve"> HYPERLINK \l _Toc1390 </w:instrText>
          </w:r>
          <w:r>
            <w:rPr>
              <w:rFonts w:hint="eastAsia" w:asciiTheme="majorEastAsia" w:hAnsiTheme="majorEastAsia" w:eastAsiaTheme="majorEastAsia" w:cstheme="majorEastAsia"/>
              <w:b w:val="0"/>
              <w:bCs w:val="0"/>
              <w:szCs w:val="21"/>
            </w:rPr>
            <w:fldChar w:fldCharType="separate"/>
          </w:r>
          <w:r>
            <w:rPr>
              <w:rFonts w:hint="eastAsia" w:asciiTheme="majorEastAsia" w:hAnsiTheme="majorEastAsia" w:eastAsiaTheme="majorEastAsia" w:cstheme="majorEastAsia"/>
              <w:b w:val="0"/>
              <w:bCs w:val="0"/>
              <w:kern w:val="0"/>
              <w:szCs w:val="20"/>
              <w:lang w:val="en-US" w:eastAsia="zh-CN"/>
            </w:rPr>
            <w:t>5  林分调控</w:t>
          </w:r>
          <w:r>
            <w:rPr>
              <w:rFonts w:hint="eastAsia" w:asciiTheme="majorEastAsia" w:hAnsiTheme="majorEastAsia" w:eastAsiaTheme="majorEastAsia" w:cstheme="majorEastAsia"/>
              <w:b w:val="0"/>
              <w:bCs w:val="0"/>
            </w:rPr>
            <w:tab/>
          </w:r>
          <w:r>
            <w:rPr>
              <w:rFonts w:hint="eastAsia" w:asciiTheme="majorEastAsia" w:hAnsiTheme="majorEastAsia" w:eastAsiaTheme="majorEastAsia" w:cstheme="majorEastAsia"/>
              <w:b w:val="0"/>
              <w:bCs w:val="0"/>
            </w:rPr>
            <w:fldChar w:fldCharType="begin"/>
          </w:r>
          <w:r>
            <w:rPr>
              <w:rFonts w:hint="eastAsia" w:asciiTheme="majorEastAsia" w:hAnsiTheme="majorEastAsia" w:eastAsiaTheme="majorEastAsia" w:cstheme="majorEastAsia"/>
              <w:b w:val="0"/>
              <w:bCs w:val="0"/>
            </w:rPr>
            <w:instrText xml:space="preserve"> PAGEREF _Toc1390 \h </w:instrText>
          </w:r>
          <w:r>
            <w:rPr>
              <w:rFonts w:hint="eastAsia" w:asciiTheme="majorEastAsia" w:hAnsiTheme="majorEastAsia" w:eastAsiaTheme="majorEastAsia" w:cstheme="majorEastAsia"/>
              <w:b w:val="0"/>
              <w:bCs w:val="0"/>
            </w:rPr>
            <w:fldChar w:fldCharType="separate"/>
          </w:r>
          <w:r>
            <w:rPr>
              <w:rFonts w:hint="eastAsia" w:asciiTheme="majorEastAsia" w:hAnsiTheme="majorEastAsia" w:eastAsiaTheme="majorEastAsia" w:cstheme="majorEastAsia"/>
              <w:b w:val="0"/>
              <w:bCs w:val="0"/>
            </w:rPr>
            <w:t>1</w:t>
          </w:r>
          <w:r>
            <w:rPr>
              <w:rFonts w:hint="eastAsia" w:asciiTheme="majorEastAsia" w:hAnsiTheme="majorEastAsia" w:eastAsiaTheme="majorEastAsia" w:cstheme="majorEastAsia"/>
              <w:b w:val="0"/>
              <w:bCs w:val="0"/>
            </w:rPr>
            <w:fldChar w:fldCharType="end"/>
          </w:r>
          <w:r>
            <w:rPr>
              <w:rFonts w:hint="eastAsia" w:asciiTheme="majorEastAsia" w:hAnsiTheme="majorEastAsia" w:eastAsiaTheme="majorEastAsia" w:cstheme="majorEastAsia"/>
              <w:b w:val="0"/>
              <w:bCs w:val="0"/>
              <w:szCs w:val="21"/>
            </w:rPr>
            <w:fldChar w:fldCharType="end"/>
          </w:r>
        </w:p>
        <w:p w14:paraId="27319AB5">
          <w:pPr>
            <w:pStyle w:val="16"/>
            <w:tabs>
              <w:tab w:val="right" w:leader="dot" w:pos="9354"/>
            </w:tabs>
            <w:rPr>
              <w:rFonts w:hint="eastAsia" w:asciiTheme="majorEastAsia" w:hAnsiTheme="majorEastAsia" w:eastAsiaTheme="majorEastAsia" w:cstheme="majorEastAsia"/>
              <w:b w:val="0"/>
              <w:bCs w:val="0"/>
            </w:rPr>
          </w:pPr>
          <w:r>
            <w:rPr>
              <w:rFonts w:hint="eastAsia" w:asciiTheme="majorEastAsia" w:hAnsiTheme="majorEastAsia" w:eastAsiaTheme="majorEastAsia" w:cstheme="majorEastAsia"/>
              <w:b w:val="0"/>
              <w:bCs w:val="0"/>
              <w:szCs w:val="21"/>
            </w:rPr>
            <w:fldChar w:fldCharType="begin"/>
          </w:r>
          <w:r>
            <w:rPr>
              <w:rFonts w:hint="eastAsia" w:asciiTheme="majorEastAsia" w:hAnsiTheme="majorEastAsia" w:eastAsiaTheme="majorEastAsia" w:cstheme="majorEastAsia"/>
              <w:b w:val="0"/>
              <w:bCs w:val="0"/>
              <w:szCs w:val="21"/>
            </w:rPr>
            <w:instrText xml:space="preserve"> HYPERLINK \l _Toc26275 </w:instrText>
          </w:r>
          <w:r>
            <w:rPr>
              <w:rFonts w:hint="eastAsia" w:asciiTheme="majorEastAsia" w:hAnsiTheme="majorEastAsia" w:eastAsiaTheme="majorEastAsia" w:cstheme="majorEastAsia"/>
              <w:b w:val="0"/>
              <w:bCs w:val="0"/>
              <w:szCs w:val="21"/>
            </w:rPr>
            <w:fldChar w:fldCharType="separate"/>
          </w:r>
          <w:r>
            <w:rPr>
              <w:rFonts w:hint="eastAsia" w:asciiTheme="majorEastAsia" w:hAnsiTheme="majorEastAsia" w:eastAsiaTheme="majorEastAsia" w:cstheme="majorEastAsia"/>
              <w:b w:val="0"/>
              <w:bCs w:val="0"/>
              <w:kern w:val="0"/>
              <w:szCs w:val="20"/>
              <w:lang w:val="en-US" w:eastAsia="zh-CN"/>
            </w:rPr>
            <w:t>6  珍贵阔叶树配置</w:t>
          </w:r>
          <w:r>
            <w:rPr>
              <w:rFonts w:hint="eastAsia" w:asciiTheme="majorEastAsia" w:hAnsiTheme="majorEastAsia" w:eastAsiaTheme="majorEastAsia" w:cstheme="majorEastAsia"/>
              <w:b w:val="0"/>
              <w:bCs w:val="0"/>
            </w:rPr>
            <w:tab/>
          </w:r>
          <w:r>
            <w:rPr>
              <w:rFonts w:hint="eastAsia" w:asciiTheme="majorEastAsia" w:hAnsiTheme="majorEastAsia" w:eastAsiaTheme="majorEastAsia" w:cstheme="majorEastAsia"/>
              <w:b w:val="0"/>
              <w:bCs w:val="0"/>
            </w:rPr>
            <w:fldChar w:fldCharType="begin"/>
          </w:r>
          <w:r>
            <w:rPr>
              <w:rFonts w:hint="eastAsia" w:asciiTheme="majorEastAsia" w:hAnsiTheme="majorEastAsia" w:eastAsiaTheme="majorEastAsia" w:cstheme="majorEastAsia"/>
              <w:b w:val="0"/>
              <w:bCs w:val="0"/>
            </w:rPr>
            <w:instrText xml:space="preserve"> PAGEREF _Toc26275 \h </w:instrText>
          </w:r>
          <w:r>
            <w:rPr>
              <w:rFonts w:hint="eastAsia" w:asciiTheme="majorEastAsia" w:hAnsiTheme="majorEastAsia" w:eastAsiaTheme="majorEastAsia" w:cstheme="majorEastAsia"/>
              <w:b w:val="0"/>
              <w:bCs w:val="0"/>
            </w:rPr>
            <w:fldChar w:fldCharType="separate"/>
          </w:r>
          <w:r>
            <w:rPr>
              <w:rFonts w:hint="eastAsia" w:asciiTheme="majorEastAsia" w:hAnsiTheme="majorEastAsia" w:eastAsiaTheme="majorEastAsia" w:cstheme="majorEastAsia"/>
              <w:b w:val="0"/>
              <w:bCs w:val="0"/>
            </w:rPr>
            <w:t>2</w:t>
          </w:r>
          <w:r>
            <w:rPr>
              <w:rFonts w:hint="eastAsia" w:asciiTheme="majorEastAsia" w:hAnsiTheme="majorEastAsia" w:eastAsiaTheme="majorEastAsia" w:cstheme="majorEastAsia"/>
              <w:b w:val="0"/>
              <w:bCs w:val="0"/>
            </w:rPr>
            <w:fldChar w:fldCharType="end"/>
          </w:r>
          <w:r>
            <w:rPr>
              <w:rFonts w:hint="eastAsia" w:asciiTheme="majorEastAsia" w:hAnsiTheme="majorEastAsia" w:eastAsiaTheme="majorEastAsia" w:cstheme="majorEastAsia"/>
              <w:b w:val="0"/>
              <w:bCs w:val="0"/>
              <w:szCs w:val="21"/>
            </w:rPr>
            <w:fldChar w:fldCharType="end"/>
          </w:r>
        </w:p>
        <w:p w14:paraId="79F1D526">
          <w:pPr>
            <w:pStyle w:val="16"/>
            <w:tabs>
              <w:tab w:val="right" w:leader="dot" w:pos="9354"/>
            </w:tabs>
            <w:rPr>
              <w:rFonts w:hint="eastAsia" w:asciiTheme="majorEastAsia" w:hAnsiTheme="majorEastAsia" w:eastAsiaTheme="majorEastAsia" w:cstheme="majorEastAsia"/>
              <w:b w:val="0"/>
              <w:bCs w:val="0"/>
            </w:rPr>
          </w:pPr>
          <w:r>
            <w:rPr>
              <w:rFonts w:hint="eastAsia" w:asciiTheme="majorEastAsia" w:hAnsiTheme="majorEastAsia" w:eastAsiaTheme="majorEastAsia" w:cstheme="majorEastAsia"/>
              <w:b w:val="0"/>
              <w:bCs w:val="0"/>
              <w:szCs w:val="21"/>
            </w:rPr>
            <w:fldChar w:fldCharType="begin"/>
          </w:r>
          <w:r>
            <w:rPr>
              <w:rFonts w:hint="eastAsia" w:asciiTheme="majorEastAsia" w:hAnsiTheme="majorEastAsia" w:eastAsiaTheme="majorEastAsia" w:cstheme="majorEastAsia"/>
              <w:b w:val="0"/>
              <w:bCs w:val="0"/>
              <w:szCs w:val="21"/>
            </w:rPr>
            <w:instrText xml:space="preserve"> HYPERLINK \l _Toc11174 </w:instrText>
          </w:r>
          <w:r>
            <w:rPr>
              <w:rFonts w:hint="eastAsia" w:asciiTheme="majorEastAsia" w:hAnsiTheme="majorEastAsia" w:eastAsiaTheme="majorEastAsia" w:cstheme="majorEastAsia"/>
              <w:b w:val="0"/>
              <w:bCs w:val="0"/>
              <w:szCs w:val="21"/>
            </w:rPr>
            <w:fldChar w:fldCharType="separate"/>
          </w:r>
          <w:r>
            <w:rPr>
              <w:rFonts w:hint="eastAsia" w:asciiTheme="majorEastAsia" w:hAnsiTheme="majorEastAsia" w:eastAsiaTheme="majorEastAsia" w:cstheme="majorEastAsia"/>
              <w:b w:val="0"/>
              <w:bCs w:val="0"/>
              <w:kern w:val="0"/>
              <w:szCs w:val="20"/>
              <w:lang w:val="en-US" w:eastAsia="zh-CN"/>
            </w:rPr>
            <w:t>7  箭叶淫羊藿栽培与管理</w:t>
          </w:r>
          <w:r>
            <w:rPr>
              <w:rFonts w:hint="eastAsia" w:asciiTheme="majorEastAsia" w:hAnsiTheme="majorEastAsia" w:eastAsiaTheme="majorEastAsia" w:cstheme="majorEastAsia"/>
              <w:b w:val="0"/>
              <w:bCs w:val="0"/>
            </w:rPr>
            <w:tab/>
          </w:r>
          <w:r>
            <w:rPr>
              <w:rFonts w:hint="eastAsia" w:asciiTheme="majorEastAsia" w:hAnsiTheme="majorEastAsia" w:eastAsiaTheme="majorEastAsia" w:cstheme="majorEastAsia"/>
              <w:b w:val="0"/>
              <w:bCs w:val="0"/>
            </w:rPr>
            <w:fldChar w:fldCharType="begin"/>
          </w:r>
          <w:r>
            <w:rPr>
              <w:rFonts w:hint="eastAsia" w:asciiTheme="majorEastAsia" w:hAnsiTheme="majorEastAsia" w:eastAsiaTheme="majorEastAsia" w:cstheme="majorEastAsia"/>
              <w:b w:val="0"/>
              <w:bCs w:val="0"/>
            </w:rPr>
            <w:instrText xml:space="preserve"> PAGEREF _Toc11174 \h </w:instrText>
          </w:r>
          <w:r>
            <w:rPr>
              <w:rFonts w:hint="eastAsia" w:asciiTheme="majorEastAsia" w:hAnsiTheme="majorEastAsia" w:eastAsiaTheme="majorEastAsia" w:cstheme="majorEastAsia"/>
              <w:b w:val="0"/>
              <w:bCs w:val="0"/>
            </w:rPr>
            <w:fldChar w:fldCharType="separate"/>
          </w:r>
          <w:r>
            <w:rPr>
              <w:rFonts w:hint="eastAsia" w:asciiTheme="majorEastAsia" w:hAnsiTheme="majorEastAsia" w:eastAsiaTheme="majorEastAsia" w:cstheme="majorEastAsia"/>
              <w:b w:val="0"/>
              <w:bCs w:val="0"/>
            </w:rPr>
            <w:t>2</w:t>
          </w:r>
          <w:r>
            <w:rPr>
              <w:rFonts w:hint="eastAsia" w:asciiTheme="majorEastAsia" w:hAnsiTheme="majorEastAsia" w:eastAsiaTheme="majorEastAsia" w:cstheme="majorEastAsia"/>
              <w:b w:val="0"/>
              <w:bCs w:val="0"/>
            </w:rPr>
            <w:fldChar w:fldCharType="end"/>
          </w:r>
          <w:r>
            <w:rPr>
              <w:rFonts w:hint="eastAsia" w:asciiTheme="majorEastAsia" w:hAnsiTheme="majorEastAsia" w:eastAsiaTheme="majorEastAsia" w:cstheme="majorEastAsia"/>
              <w:b w:val="0"/>
              <w:bCs w:val="0"/>
              <w:szCs w:val="21"/>
            </w:rPr>
            <w:fldChar w:fldCharType="end"/>
          </w:r>
        </w:p>
        <w:p w14:paraId="21CFCB3F">
          <w:pPr>
            <w:pStyle w:val="16"/>
            <w:tabs>
              <w:tab w:val="right" w:leader="dot" w:pos="9354"/>
            </w:tabs>
            <w:rPr>
              <w:rFonts w:hint="eastAsia" w:asciiTheme="majorEastAsia" w:hAnsiTheme="majorEastAsia" w:eastAsiaTheme="majorEastAsia" w:cstheme="majorEastAsia"/>
              <w:b w:val="0"/>
              <w:bCs w:val="0"/>
            </w:rPr>
          </w:pPr>
          <w:r>
            <w:rPr>
              <w:rFonts w:hint="eastAsia" w:asciiTheme="majorEastAsia" w:hAnsiTheme="majorEastAsia" w:eastAsiaTheme="majorEastAsia" w:cstheme="majorEastAsia"/>
              <w:b w:val="0"/>
              <w:bCs w:val="0"/>
              <w:szCs w:val="21"/>
            </w:rPr>
            <w:fldChar w:fldCharType="begin"/>
          </w:r>
          <w:r>
            <w:rPr>
              <w:rFonts w:hint="eastAsia" w:asciiTheme="majorEastAsia" w:hAnsiTheme="majorEastAsia" w:eastAsiaTheme="majorEastAsia" w:cstheme="majorEastAsia"/>
              <w:b w:val="0"/>
              <w:bCs w:val="0"/>
              <w:szCs w:val="21"/>
            </w:rPr>
            <w:instrText xml:space="preserve"> HYPERLINK \l _Toc14250 </w:instrText>
          </w:r>
          <w:r>
            <w:rPr>
              <w:rFonts w:hint="eastAsia" w:asciiTheme="majorEastAsia" w:hAnsiTheme="majorEastAsia" w:eastAsiaTheme="majorEastAsia" w:cstheme="majorEastAsia"/>
              <w:b w:val="0"/>
              <w:bCs w:val="0"/>
              <w:szCs w:val="21"/>
            </w:rPr>
            <w:fldChar w:fldCharType="separate"/>
          </w:r>
          <w:r>
            <w:rPr>
              <w:rFonts w:hint="eastAsia" w:asciiTheme="majorEastAsia" w:hAnsiTheme="majorEastAsia" w:eastAsiaTheme="majorEastAsia" w:cstheme="majorEastAsia"/>
              <w:b w:val="0"/>
              <w:bCs w:val="0"/>
              <w:kern w:val="0"/>
              <w:szCs w:val="20"/>
              <w:lang w:val="en-US" w:eastAsia="zh-CN"/>
            </w:rPr>
            <w:t>8  采收与贮藏</w:t>
          </w:r>
          <w:r>
            <w:rPr>
              <w:rFonts w:hint="eastAsia" w:asciiTheme="majorEastAsia" w:hAnsiTheme="majorEastAsia" w:eastAsiaTheme="majorEastAsia" w:cstheme="majorEastAsia"/>
              <w:b w:val="0"/>
              <w:bCs w:val="0"/>
            </w:rPr>
            <w:tab/>
          </w:r>
          <w:r>
            <w:rPr>
              <w:rFonts w:hint="eastAsia" w:asciiTheme="majorEastAsia" w:hAnsiTheme="majorEastAsia" w:eastAsiaTheme="majorEastAsia" w:cstheme="majorEastAsia"/>
              <w:b w:val="0"/>
              <w:bCs w:val="0"/>
            </w:rPr>
            <w:fldChar w:fldCharType="begin"/>
          </w:r>
          <w:r>
            <w:rPr>
              <w:rFonts w:hint="eastAsia" w:asciiTheme="majorEastAsia" w:hAnsiTheme="majorEastAsia" w:eastAsiaTheme="majorEastAsia" w:cstheme="majorEastAsia"/>
              <w:b w:val="0"/>
              <w:bCs w:val="0"/>
            </w:rPr>
            <w:instrText xml:space="preserve"> PAGEREF _Toc14250 \h </w:instrText>
          </w:r>
          <w:r>
            <w:rPr>
              <w:rFonts w:hint="eastAsia" w:asciiTheme="majorEastAsia" w:hAnsiTheme="majorEastAsia" w:eastAsiaTheme="majorEastAsia" w:cstheme="majorEastAsia"/>
              <w:b w:val="0"/>
              <w:bCs w:val="0"/>
            </w:rPr>
            <w:fldChar w:fldCharType="separate"/>
          </w:r>
          <w:r>
            <w:rPr>
              <w:rFonts w:hint="eastAsia" w:asciiTheme="majorEastAsia" w:hAnsiTheme="majorEastAsia" w:eastAsiaTheme="majorEastAsia" w:cstheme="majorEastAsia"/>
              <w:b w:val="0"/>
              <w:bCs w:val="0"/>
            </w:rPr>
            <w:t>3</w:t>
          </w:r>
          <w:r>
            <w:rPr>
              <w:rFonts w:hint="eastAsia" w:asciiTheme="majorEastAsia" w:hAnsiTheme="majorEastAsia" w:eastAsiaTheme="majorEastAsia" w:cstheme="majorEastAsia"/>
              <w:b w:val="0"/>
              <w:bCs w:val="0"/>
            </w:rPr>
            <w:fldChar w:fldCharType="end"/>
          </w:r>
          <w:r>
            <w:rPr>
              <w:rFonts w:hint="eastAsia" w:asciiTheme="majorEastAsia" w:hAnsiTheme="majorEastAsia" w:eastAsiaTheme="majorEastAsia" w:cstheme="majorEastAsia"/>
              <w:b w:val="0"/>
              <w:bCs w:val="0"/>
              <w:szCs w:val="21"/>
            </w:rPr>
            <w:fldChar w:fldCharType="end"/>
          </w:r>
        </w:p>
        <w:p w14:paraId="446A9B3D">
          <w:pPr>
            <w:pStyle w:val="16"/>
            <w:tabs>
              <w:tab w:val="right" w:leader="dot" w:pos="9354"/>
            </w:tabs>
            <w:rPr>
              <w:rFonts w:hint="eastAsia" w:asciiTheme="majorEastAsia" w:hAnsiTheme="majorEastAsia" w:eastAsiaTheme="majorEastAsia" w:cstheme="majorEastAsia"/>
              <w:b w:val="0"/>
              <w:bCs w:val="0"/>
            </w:rPr>
          </w:pPr>
          <w:r>
            <w:rPr>
              <w:rFonts w:hint="eastAsia" w:asciiTheme="majorEastAsia" w:hAnsiTheme="majorEastAsia" w:eastAsiaTheme="majorEastAsia" w:cstheme="majorEastAsia"/>
              <w:b w:val="0"/>
              <w:bCs w:val="0"/>
              <w:szCs w:val="21"/>
            </w:rPr>
            <w:fldChar w:fldCharType="begin"/>
          </w:r>
          <w:r>
            <w:rPr>
              <w:rFonts w:hint="eastAsia" w:asciiTheme="majorEastAsia" w:hAnsiTheme="majorEastAsia" w:eastAsiaTheme="majorEastAsia" w:cstheme="majorEastAsia"/>
              <w:b w:val="0"/>
              <w:bCs w:val="0"/>
              <w:szCs w:val="21"/>
            </w:rPr>
            <w:instrText xml:space="preserve"> HYPERLINK \l _Toc930 </w:instrText>
          </w:r>
          <w:r>
            <w:rPr>
              <w:rFonts w:hint="eastAsia" w:asciiTheme="majorEastAsia" w:hAnsiTheme="majorEastAsia" w:eastAsiaTheme="majorEastAsia" w:cstheme="majorEastAsia"/>
              <w:b w:val="0"/>
              <w:bCs w:val="0"/>
              <w:szCs w:val="21"/>
            </w:rPr>
            <w:fldChar w:fldCharType="separate"/>
          </w:r>
          <w:r>
            <w:rPr>
              <w:rFonts w:hint="eastAsia" w:asciiTheme="majorEastAsia" w:hAnsiTheme="majorEastAsia" w:eastAsiaTheme="majorEastAsia" w:cstheme="majorEastAsia"/>
              <w:b w:val="0"/>
              <w:bCs w:val="0"/>
              <w:kern w:val="0"/>
              <w:szCs w:val="20"/>
              <w:lang w:val="en-US" w:eastAsia="zh-CN"/>
            </w:rPr>
            <w:t>9  档案管理与追溯</w:t>
          </w:r>
          <w:r>
            <w:rPr>
              <w:rFonts w:hint="eastAsia" w:asciiTheme="majorEastAsia" w:hAnsiTheme="majorEastAsia" w:eastAsiaTheme="majorEastAsia" w:cstheme="majorEastAsia"/>
              <w:b w:val="0"/>
              <w:bCs w:val="0"/>
            </w:rPr>
            <w:tab/>
          </w:r>
          <w:r>
            <w:rPr>
              <w:rFonts w:hint="eastAsia" w:asciiTheme="majorEastAsia" w:hAnsiTheme="majorEastAsia" w:eastAsiaTheme="majorEastAsia" w:cstheme="majorEastAsia"/>
              <w:b w:val="0"/>
              <w:bCs w:val="0"/>
            </w:rPr>
            <w:fldChar w:fldCharType="begin"/>
          </w:r>
          <w:r>
            <w:rPr>
              <w:rFonts w:hint="eastAsia" w:asciiTheme="majorEastAsia" w:hAnsiTheme="majorEastAsia" w:eastAsiaTheme="majorEastAsia" w:cstheme="majorEastAsia"/>
              <w:b w:val="0"/>
              <w:bCs w:val="0"/>
            </w:rPr>
            <w:instrText xml:space="preserve"> PAGEREF _Toc930 \h </w:instrText>
          </w:r>
          <w:r>
            <w:rPr>
              <w:rFonts w:hint="eastAsia" w:asciiTheme="majorEastAsia" w:hAnsiTheme="majorEastAsia" w:eastAsiaTheme="majorEastAsia" w:cstheme="majorEastAsia"/>
              <w:b w:val="0"/>
              <w:bCs w:val="0"/>
            </w:rPr>
            <w:fldChar w:fldCharType="separate"/>
          </w:r>
          <w:r>
            <w:rPr>
              <w:rFonts w:hint="eastAsia" w:asciiTheme="majorEastAsia" w:hAnsiTheme="majorEastAsia" w:eastAsiaTheme="majorEastAsia" w:cstheme="majorEastAsia"/>
              <w:b w:val="0"/>
              <w:bCs w:val="0"/>
            </w:rPr>
            <w:t>3</w:t>
          </w:r>
          <w:r>
            <w:rPr>
              <w:rFonts w:hint="eastAsia" w:asciiTheme="majorEastAsia" w:hAnsiTheme="majorEastAsia" w:eastAsiaTheme="majorEastAsia" w:cstheme="majorEastAsia"/>
              <w:b w:val="0"/>
              <w:bCs w:val="0"/>
            </w:rPr>
            <w:fldChar w:fldCharType="end"/>
          </w:r>
          <w:r>
            <w:rPr>
              <w:rFonts w:hint="eastAsia" w:asciiTheme="majorEastAsia" w:hAnsiTheme="majorEastAsia" w:eastAsiaTheme="majorEastAsia" w:cstheme="majorEastAsia"/>
              <w:b w:val="0"/>
              <w:bCs w:val="0"/>
              <w:szCs w:val="21"/>
            </w:rPr>
            <w:fldChar w:fldCharType="end"/>
          </w:r>
        </w:p>
        <w:p w14:paraId="409F1B03">
          <w:pPr>
            <w:jc w:val="left"/>
            <w:outlineLvl w:val="0"/>
            <w:rPr>
              <w:rFonts w:ascii="宋体" w:hAnsi="宋体" w:eastAsia="宋体" w:cstheme="minorBidi"/>
              <w:kern w:val="2"/>
              <w:sz w:val="21"/>
              <w:szCs w:val="21"/>
              <w:lang w:val="en-US" w:eastAsia="zh-CN" w:bidi="ar-SA"/>
            </w:rPr>
          </w:pPr>
          <w:r>
            <w:rPr>
              <w:rFonts w:ascii="宋体" w:hAnsi="宋体" w:eastAsia="宋体"/>
              <w:szCs w:val="21"/>
            </w:rPr>
            <w:fldChar w:fldCharType="end"/>
          </w:r>
        </w:p>
      </w:sdtContent>
    </w:sdt>
    <w:p w14:paraId="76261086">
      <w:pPr>
        <w:jc w:val="left"/>
        <w:outlineLvl w:val="0"/>
        <w:rPr>
          <w:rFonts w:ascii="宋体" w:hAnsi="宋体" w:eastAsia="宋体" w:cstheme="minorBidi"/>
          <w:kern w:val="2"/>
          <w:sz w:val="21"/>
          <w:szCs w:val="21"/>
          <w:lang w:val="en-US" w:eastAsia="zh-CN" w:bidi="ar-SA"/>
        </w:rPr>
      </w:pPr>
    </w:p>
    <w:p w14:paraId="10C81FB8">
      <w:pPr>
        <w:jc w:val="left"/>
        <w:rPr>
          <w:rFonts w:ascii="宋体" w:hAnsi="宋体" w:eastAsia="宋体"/>
          <w:szCs w:val="21"/>
        </w:rPr>
      </w:pPr>
    </w:p>
    <w:p w14:paraId="4537637C">
      <w:pPr>
        <w:jc w:val="left"/>
        <w:rPr>
          <w:rFonts w:ascii="宋体" w:hAnsi="宋体" w:eastAsia="宋体"/>
          <w:szCs w:val="21"/>
        </w:rPr>
      </w:pPr>
    </w:p>
    <w:p w14:paraId="3EAC7552">
      <w:pPr>
        <w:keepNext/>
        <w:pageBreakBefore/>
        <w:widowControl/>
        <w:shd w:val="clear" w:color="FFFFFF" w:fill="FFFFFF"/>
        <w:spacing w:before="640" w:after="560"/>
        <w:jc w:val="center"/>
        <w:outlineLvl w:val="0"/>
        <w:rPr>
          <w:rFonts w:ascii="Times New Roman" w:hAnsi="Times New Roman" w:eastAsia="黑体" w:cs="Times New Roman"/>
          <w:kern w:val="0"/>
          <w:sz w:val="32"/>
        </w:rPr>
      </w:pPr>
      <w:bookmarkStart w:id="3" w:name="_Toc123923793"/>
      <w:bookmarkStart w:id="4" w:name="_Toc14629"/>
      <w:r>
        <w:rPr>
          <w:rFonts w:hint="eastAsia" w:ascii="Times New Roman" w:hAnsi="Times New Roman" w:eastAsia="黑体" w:cs="Times New Roman"/>
          <w:kern w:val="0"/>
          <w:sz w:val="32"/>
        </w:rPr>
        <w:t>前</w:t>
      </w:r>
      <w:bookmarkStart w:id="5" w:name="BKQY"/>
      <w:r>
        <w:rPr>
          <w:rFonts w:hint="eastAsia" w:ascii="Times New Roman" w:hAnsi="Times New Roman" w:eastAsia="黑体" w:cs="Times New Roman"/>
          <w:kern w:val="0"/>
          <w:sz w:val="32"/>
        </w:rPr>
        <w:t xml:space="preserve">    言</w:t>
      </w:r>
      <w:bookmarkEnd w:id="3"/>
      <w:bookmarkEnd w:id="4"/>
      <w:bookmarkEnd w:id="5"/>
    </w:p>
    <w:p w14:paraId="2B203C6B">
      <w:pPr>
        <w:widowControl/>
        <w:tabs>
          <w:tab w:val="center" w:pos="4201"/>
          <w:tab w:val="right" w:leader="dot" w:pos="9298"/>
        </w:tabs>
        <w:autoSpaceDE w:val="0"/>
        <w:autoSpaceDN w:val="0"/>
        <w:adjustRightInd w:val="0"/>
        <w:snapToGrid w:val="0"/>
        <w:ind w:firstLine="420" w:firstLineChars="200"/>
        <w:rPr>
          <w:rFonts w:ascii="宋体" w:hAnsi="Times New Roman" w:eastAsia="宋体" w:cs="Times New Roman"/>
          <w:kern w:val="0"/>
          <w:szCs w:val="24"/>
        </w:rPr>
      </w:pPr>
      <w:r>
        <w:rPr>
          <w:rFonts w:hint="eastAsia" w:ascii="宋体" w:hAnsi="Times New Roman" w:eastAsia="宋体" w:cs="Times New Roman"/>
          <w:kern w:val="0"/>
          <w:szCs w:val="24"/>
        </w:rPr>
        <w:t>本文件按照 GB/T 1.1-2020《标准化工作导则</w:t>
      </w:r>
      <w:r>
        <w:rPr>
          <w:rFonts w:hint="eastAsia" w:ascii="宋体" w:hAnsi="Times New Roman" w:eastAsia="宋体" w:cs="Times New Roman"/>
          <w:kern w:val="0"/>
          <w:szCs w:val="24"/>
        </w:rPr>
        <w:tab/>
      </w:r>
      <w:r>
        <w:rPr>
          <w:rFonts w:ascii="宋体" w:hAnsi="Times New Roman" w:eastAsia="宋体" w:cs="Times New Roman"/>
          <w:kern w:val="0"/>
          <w:szCs w:val="24"/>
        </w:rPr>
        <w:t xml:space="preserve"> </w:t>
      </w:r>
      <w:r>
        <w:rPr>
          <w:rFonts w:hint="eastAsia" w:ascii="宋体" w:hAnsi="Times New Roman" w:eastAsia="宋体" w:cs="Times New Roman"/>
          <w:kern w:val="0"/>
          <w:szCs w:val="24"/>
        </w:rPr>
        <w:t>第1部分：标准化文件的结构和起草规则》的规定起草。</w:t>
      </w:r>
    </w:p>
    <w:p w14:paraId="0C1C503E">
      <w:pPr>
        <w:widowControl/>
        <w:tabs>
          <w:tab w:val="center" w:pos="4201"/>
          <w:tab w:val="right" w:leader="dot" w:pos="9298"/>
        </w:tabs>
        <w:autoSpaceDE w:val="0"/>
        <w:autoSpaceDN w:val="0"/>
        <w:adjustRightInd w:val="0"/>
        <w:snapToGrid w:val="0"/>
        <w:ind w:firstLine="420" w:firstLineChars="200"/>
        <w:rPr>
          <w:rFonts w:ascii="宋体" w:hAnsi="Times New Roman" w:eastAsia="宋体" w:cs="Times New Roman"/>
          <w:kern w:val="0"/>
          <w:szCs w:val="24"/>
        </w:rPr>
      </w:pPr>
      <w:r>
        <w:rPr>
          <w:rFonts w:hint="eastAsia" w:ascii="宋体" w:hAnsi="宋体" w:eastAsia="宋体" w:cs="Times New Roman"/>
          <w:bCs/>
          <w:szCs w:val="21"/>
        </w:rPr>
        <w:t>请注意本文件的某些内容可能涉及专利。本文件的发布机构不承担识别专利的责任。</w:t>
      </w:r>
    </w:p>
    <w:p w14:paraId="5B109879">
      <w:pPr>
        <w:widowControl/>
        <w:tabs>
          <w:tab w:val="center" w:pos="4201"/>
          <w:tab w:val="right" w:leader="dot" w:pos="9298"/>
        </w:tabs>
        <w:autoSpaceDE w:val="0"/>
        <w:autoSpaceDN w:val="0"/>
        <w:adjustRightInd w:val="0"/>
        <w:snapToGrid w:val="0"/>
        <w:ind w:firstLine="420" w:firstLineChars="200"/>
        <w:rPr>
          <w:rFonts w:ascii="宋体" w:hAnsi="Times New Roman" w:eastAsia="宋体" w:cs="Times New Roman"/>
          <w:kern w:val="0"/>
          <w:szCs w:val="24"/>
        </w:rPr>
      </w:pPr>
      <w:r>
        <w:rPr>
          <w:rFonts w:hint="eastAsia" w:ascii="宋体" w:hAnsi="Times New Roman" w:eastAsia="宋体" w:cs="Times New Roman"/>
          <w:kern w:val="0"/>
          <w:szCs w:val="24"/>
        </w:rPr>
        <w:t>本文件由中国林学会</w:t>
      </w:r>
      <w:r>
        <w:rPr>
          <w:rFonts w:hint="eastAsia" w:ascii="宋体" w:hAnsi="Times New Roman" w:eastAsia="宋体" w:cs="Times New Roman"/>
          <w:kern w:val="0"/>
          <w:szCs w:val="24"/>
          <w:lang w:eastAsia="zh-CN"/>
        </w:rPr>
        <w:t>提出并</w:t>
      </w:r>
      <w:r>
        <w:rPr>
          <w:rFonts w:hint="eastAsia" w:ascii="宋体" w:hAnsi="Times New Roman" w:eastAsia="宋体" w:cs="Times New Roman"/>
          <w:kern w:val="0"/>
          <w:szCs w:val="24"/>
        </w:rPr>
        <w:t>归口。</w:t>
      </w:r>
    </w:p>
    <w:p w14:paraId="2E6515B1">
      <w:pPr>
        <w:widowControl/>
        <w:tabs>
          <w:tab w:val="center" w:pos="4201"/>
          <w:tab w:val="right" w:leader="dot" w:pos="9298"/>
        </w:tabs>
        <w:autoSpaceDE w:val="0"/>
        <w:autoSpaceDN w:val="0"/>
        <w:adjustRightInd w:val="0"/>
        <w:snapToGrid w:val="0"/>
        <w:ind w:firstLine="420" w:firstLineChars="200"/>
        <w:rPr>
          <w:rFonts w:ascii="宋体" w:hAnsi="宋体" w:eastAsia="宋体" w:cs="Times New Roman"/>
          <w:szCs w:val="20"/>
        </w:rPr>
      </w:pPr>
      <w:r>
        <w:rPr>
          <w:rFonts w:hint="eastAsia" w:ascii="宋体" w:hAnsi="Times New Roman" w:eastAsia="宋体" w:cs="Times New Roman"/>
          <w:kern w:val="0"/>
          <w:szCs w:val="20"/>
        </w:rPr>
        <w:t>本文件起草单位：</w:t>
      </w:r>
      <w:r>
        <w:rPr>
          <w:rFonts w:hint="eastAsia" w:ascii="宋体" w:hAnsi="Times New Roman" w:eastAsia="宋体" w:cs="宋体"/>
          <w:kern w:val="0"/>
          <w:szCs w:val="20"/>
          <w:lang w:val="en-US" w:eastAsia="zh-CN"/>
        </w:rPr>
        <w:t>中国林业科学研究院、中国林业科学研究院经济林研究所、中国林业科学研究院亚热带林业实验中心、中国林业科学研究院林业科技信息研究所、广西壮族自治区林业科学研究院、湖南省林业科学院、湖南环境生物职业技术学院、广西润德林业科技有限公司、贵州金川实业有限公司</w:t>
      </w:r>
      <w:r>
        <w:rPr>
          <w:rFonts w:hint="eastAsia" w:ascii="宋体" w:hAnsi="Times New Roman" w:eastAsia="宋体" w:cs="宋体"/>
          <w:kern w:val="0"/>
          <w:szCs w:val="20"/>
        </w:rPr>
        <w:t>。</w:t>
      </w:r>
    </w:p>
    <w:p w14:paraId="32105E57">
      <w:pPr>
        <w:adjustRightInd w:val="0"/>
        <w:snapToGrid w:val="0"/>
        <w:rPr>
          <w:rFonts w:ascii="Times New Roman" w:hAnsi="Times New Roman" w:eastAsia="宋体" w:cs="Times New Roman"/>
          <w:szCs w:val="24"/>
        </w:rPr>
      </w:pPr>
      <w:r>
        <w:rPr>
          <w:rFonts w:hint="eastAsia" w:ascii="Times New Roman" w:hAnsi="Times New Roman" w:eastAsia="宋体" w:cs="Times New Roman"/>
          <w:szCs w:val="24"/>
        </w:rPr>
        <w:t xml:space="preserve">    本文件主要起草人：</w:t>
      </w:r>
      <w:r>
        <w:rPr>
          <w:rFonts w:hint="eastAsia" w:ascii="Times New Roman" w:hAnsi="Times New Roman" w:eastAsia="宋体" w:cs="Times New Roman"/>
          <w:szCs w:val="24"/>
          <w:lang w:val="en-US" w:eastAsia="zh-CN"/>
        </w:rPr>
        <w:t>陈幸良、刁松锋、杨开太、李峰卿、窦亚权、廖德志、梁忠厚、杜任荣、刘凯、赵麟萱、杨文娟</w:t>
      </w:r>
      <w:r>
        <w:rPr>
          <w:rFonts w:hint="eastAsia" w:ascii="Times New Roman" w:hAnsi="Times New Roman" w:eastAsia="宋体" w:cs="Times New Roman"/>
          <w:szCs w:val="24"/>
        </w:rPr>
        <w:t>。</w:t>
      </w:r>
    </w:p>
    <w:p w14:paraId="4232BE44">
      <w:pPr>
        <w:rPr>
          <w:rFonts w:ascii="Times New Roman" w:hAnsi="Times New Roman" w:eastAsia="宋体" w:cs="Times New Roman"/>
          <w:szCs w:val="24"/>
        </w:rPr>
      </w:pPr>
    </w:p>
    <w:p w14:paraId="1A60033F">
      <w:pPr>
        <w:rPr>
          <w:rFonts w:ascii="宋体" w:hAnsi="宋体" w:eastAsia="宋体"/>
          <w:szCs w:val="21"/>
        </w:rPr>
        <w:sectPr>
          <w:headerReference r:id="rId9" w:type="first"/>
          <w:footerReference r:id="rId10" w:type="first"/>
          <w:pgSz w:w="11906" w:h="16838"/>
          <w:pgMar w:top="567" w:right="1134" w:bottom="1134" w:left="1418" w:header="1417" w:footer="1134" w:gutter="0"/>
          <w:pgNumType w:fmt="upperRoman" w:start="1"/>
          <w:cols w:space="425" w:num="1"/>
          <w:titlePg/>
          <w:docGrid w:type="lines" w:linePitch="312" w:charSpace="0"/>
        </w:sectPr>
      </w:pPr>
    </w:p>
    <w:p w14:paraId="2390CE9D">
      <w:pPr>
        <w:pStyle w:val="32"/>
        <w:ind w:firstLine="0" w:firstLineChars="0"/>
        <w:jc w:val="center"/>
        <w:rPr>
          <w:rFonts w:ascii="Times New Roman" w:hAnsi="Times New Roman" w:eastAsia="黑体" w:cs="Times New Roman"/>
          <w:sz w:val="32"/>
          <w:szCs w:val="32"/>
        </w:rPr>
      </w:pPr>
      <w:r>
        <w:rPr>
          <w:rFonts w:ascii="Times New Roman" w:hAnsi="Times New Roman" w:eastAsia="黑体" w:cs="Times New Roman"/>
          <w:sz w:val="32"/>
          <w:szCs w:val="32"/>
        </w:rPr>
        <mc:AlternateContent>
          <mc:Choice Requires="wps">
            <w:drawing>
              <wp:anchor distT="0" distB="0" distL="114300" distR="114300" simplePos="0" relativeHeight="251667456" behindDoc="0" locked="0" layoutInCell="1" allowOverlap="1">
                <wp:simplePos x="0" y="0"/>
                <wp:positionH relativeFrom="column">
                  <wp:posOffset>1388110</wp:posOffset>
                </wp:positionH>
                <wp:positionV relativeFrom="paragraph">
                  <wp:posOffset>9328785</wp:posOffset>
                </wp:positionV>
                <wp:extent cx="5250180" cy="544195"/>
                <wp:effectExtent l="0" t="0" r="7620" b="4445"/>
                <wp:wrapNone/>
                <wp:docPr id="21" name="文本框 21"/>
                <wp:cNvGraphicFramePr/>
                <a:graphic xmlns:a="http://schemas.openxmlformats.org/drawingml/2006/main">
                  <a:graphicData uri="http://schemas.microsoft.com/office/word/2010/wordprocessingShape">
                    <wps:wsp>
                      <wps:cNvSpPr txBox="1">
                        <a:spLocks noChangeArrowheads="1"/>
                      </wps:cNvSpPr>
                      <wps:spPr bwMode="auto">
                        <a:xfrm>
                          <a:off x="0" y="0"/>
                          <a:ext cx="5250180" cy="544195"/>
                        </a:xfrm>
                        <a:prstGeom prst="rect">
                          <a:avLst/>
                        </a:prstGeom>
                        <a:solidFill>
                          <a:srgbClr val="FFFFFF"/>
                        </a:solidFill>
                        <a:ln>
                          <a:noFill/>
                        </a:ln>
                        <a:effectLst/>
                      </wps:spPr>
                      <wps:txbx>
                        <w:txbxContent>
                          <w:p w14:paraId="38C4F923">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78F688AC">
                            <w:pPr>
                              <w:jc w:val="center"/>
                              <w:rPr>
                                <w:sz w:val="2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09.3pt;margin-top:734.55pt;height:42.85pt;width:413.4pt;z-index:251667456;mso-width-relative:page;mso-height-relative:page;" fillcolor="#FFFFFF" filled="t" stroked="f" coordsize="21600,21600" o:gfxdata="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jPbgq9sAAAAOAQAADwAAAAAAAAABACAAAAAiAAAAZHJzL2Rvd25yZXYu&#10;eG1sUEsBAhQAFAAAAAgAh07iQCTGLhAxAgAATgQAAA4AAAAAAAAAAQAgAAAAKgEAAGRycy9lMm9E&#10;b2MueG1sUEsFBgAAAAAGAAYAWQEAAM0FAAAAAA==&#10;">
                <v:fill on="t" focussize="0,0"/>
                <v:stroke on="f"/>
                <v:imagedata o:title=""/>
                <o:lock v:ext="edit" aspectratio="f"/>
                <v:textbox>
                  <w:txbxContent>
                    <w:p w14:paraId="38C4F923">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78F688AC">
                      <w:pPr>
                        <w:jc w:val="center"/>
                        <w:rPr>
                          <w:sz w:val="28"/>
                        </w:rPr>
                      </w:pPr>
                    </w:p>
                  </w:txbxContent>
                </v:textbox>
              </v:shape>
            </w:pict>
          </mc:Fallback>
        </mc:AlternateContent>
      </w:r>
      <w:r>
        <w:rPr>
          <w:rFonts w:ascii="Times New Roman" w:hAnsi="Times New Roman" w:eastAsia="黑体" w:cs="Times New Roman"/>
          <w:sz w:val="32"/>
          <w:szCs w:val="32"/>
        </w:rPr>
        <mc:AlternateContent>
          <mc:Choice Requires="wps">
            <w:drawing>
              <wp:anchor distT="0" distB="0" distL="114300" distR="114300" simplePos="0" relativeHeight="251666432" behindDoc="0" locked="0" layoutInCell="1" allowOverlap="1">
                <wp:simplePos x="0" y="0"/>
                <wp:positionH relativeFrom="column">
                  <wp:posOffset>1388110</wp:posOffset>
                </wp:positionH>
                <wp:positionV relativeFrom="paragraph">
                  <wp:posOffset>9328785</wp:posOffset>
                </wp:positionV>
                <wp:extent cx="5250180" cy="544195"/>
                <wp:effectExtent l="0" t="0" r="7620" b="4445"/>
                <wp:wrapNone/>
                <wp:docPr id="20" name="文本框 20"/>
                <wp:cNvGraphicFramePr/>
                <a:graphic xmlns:a="http://schemas.openxmlformats.org/drawingml/2006/main">
                  <a:graphicData uri="http://schemas.microsoft.com/office/word/2010/wordprocessingShape">
                    <wps:wsp>
                      <wps:cNvSpPr txBox="1">
                        <a:spLocks noChangeArrowheads="1"/>
                      </wps:cNvSpPr>
                      <wps:spPr bwMode="auto">
                        <a:xfrm>
                          <a:off x="0" y="0"/>
                          <a:ext cx="5250180" cy="544195"/>
                        </a:xfrm>
                        <a:prstGeom prst="rect">
                          <a:avLst/>
                        </a:prstGeom>
                        <a:solidFill>
                          <a:srgbClr val="FFFFFF"/>
                        </a:solidFill>
                        <a:ln>
                          <a:noFill/>
                        </a:ln>
                        <a:effectLst/>
                      </wps:spPr>
                      <wps:txbx>
                        <w:txbxContent>
                          <w:p w14:paraId="394083D8">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1537D038">
                            <w:pPr>
                              <w:jc w:val="center"/>
                              <w:rPr>
                                <w:sz w:val="2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09.3pt;margin-top:734.55pt;height:42.85pt;width:413.4pt;z-index:251666432;mso-width-relative:page;mso-height-relative:page;" fillcolor="#FFFFFF" filled="t" stroked="f" coordsize="21600,21600" o:gfxdata="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jPbgq9sAAAAOAQAADwAAAAAAAAABACAAAAAiAAAAZHJzL2Rvd25yZXYu&#10;eG1sUEsBAhQAFAAAAAgAh07iQD5Q2ocxAgAATgQAAA4AAAAAAAAAAQAgAAAAKgEAAGRycy9lMm9E&#10;b2MueG1sUEsFBgAAAAAGAAYAWQEAAM0FAAAAAA==&#10;">
                <v:fill on="t" focussize="0,0"/>
                <v:stroke on="f"/>
                <v:imagedata o:title=""/>
                <o:lock v:ext="edit" aspectratio="f"/>
                <v:textbox>
                  <w:txbxContent>
                    <w:p w14:paraId="394083D8">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1537D038">
                      <w:pPr>
                        <w:jc w:val="center"/>
                        <w:rPr>
                          <w:sz w:val="28"/>
                        </w:rPr>
                      </w:pPr>
                    </w:p>
                  </w:txbxContent>
                </v:textbox>
              </v:shape>
            </w:pict>
          </mc:Fallback>
        </mc:AlternateContent>
      </w:r>
      <w:r>
        <w:rPr>
          <w:rFonts w:ascii="Times New Roman" w:hAnsi="Times New Roman" w:eastAsia="黑体" w:cs="Times New Roman"/>
          <w:sz w:val="32"/>
          <w:szCs w:val="32"/>
        </w:rPr>
        <mc:AlternateContent>
          <mc:Choice Requires="wps">
            <w:drawing>
              <wp:anchor distT="0" distB="0" distL="114300" distR="114300" simplePos="0" relativeHeight="251665408" behindDoc="0" locked="0" layoutInCell="1" allowOverlap="1">
                <wp:simplePos x="0" y="0"/>
                <wp:positionH relativeFrom="column">
                  <wp:posOffset>1388110</wp:posOffset>
                </wp:positionH>
                <wp:positionV relativeFrom="paragraph">
                  <wp:posOffset>9328785</wp:posOffset>
                </wp:positionV>
                <wp:extent cx="5250180" cy="544195"/>
                <wp:effectExtent l="0" t="0" r="7620" b="4445"/>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5250180" cy="544195"/>
                        </a:xfrm>
                        <a:prstGeom prst="rect">
                          <a:avLst/>
                        </a:prstGeom>
                        <a:solidFill>
                          <a:srgbClr val="FFFFFF"/>
                        </a:solidFill>
                        <a:ln>
                          <a:noFill/>
                        </a:ln>
                        <a:effectLst/>
                      </wps:spPr>
                      <wps:txbx>
                        <w:txbxContent>
                          <w:p w14:paraId="001A694F">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08069C31">
                            <w:pPr>
                              <w:jc w:val="center"/>
                              <w:rPr>
                                <w:sz w:val="2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09.3pt;margin-top:734.55pt;height:42.85pt;width:413.4pt;z-index:251665408;mso-width-relative:page;mso-height-relative:page;" fillcolor="#FFFFFF" filled="t" stroked="f" coordsize="21600,21600" o:gfxdata="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M9uCr2wAAAA4BAAAPAAAAAAAAAAEAIAAAACIAAABkcnMvZG93bnJldi54&#10;bWxQSwECFAAUAAAACACHTuJAUdZAzTACAABOBAAADgAAAAAAAAABACAAAAAqAQAAZHJzL2Uyb0Rv&#10;Yy54bWxQSwUGAAAAAAYABgBZAQAAzAUAAAAA&#10;">
                <v:fill on="t" focussize="0,0"/>
                <v:stroke on="f"/>
                <v:imagedata o:title=""/>
                <o:lock v:ext="edit" aspectratio="f"/>
                <v:textbox>
                  <w:txbxContent>
                    <w:p w14:paraId="001A694F">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08069C31">
                      <w:pPr>
                        <w:jc w:val="center"/>
                        <w:rPr>
                          <w:sz w:val="28"/>
                        </w:rPr>
                      </w:pPr>
                    </w:p>
                  </w:txbxContent>
                </v:textbox>
              </v:shape>
            </w:pict>
          </mc:Fallback>
        </mc:AlternateContent>
      </w:r>
      <w:r>
        <w:rPr>
          <w:rFonts w:ascii="Times New Roman" w:hAnsi="Times New Roman" w:eastAsia="黑体" w:cs="Times New Roman"/>
          <w:sz w:val="32"/>
          <w:szCs w:val="32"/>
        </w:rPr>
        <mc:AlternateContent>
          <mc:Choice Requires="wps">
            <w:drawing>
              <wp:anchor distT="0" distB="0" distL="114300" distR="114300" simplePos="0" relativeHeight="251664384" behindDoc="0" locked="0" layoutInCell="1" allowOverlap="1">
                <wp:simplePos x="0" y="0"/>
                <wp:positionH relativeFrom="column">
                  <wp:posOffset>1388110</wp:posOffset>
                </wp:positionH>
                <wp:positionV relativeFrom="paragraph">
                  <wp:posOffset>9328785</wp:posOffset>
                </wp:positionV>
                <wp:extent cx="5250180" cy="544195"/>
                <wp:effectExtent l="0" t="0" r="7620" b="4445"/>
                <wp:wrapNone/>
                <wp:docPr id="10"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5250180" cy="544195"/>
                        </a:xfrm>
                        <a:prstGeom prst="rect">
                          <a:avLst/>
                        </a:prstGeom>
                        <a:solidFill>
                          <a:srgbClr val="FFFFFF"/>
                        </a:solidFill>
                        <a:ln>
                          <a:noFill/>
                        </a:ln>
                        <a:effectLst/>
                      </wps:spPr>
                      <wps:txbx>
                        <w:txbxContent>
                          <w:p w14:paraId="24B9C6EB">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452A5D3E">
                            <w:pPr>
                              <w:jc w:val="center"/>
                              <w:rPr>
                                <w:sz w:val="2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09.3pt;margin-top:734.55pt;height:42.85pt;width:413.4pt;z-index:251664384;mso-width-relative:page;mso-height-relative:page;" fillcolor="#FFFFFF" filled="t" stroked="f" coordsize="21600,21600" o:gfxdata="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M9uCr2wAAAA4BAAAPAAAAAAAAAAEAIAAAACIAAABkcnMvZG93bnJldi54&#10;bWxQSwECFAAUAAAACACHTuJAS0C0WjACAABOBAAADgAAAAAAAAABACAAAAAqAQAAZHJzL2Uyb0Rv&#10;Yy54bWxQSwUGAAAAAAYABgBZAQAAzAUAAAAA&#10;">
                <v:fill on="t" focussize="0,0"/>
                <v:stroke on="f"/>
                <v:imagedata o:title=""/>
                <o:lock v:ext="edit" aspectratio="f"/>
                <v:textbox>
                  <w:txbxContent>
                    <w:p w14:paraId="24B9C6EB">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452A5D3E">
                      <w:pPr>
                        <w:jc w:val="center"/>
                        <w:rPr>
                          <w:sz w:val="28"/>
                        </w:rPr>
                      </w:pPr>
                    </w:p>
                  </w:txbxContent>
                </v:textbox>
              </v:shape>
            </w:pict>
          </mc:Fallback>
        </mc:AlternateContent>
      </w:r>
      <w:bookmarkEnd w:id="0"/>
      <w:r>
        <w:rPr>
          <w:rFonts w:hint="eastAsia" w:ascii="Times New Roman" w:hAnsi="Times New Roman" w:eastAsia="黑体" w:cs="Times New Roman"/>
          <w:sz w:val="32"/>
          <w:szCs w:val="32"/>
        </w:rPr>
        <w:t>标准名称</w:t>
      </w:r>
    </w:p>
    <w:p w14:paraId="2758A695">
      <w:pPr>
        <w:widowControl/>
        <w:spacing w:beforeLines="100" w:afterLines="100"/>
        <w:outlineLvl w:val="0"/>
        <w:rPr>
          <w:rFonts w:ascii="黑体" w:hAnsi="Times New Roman" w:eastAsia="黑体" w:cs="Times New Roman"/>
          <w:kern w:val="0"/>
          <w:szCs w:val="20"/>
        </w:rPr>
      </w:pPr>
      <w:bookmarkStart w:id="6" w:name="_Toc27991496"/>
      <w:bookmarkStart w:id="7" w:name="_Toc25676336"/>
      <w:bookmarkStart w:id="8" w:name="_Toc27991564"/>
      <w:bookmarkStart w:id="9" w:name="_Toc2911"/>
      <w:bookmarkStart w:id="10" w:name="_Toc27577375"/>
      <w:bookmarkStart w:id="11" w:name="_Toc123923795"/>
      <w:bookmarkStart w:id="12" w:name="_Toc27577306"/>
      <w:bookmarkStart w:id="13" w:name="_Toc28157015"/>
      <w:r>
        <w:rPr>
          <w:rFonts w:hint="eastAsia" w:ascii="黑体" w:hAnsi="Times New Roman" w:eastAsia="黑体" w:cs="Times New Roman"/>
          <w:kern w:val="0"/>
          <w:szCs w:val="20"/>
        </w:rPr>
        <w:t>1范围</w:t>
      </w:r>
      <w:bookmarkEnd w:id="6"/>
      <w:bookmarkEnd w:id="7"/>
      <w:bookmarkEnd w:id="8"/>
      <w:bookmarkEnd w:id="9"/>
      <w:bookmarkEnd w:id="10"/>
      <w:bookmarkEnd w:id="11"/>
      <w:bookmarkEnd w:id="12"/>
      <w:bookmarkEnd w:id="13"/>
    </w:p>
    <w:p w14:paraId="498A2314">
      <w:pPr>
        <w:adjustRightInd w:val="0"/>
        <w:snapToGrid w:val="0"/>
        <w:ind w:firstLine="420" w:firstLineChars="200"/>
        <w:rPr>
          <w:rFonts w:hint="eastAsia" w:ascii="宋体" w:hAnsi="Times New Roman" w:eastAsia="宋体" w:cs="Times New Roman"/>
          <w:kern w:val="0"/>
          <w:szCs w:val="20"/>
        </w:rPr>
      </w:pPr>
      <w:r>
        <w:rPr>
          <w:rFonts w:hint="eastAsia" w:ascii="宋体" w:hAnsi="Times New Roman" w:eastAsia="宋体" w:cs="Times New Roman"/>
          <w:kern w:val="0"/>
          <w:szCs w:val="20"/>
        </w:rPr>
        <w:t>本文件规定了杉木林下箭叶淫羊藿</w:t>
      </w:r>
      <w:r>
        <w:rPr>
          <w:rFonts w:hint="eastAsia" w:ascii="宋体" w:hAnsi="Times New Roman" w:eastAsia="宋体" w:cs="Times New Roman"/>
          <w:kern w:val="0"/>
          <w:szCs w:val="20"/>
          <w:lang w:eastAsia="zh-CN"/>
        </w:rPr>
        <w:t>—</w:t>
      </w:r>
      <w:r>
        <w:rPr>
          <w:rFonts w:hint="eastAsia" w:ascii="宋体" w:hAnsi="Times New Roman" w:eastAsia="宋体" w:cs="Times New Roman"/>
          <w:kern w:val="0"/>
          <w:szCs w:val="20"/>
        </w:rPr>
        <w:t>珍贵阔叶树复合经营的</w:t>
      </w:r>
      <w:r>
        <w:rPr>
          <w:rFonts w:hint="eastAsia" w:ascii="宋体" w:hAnsi="Times New Roman" w:eastAsia="宋体" w:cs="Times New Roman"/>
          <w:kern w:val="0"/>
          <w:szCs w:val="20"/>
          <w:lang w:val="en-US" w:eastAsia="zh-CN"/>
        </w:rPr>
        <w:t>术语和定义、林地</w:t>
      </w:r>
      <w:r>
        <w:rPr>
          <w:rFonts w:hint="eastAsia" w:ascii="宋体" w:hAnsi="Times New Roman" w:eastAsia="宋体" w:cs="Times New Roman"/>
          <w:kern w:val="0"/>
          <w:szCs w:val="20"/>
        </w:rPr>
        <w:t>选择、林分调控、</w:t>
      </w:r>
      <w:r>
        <w:rPr>
          <w:rFonts w:hint="eastAsia" w:ascii="宋体" w:hAnsi="Times New Roman" w:eastAsia="宋体" w:cs="Times New Roman"/>
          <w:kern w:val="0"/>
          <w:szCs w:val="20"/>
          <w:lang w:val="en-US" w:eastAsia="zh-CN"/>
        </w:rPr>
        <w:t>种植与混交</w:t>
      </w:r>
      <w:r>
        <w:rPr>
          <w:rFonts w:hint="eastAsia" w:ascii="宋体" w:hAnsi="Times New Roman" w:eastAsia="宋体" w:cs="Times New Roman"/>
          <w:kern w:val="0"/>
          <w:szCs w:val="20"/>
        </w:rPr>
        <w:t>配置、</w:t>
      </w:r>
      <w:r>
        <w:rPr>
          <w:rFonts w:hint="eastAsia" w:ascii="宋体" w:hAnsi="Times New Roman" w:eastAsia="宋体" w:cs="Times New Roman"/>
          <w:kern w:val="0"/>
          <w:szCs w:val="20"/>
          <w:lang w:val="en-US" w:eastAsia="zh-CN"/>
        </w:rPr>
        <w:t>有害生物防治</w:t>
      </w:r>
      <w:r>
        <w:rPr>
          <w:rFonts w:hint="eastAsia" w:ascii="宋体" w:hAnsi="Times New Roman" w:eastAsia="宋体" w:cs="Times New Roman"/>
          <w:kern w:val="0"/>
          <w:szCs w:val="20"/>
        </w:rPr>
        <w:t>、采收与</w:t>
      </w:r>
      <w:r>
        <w:rPr>
          <w:rFonts w:hint="eastAsia" w:ascii="宋体" w:hAnsi="Times New Roman" w:eastAsia="宋体" w:cs="Times New Roman"/>
          <w:kern w:val="0"/>
          <w:szCs w:val="20"/>
          <w:lang w:val="en-US" w:eastAsia="zh-CN"/>
        </w:rPr>
        <w:t>初加工</w:t>
      </w:r>
      <w:r>
        <w:rPr>
          <w:rFonts w:hint="eastAsia" w:ascii="宋体" w:hAnsi="Times New Roman" w:eastAsia="宋体" w:cs="Times New Roman"/>
          <w:kern w:val="0"/>
          <w:szCs w:val="20"/>
        </w:rPr>
        <w:t>等技术要求</w:t>
      </w:r>
      <w:r>
        <w:rPr>
          <w:rFonts w:hint="eastAsia" w:ascii="宋体" w:hAnsi="Times New Roman" w:eastAsia="宋体" w:cs="Times New Roman"/>
          <w:kern w:val="0"/>
          <w:szCs w:val="20"/>
          <w:lang w:eastAsia="zh-CN"/>
        </w:rPr>
        <w:t>，</w:t>
      </w:r>
      <w:r>
        <w:rPr>
          <w:rFonts w:hint="eastAsia" w:ascii="宋体" w:hAnsi="Times New Roman" w:eastAsia="宋体" w:cs="Times New Roman"/>
          <w:kern w:val="0"/>
          <w:szCs w:val="20"/>
          <w:lang w:val="en-US" w:eastAsia="zh-CN"/>
        </w:rPr>
        <w:t>以及配套的</w:t>
      </w:r>
      <w:r>
        <w:rPr>
          <w:rFonts w:hint="eastAsia" w:ascii="宋体" w:hAnsi="Times New Roman" w:eastAsia="宋体" w:cs="Times New Roman"/>
          <w:kern w:val="0"/>
          <w:szCs w:val="20"/>
        </w:rPr>
        <w:t>档案管理</w:t>
      </w:r>
      <w:r>
        <w:rPr>
          <w:rFonts w:hint="eastAsia" w:ascii="宋体" w:hAnsi="Times New Roman" w:eastAsia="宋体" w:cs="Times New Roman"/>
          <w:kern w:val="0"/>
          <w:szCs w:val="20"/>
          <w:lang w:val="en-US" w:eastAsia="zh-CN"/>
        </w:rPr>
        <w:t>与追溯</w:t>
      </w:r>
      <w:r>
        <w:rPr>
          <w:rFonts w:hint="eastAsia" w:ascii="宋体" w:hAnsi="Times New Roman" w:eastAsia="宋体" w:cs="Times New Roman"/>
          <w:kern w:val="0"/>
          <w:szCs w:val="20"/>
        </w:rPr>
        <w:t>。</w:t>
      </w:r>
    </w:p>
    <w:p w14:paraId="02A18E6D">
      <w:pPr>
        <w:adjustRightInd w:val="0"/>
        <w:snapToGrid w:val="0"/>
        <w:ind w:firstLine="420" w:firstLineChars="200"/>
        <w:rPr>
          <w:rFonts w:hint="eastAsia" w:ascii="宋体" w:hAnsi="Times New Roman" w:eastAsia="宋体" w:cs="Times New Roman"/>
          <w:kern w:val="0"/>
          <w:szCs w:val="20"/>
        </w:rPr>
      </w:pPr>
      <w:r>
        <w:rPr>
          <w:rFonts w:hint="eastAsia" w:ascii="宋体" w:hAnsi="Times New Roman" w:eastAsia="宋体" w:cs="Times New Roman"/>
          <w:kern w:val="0"/>
          <w:szCs w:val="20"/>
        </w:rPr>
        <w:t>本文件适用于</w:t>
      </w:r>
      <w:r>
        <w:rPr>
          <w:rFonts w:hint="eastAsia" w:ascii="宋体" w:hAnsi="Times New Roman" w:eastAsia="宋体" w:cs="Times New Roman"/>
          <w:kern w:val="0"/>
          <w:szCs w:val="20"/>
          <w:lang w:val="en-US" w:eastAsia="zh-CN"/>
        </w:rPr>
        <w:t>亚热带</w:t>
      </w:r>
      <w:r>
        <w:rPr>
          <w:rFonts w:hint="eastAsia" w:ascii="宋体" w:hAnsi="Times New Roman" w:eastAsia="宋体" w:cs="Times New Roman"/>
          <w:kern w:val="0"/>
          <w:szCs w:val="20"/>
        </w:rPr>
        <w:t>范围内，以杉木为上层林木，在其林下套种箭叶淫羊藿并混交珍贵阔叶树的复合经营</w:t>
      </w:r>
      <w:r>
        <w:rPr>
          <w:rFonts w:hint="eastAsia" w:ascii="宋体" w:hAnsi="Times New Roman" w:eastAsia="宋体" w:cs="Times New Roman"/>
          <w:kern w:val="0"/>
          <w:szCs w:val="20"/>
          <w:lang w:val="en-US" w:eastAsia="zh-CN"/>
        </w:rPr>
        <w:t>模式</w:t>
      </w:r>
      <w:r>
        <w:rPr>
          <w:rFonts w:hint="eastAsia" w:ascii="宋体" w:hAnsi="Times New Roman" w:eastAsia="宋体" w:cs="Times New Roman"/>
          <w:kern w:val="0"/>
          <w:szCs w:val="20"/>
        </w:rPr>
        <w:t>。其他气候条件相近区域的杉木林下复合经营可参照执行。</w:t>
      </w:r>
    </w:p>
    <w:p w14:paraId="1096FF4F">
      <w:pPr>
        <w:widowControl/>
        <w:spacing w:beforeLines="100" w:afterLines="100"/>
        <w:outlineLvl w:val="0"/>
        <w:rPr>
          <w:rFonts w:ascii="黑体" w:hAnsi="Times New Roman" w:eastAsia="黑体" w:cs="Times New Roman"/>
          <w:kern w:val="0"/>
          <w:szCs w:val="20"/>
        </w:rPr>
      </w:pPr>
      <w:bookmarkStart w:id="14" w:name="_Toc25676337"/>
      <w:bookmarkStart w:id="15" w:name="_Toc6115"/>
      <w:bookmarkStart w:id="16" w:name="_Toc27577307"/>
      <w:bookmarkStart w:id="17" w:name="_Toc123923796"/>
      <w:bookmarkStart w:id="18" w:name="_Toc28157016"/>
      <w:bookmarkStart w:id="19" w:name="_Toc27991565"/>
      <w:bookmarkStart w:id="20" w:name="_Toc27577376"/>
      <w:bookmarkStart w:id="21" w:name="_Toc27991497"/>
      <w:r>
        <w:rPr>
          <w:rFonts w:hint="eastAsia" w:ascii="黑体" w:hAnsi="Times New Roman" w:eastAsia="黑体" w:cs="Times New Roman"/>
          <w:kern w:val="0"/>
          <w:szCs w:val="20"/>
        </w:rPr>
        <w:t>2规范性引用文件</w:t>
      </w:r>
      <w:bookmarkEnd w:id="14"/>
      <w:bookmarkEnd w:id="15"/>
      <w:bookmarkEnd w:id="16"/>
      <w:bookmarkEnd w:id="17"/>
      <w:bookmarkEnd w:id="18"/>
      <w:bookmarkEnd w:id="19"/>
      <w:bookmarkEnd w:id="20"/>
      <w:bookmarkEnd w:id="21"/>
    </w:p>
    <w:p w14:paraId="691C8D84">
      <w:pPr>
        <w:widowControl/>
        <w:tabs>
          <w:tab w:val="center" w:pos="4201"/>
          <w:tab w:val="right" w:leader="dot" w:pos="9298"/>
        </w:tabs>
        <w:autoSpaceDE w:val="0"/>
        <w:autoSpaceDN w:val="0"/>
        <w:ind w:firstLine="420" w:firstLineChars="200"/>
        <w:rPr>
          <w:rFonts w:ascii="宋体" w:hAnsi="Times New Roman" w:eastAsia="宋体" w:cs="Times New Roman"/>
          <w:kern w:val="0"/>
          <w:szCs w:val="24"/>
        </w:rPr>
      </w:pPr>
      <w:r>
        <w:rPr>
          <w:rFonts w:hint="eastAsia" w:ascii="宋体" w:hAnsi="Times New Roman" w:eastAsia="宋体" w:cs="Times New Roman"/>
          <w:kern w:val="0"/>
          <w:szCs w:val="24"/>
        </w:rPr>
        <w:t xml:space="preserve">下列文件中的内容通过文中的规范性引用而构成本文件必不可少的条款。其中，注日期的引用文件，仅该日期对应的版本适用于本文件；不注日期的引用文件，其最新版本（包括所有的修改单）适用于本文件。 </w:t>
      </w:r>
    </w:p>
    <w:p w14:paraId="0B36CC38">
      <w:pPr>
        <w:adjustRightInd w:val="0"/>
        <w:snapToGrid w:val="0"/>
        <w:ind w:firstLine="420" w:firstLineChars="200"/>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rPr>
        <w:t>GB 3095—2026</w:t>
      </w:r>
      <w:r>
        <w:rPr>
          <w:rFonts w:hint="eastAsia" w:ascii="宋体" w:hAnsi="Times New Roman" w:eastAsia="宋体" w:cs="Times New Roman"/>
          <w:kern w:val="0"/>
          <w:szCs w:val="20"/>
          <w:lang w:val="en-US" w:eastAsia="zh-CN"/>
        </w:rPr>
        <w:t xml:space="preserve">  </w:t>
      </w:r>
      <w:r>
        <w:rPr>
          <w:rFonts w:hint="eastAsia" w:ascii="宋体" w:hAnsi="Times New Roman" w:eastAsia="宋体" w:cs="Times New Roman"/>
          <w:kern w:val="0"/>
          <w:szCs w:val="20"/>
        </w:rPr>
        <w:t>环境空气质量标准</w:t>
      </w:r>
    </w:p>
    <w:p w14:paraId="6D97B587">
      <w:pPr>
        <w:adjustRightInd w:val="0"/>
        <w:snapToGrid w:val="0"/>
        <w:ind w:firstLine="420" w:firstLineChars="200"/>
        <w:rPr>
          <w:rFonts w:hint="eastAsia" w:ascii="宋体" w:hAnsi="Times New Roman" w:eastAsia="宋体" w:cs="Times New Roman"/>
          <w:kern w:val="0"/>
          <w:szCs w:val="20"/>
        </w:rPr>
      </w:pPr>
      <w:r>
        <w:rPr>
          <w:rFonts w:hint="eastAsia" w:ascii="宋体" w:hAnsi="Times New Roman" w:eastAsia="宋体" w:cs="Times New Roman"/>
          <w:kern w:val="0"/>
          <w:szCs w:val="20"/>
        </w:rPr>
        <w:t>GB/T 8321.10-2018　农药合理使用准则​</w:t>
      </w:r>
    </w:p>
    <w:p w14:paraId="30DA7149">
      <w:pPr>
        <w:adjustRightInd w:val="0"/>
        <w:snapToGrid w:val="0"/>
        <w:ind w:firstLine="420" w:firstLineChars="200"/>
        <w:rPr>
          <w:rFonts w:hint="eastAsia" w:ascii="宋体" w:hAnsi="Times New Roman" w:eastAsia="宋体" w:cs="Times New Roman"/>
          <w:kern w:val="0"/>
          <w:szCs w:val="20"/>
        </w:rPr>
      </w:pPr>
      <w:r>
        <w:rPr>
          <w:rFonts w:hint="eastAsia" w:ascii="宋体" w:hAnsi="Times New Roman" w:eastAsia="宋体" w:cs="Times New Roman"/>
          <w:kern w:val="0"/>
          <w:szCs w:val="20"/>
        </w:rPr>
        <w:t>GB/T 15776</w:t>
      </w:r>
      <w:r>
        <w:rPr>
          <w:rFonts w:hint="eastAsia" w:ascii="宋体" w:hAnsi="Times New Roman" w:eastAsia="宋体" w:cs="Times New Roman"/>
          <w:kern w:val="0"/>
          <w:szCs w:val="20"/>
          <w:lang w:val="en-US" w:eastAsia="zh-CN"/>
        </w:rPr>
        <w:t>-2023</w:t>
      </w:r>
      <w:r>
        <w:rPr>
          <w:rFonts w:hint="eastAsia" w:ascii="宋体" w:hAnsi="Times New Roman" w:eastAsia="宋体" w:cs="Times New Roman"/>
          <w:kern w:val="0"/>
          <w:szCs w:val="20"/>
        </w:rPr>
        <w:t>　造林技术规程​</w:t>
      </w:r>
    </w:p>
    <w:p w14:paraId="7DF14586">
      <w:pPr>
        <w:adjustRightInd w:val="0"/>
        <w:snapToGrid w:val="0"/>
        <w:ind w:firstLine="420" w:firstLineChars="200"/>
        <w:rPr>
          <w:rFonts w:hint="eastAsia" w:ascii="宋体" w:hAnsi="Times New Roman" w:eastAsia="宋体" w:cs="Times New Roman"/>
          <w:kern w:val="0"/>
          <w:szCs w:val="20"/>
        </w:rPr>
      </w:pPr>
      <w:r>
        <w:rPr>
          <w:rFonts w:hint="eastAsia" w:ascii="宋体" w:hAnsi="Times New Roman" w:eastAsia="宋体" w:cs="Times New Roman"/>
          <w:kern w:val="0"/>
          <w:szCs w:val="20"/>
        </w:rPr>
        <w:t>GB/T 15781</w:t>
      </w:r>
      <w:r>
        <w:rPr>
          <w:rFonts w:hint="eastAsia" w:ascii="宋体" w:hAnsi="Times New Roman" w:eastAsia="宋体" w:cs="Times New Roman"/>
          <w:kern w:val="0"/>
          <w:szCs w:val="20"/>
          <w:lang w:val="en-US" w:eastAsia="zh-CN"/>
        </w:rPr>
        <w:t>-2015</w:t>
      </w:r>
      <w:r>
        <w:rPr>
          <w:rFonts w:hint="eastAsia" w:ascii="宋体" w:hAnsi="Times New Roman" w:eastAsia="宋体" w:cs="Times New Roman"/>
          <w:kern w:val="0"/>
          <w:szCs w:val="20"/>
        </w:rPr>
        <w:t>　森林抚育规程​</w:t>
      </w:r>
    </w:p>
    <w:p w14:paraId="29C8DE1B">
      <w:pPr>
        <w:adjustRightInd w:val="0"/>
        <w:snapToGrid w:val="0"/>
        <w:ind w:firstLine="420" w:firstLineChars="200"/>
        <w:rPr>
          <w:rFonts w:hint="eastAsia" w:ascii="宋体" w:hAnsi="Times New Roman" w:eastAsia="宋体" w:cs="Times New Roman"/>
          <w:kern w:val="0"/>
          <w:szCs w:val="20"/>
        </w:rPr>
      </w:pPr>
      <w:r>
        <w:rPr>
          <w:rFonts w:hint="eastAsia" w:ascii="宋体" w:hAnsi="Times New Roman" w:eastAsia="宋体" w:cs="Times New Roman"/>
          <w:kern w:val="0"/>
          <w:szCs w:val="20"/>
        </w:rPr>
        <w:t>GB/T 26424</w:t>
      </w:r>
      <w:r>
        <w:rPr>
          <w:rFonts w:hint="eastAsia" w:ascii="宋体" w:hAnsi="Times New Roman" w:eastAsia="宋体" w:cs="Times New Roman"/>
          <w:kern w:val="0"/>
          <w:szCs w:val="20"/>
          <w:lang w:val="en-US" w:eastAsia="zh-CN"/>
        </w:rPr>
        <w:t>-2010</w:t>
      </w:r>
      <w:r>
        <w:rPr>
          <w:rFonts w:hint="eastAsia" w:ascii="宋体" w:hAnsi="Times New Roman" w:eastAsia="宋体" w:cs="Times New Roman"/>
          <w:kern w:val="0"/>
          <w:szCs w:val="20"/>
        </w:rPr>
        <w:t>　森林资源规划设计调查技术规程​</w:t>
      </w:r>
    </w:p>
    <w:p w14:paraId="370B0DAA">
      <w:pPr>
        <w:adjustRightInd w:val="0"/>
        <w:snapToGrid w:val="0"/>
        <w:ind w:firstLine="420" w:firstLineChars="200"/>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rPr>
        <w:t>GB 15618</w:t>
      </w:r>
      <w:r>
        <w:rPr>
          <w:rFonts w:hint="eastAsia" w:ascii="宋体" w:hAnsi="Times New Roman" w:eastAsia="宋体" w:cs="Times New Roman"/>
          <w:kern w:val="0"/>
          <w:szCs w:val="20"/>
          <w:lang w:val="en-US" w:eastAsia="zh-CN"/>
        </w:rPr>
        <w:t>-2018</w:t>
      </w:r>
      <w:r>
        <w:rPr>
          <w:rFonts w:hint="eastAsia" w:ascii="宋体" w:hAnsi="Times New Roman" w:eastAsia="宋体" w:cs="Times New Roman"/>
          <w:kern w:val="0"/>
          <w:szCs w:val="20"/>
        </w:rPr>
        <w:t>　土壤环境质量 农用地土壤污染风险管控标准（试行）</w:t>
      </w:r>
    </w:p>
    <w:p w14:paraId="62FE1100">
      <w:pPr>
        <w:adjustRightInd w:val="0"/>
        <w:snapToGrid w:val="0"/>
        <w:ind w:firstLine="420" w:firstLineChars="200"/>
        <w:rPr>
          <w:rFonts w:hint="eastAsia" w:ascii="宋体" w:hAnsi="Times New Roman" w:eastAsia="宋体" w:cs="Times New Roman"/>
          <w:kern w:val="0"/>
          <w:szCs w:val="20"/>
        </w:rPr>
      </w:pPr>
      <w:r>
        <w:rPr>
          <w:rFonts w:hint="eastAsia" w:ascii="宋体" w:hAnsi="Times New Roman" w:eastAsia="宋体" w:cs="Times New Roman"/>
          <w:kern w:val="0"/>
          <w:szCs w:val="20"/>
        </w:rPr>
        <w:t>LY/T 1646</w:t>
      </w:r>
      <w:r>
        <w:rPr>
          <w:rFonts w:hint="eastAsia" w:ascii="宋体" w:hAnsi="Times New Roman" w:eastAsia="宋体" w:cs="Times New Roman"/>
          <w:kern w:val="0"/>
          <w:szCs w:val="20"/>
          <w:lang w:val="en-US" w:eastAsia="zh-CN"/>
        </w:rPr>
        <w:t>-2005</w:t>
      </w:r>
      <w:r>
        <w:rPr>
          <w:rFonts w:hint="eastAsia" w:ascii="宋体" w:hAnsi="Times New Roman" w:eastAsia="宋体" w:cs="Times New Roman"/>
          <w:kern w:val="0"/>
          <w:szCs w:val="20"/>
        </w:rPr>
        <w:t>　森林采伐作业规程​</w:t>
      </w:r>
    </w:p>
    <w:p w14:paraId="577FFF50">
      <w:pPr>
        <w:adjustRightInd w:val="0"/>
        <w:snapToGrid w:val="0"/>
        <w:ind w:firstLine="420" w:firstLineChars="200"/>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rPr>
        <w:t>LY/T 3094-2019</w:t>
      </w:r>
      <w:r>
        <w:rPr>
          <w:rFonts w:hint="eastAsia" w:ascii="宋体" w:hAnsi="Times New Roman" w:eastAsia="宋体" w:cs="Times New Roman"/>
          <w:kern w:val="0"/>
          <w:szCs w:val="20"/>
          <w:lang w:val="en-US" w:eastAsia="zh-CN"/>
        </w:rPr>
        <w:t xml:space="preserve"> 林下种植淫羊藿技术规程</w:t>
      </w:r>
    </w:p>
    <w:p w14:paraId="0824125A">
      <w:pPr>
        <w:adjustRightInd w:val="0"/>
        <w:snapToGrid w:val="0"/>
        <w:ind w:firstLine="420" w:firstLineChars="200"/>
        <w:rPr>
          <w:rFonts w:ascii="宋体" w:hAnsi="Times New Roman" w:eastAsia="宋体" w:cs="Times New Roman"/>
          <w:kern w:val="0"/>
          <w:szCs w:val="20"/>
        </w:rPr>
      </w:pPr>
    </w:p>
    <w:p w14:paraId="43B63BA9">
      <w:pPr>
        <w:widowControl/>
        <w:spacing w:beforeLines="100" w:afterLines="100"/>
        <w:outlineLvl w:val="0"/>
        <w:rPr>
          <w:rFonts w:ascii="黑体" w:hAnsi="Times New Roman" w:eastAsia="黑体" w:cs="Times New Roman"/>
          <w:kern w:val="0"/>
          <w:szCs w:val="20"/>
        </w:rPr>
      </w:pPr>
      <w:bookmarkStart w:id="22" w:name="_Toc21869"/>
      <w:bookmarkStart w:id="23" w:name="_Toc123923797"/>
      <w:r>
        <w:rPr>
          <w:rFonts w:hint="eastAsia" w:ascii="黑体" w:hAnsi="Times New Roman" w:eastAsia="黑体" w:cs="Times New Roman"/>
          <w:kern w:val="0"/>
          <w:szCs w:val="20"/>
        </w:rPr>
        <w:t>3术语和定义</w:t>
      </w:r>
      <w:bookmarkEnd w:id="22"/>
      <w:bookmarkEnd w:id="23"/>
    </w:p>
    <w:p w14:paraId="1B69A3A3">
      <w:pPr>
        <w:keepNext w:val="0"/>
        <w:keepLines w:val="0"/>
        <w:pageBreakBefore w:val="0"/>
        <w:widowControl w:val="0"/>
        <w:kinsoku/>
        <w:wordWrap/>
        <w:overflowPunct/>
        <w:topLinePunct w:val="0"/>
        <w:autoSpaceDE/>
        <w:autoSpaceDN/>
        <w:bidi w:val="0"/>
        <w:adjustRightInd w:val="0"/>
        <w:snapToGrid w:val="0"/>
        <w:spacing w:before="157" w:beforeLines="50" w:after="157" w:afterLines="50"/>
        <w:ind w:firstLine="420" w:firstLineChars="200"/>
        <w:textAlignment w:val="auto"/>
        <w:rPr>
          <w:rFonts w:hint="eastAsia" w:ascii="宋体" w:hAnsi="Times New Roman" w:eastAsia="宋体" w:cs="Times New Roman"/>
          <w:b/>
          <w:bCs/>
          <w:kern w:val="0"/>
          <w:szCs w:val="20"/>
        </w:rPr>
      </w:pPr>
      <w:r>
        <w:rPr>
          <w:rFonts w:hint="eastAsia" w:ascii="宋体" w:hAnsi="Times New Roman" w:eastAsia="宋体" w:cs="Times New Roman"/>
          <w:kern w:val="0"/>
          <w:szCs w:val="24"/>
          <w:lang w:val="en-US" w:eastAsia="zh-CN"/>
        </w:rPr>
        <w:t>以下术语和定义适用于本文件。</w:t>
      </w:r>
    </w:p>
    <w:p w14:paraId="517EE9B9">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eastAsia" w:ascii="宋体" w:hAnsi="Times New Roman" w:eastAsia="宋体" w:cs="Times New Roman"/>
          <w:kern w:val="0"/>
          <w:szCs w:val="20"/>
          <w:lang w:eastAsia="zh-CN"/>
        </w:rPr>
      </w:pPr>
      <w:r>
        <w:rPr>
          <w:rFonts w:hint="eastAsia" w:ascii="宋体" w:hAnsi="Times New Roman" w:eastAsia="宋体" w:cs="Times New Roman"/>
          <w:b/>
          <w:bCs/>
          <w:kern w:val="0"/>
          <w:szCs w:val="20"/>
        </w:rPr>
        <w:t xml:space="preserve">3.1 </w:t>
      </w:r>
      <w:r>
        <w:rPr>
          <w:rFonts w:hint="eastAsia" w:ascii="宋体" w:hAnsi="Times New Roman" w:eastAsia="宋体" w:cs="Times New Roman"/>
          <w:b/>
          <w:bCs/>
          <w:kern w:val="0"/>
          <w:szCs w:val="20"/>
          <w:lang w:val="en-US" w:eastAsia="zh-CN"/>
        </w:rPr>
        <w:t xml:space="preserve"> </w:t>
      </w:r>
      <w:r>
        <w:rPr>
          <w:rFonts w:hint="eastAsia" w:ascii="宋体" w:hAnsi="Times New Roman" w:eastAsia="宋体" w:cs="Times New Roman"/>
          <w:b/>
          <w:bCs/>
          <w:kern w:val="0"/>
          <w:szCs w:val="20"/>
        </w:rPr>
        <w:t>杉木人工林</w:t>
      </w:r>
    </w:p>
    <w:p w14:paraId="59F48692">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firstLine="420" w:firstLineChars="200"/>
        <w:textAlignment w:val="auto"/>
        <w:rPr>
          <w:rFonts w:hint="eastAsia" w:ascii="宋体" w:hAnsi="Times New Roman" w:eastAsia="宋体" w:cs="Times New Roman"/>
          <w:kern w:val="0"/>
          <w:szCs w:val="20"/>
        </w:rPr>
      </w:pPr>
      <w:r>
        <w:rPr>
          <w:rFonts w:hint="eastAsia" w:ascii="宋体" w:hAnsi="Times New Roman" w:eastAsia="宋体" w:cs="Times New Roman"/>
          <w:kern w:val="0"/>
          <w:szCs w:val="20"/>
        </w:rPr>
        <w:t>以杉木［</w:t>
      </w:r>
      <w:r>
        <w:rPr>
          <w:rFonts w:hint="eastAsia" w:ascii="宋体" w:hAnsi="Times New Roman" w:eastAsia="宋体" w:cs="Times New Roman"/>
          <w:i/>
          <w:iCs/>
          <w:kern w:val="0"/>
          <w:szCs w:val="20"/>
        </w:rPr>
        <w:t>Cunninghamia lanceolata</w:t>
      </w:r>
      <w:r>
        <w:rPr>
          <w:rFonts w:hint="eastAsia" w:ascii="宋体" w:hAnsi="Times New Roman" w:eastAsia="宋体" w:cs="Times New Roman"/>
          <w:kern w:val="0"/>
          <w:szCs w:val="20"/>
        </w:rPr>
        <w:t>（Lamb.）Hook.］为主要树种人工营造形成的森林。</w:t>
      </w:r>
    </w:p>
    <w:p w14:paraId="616CD3F2">
      <w:pPr>
        <w:pStyle w:val="57"/>
        <w:numPr>
          <w:ilvl w:val="0"/>
          <w:numId w:val="0"/>
        </w:numPr>
        <w:spacing w:before="0" w:beforeLines="0" w:after="0" w:afterLines="0"/>
        <w:ind w:firstLine="0" w:firstLineChars="0"/>
        <w:rPr>
          <w:rFonts w:hint="eastAsia"/>
        </w:rPr>
      </w:pPr>
      <w:r>
        <w:rPr>
          <w:rFonts w:hint="eastAsia" w:ascii="宋体" w:hAnsi="Times New Roman" w:eastAsia="宋体" w:cs="Times New Roman"/>
          <w:b/>
          <w:bCs/>
          <w:kern w:val="0"/>
          <w:szCs w:val="20"/>
          <w:lang w:val="en-US" w:eastAsia="zh-CN"/>
        </w:rPr>
        <w:t>3.2</w:t>
      </w:r>
      <w:bookmarkStart w:id="24" w:name="_Toc81579824"/>
      <w:r>
        <w:rPr>
          <w:rFonts w:hint="eastAsia" w:ascii="宋体" w:eastAsia="宋体"/>
          <w:b/>
          <w:bCs/>
          <w:szCs w:val="20"/>
        </w:rPr>
        <w:t>林下</w:t>
      </w:r>
      <w:r>
        <w:rPr>
          <w:rFonts w:hint="eastAsia" w:ascii="宋体" w:eastAsia="宋体"/>
          <w:b/>
          <w:bCs/>
          <w:szCs w:val="20"/>
          <w:lang w:val="en-US" w:eastAsia="zh-CN"/>
        </w:rPr>
        <w:t>复合经营</w:t>
      </w:r>
      <w:r>
        <w:rPr>
          <w:rFonts w:hint="eastAsia" w:ascii="宋体" w:eastAsia="宋体"/>
          <w:b/>
          <w:bCs/>
          <w:szCs w:val="20"/>
        </w:rPr>
        <w:t xml:space="preserve"> </w:t>
      </w:r>
      <w:bookmarkEnd w:id="24"/>
    </w:p>
    <w:p w14:paraId="1B8A36C8">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firstLine="420" w:firstLineChars="200"/>
        <w:textAlignment w:val="auto"/>
        <w:rPr>
          <w:rFonts w:hint="default" w:ascii="宋体" w:hAnsi="Times New Roman" w:eastAsia="宋体" w:cs="Times New Roman"/>
          <w:kern w:val="0"/>
          <w:szCs w:val="20"/>
          <w:lang w:val="en-US" w:eastAsia="zh-CN"/>
        </w:rPr>
      </w:pPr>
      <w:r>
        <w:t>以林地资源和森林生态环境为依托</w:t>
      </w:r>
      <w:r>
        <w:rPr>
          <w:rFonts w:hint="eastAsia"/>
        </w:rPr>
        <w:t>，</w:t>
      </w:r>
      <w:r>
        <w:t>根据各种植物的生物学特性</w:t>
      </w:r>
      <w:r>
        <w:rPr>
          <w:rFonts w:hint="eastAsia"/>
          <w:lang w:eastAsia="zh-CN"/>
        </w:rPr>
        <w:t>，</w:t>
      </w:r>
      <w:r>
        <w:t>尽量满足植物生长</w:t>
      </w:r>
      <w:r>
        <w:rPr>
          <w:rFonts w:hint="eastAsia"/>
        </w:rPr>
        <w:t>发</w:t>
      </w:r>
      <w:r>
        <w:t>育各阶段对气候、生态环境、土质等不同要求</w:t>
      </w:r>
      <w:r>
        <w:rPr>
          <w:rFonts w:hint="eastAsia"/>
          <w:lang w:eastAsia="zh-CN"/>
        </w:rPr>
        <w:t>，</w:t>
      </w:r>
      <w:r>
        <w:t>以提高</w:t>
      </w:r>
      <w:r>
        <w:rPr>
          <w:rFonts w:hint="eastAsia"/>
        </w:rPr>
        <w:t>栽培植物</w:t>
      </w:r>
      <w:r>
        <w:t>品质的</w:t>
      </w:r>
      <w:r>
        <w:rPr>
          <w:rFonts w:hint="eastAsia"/>
        </w:rPr>
        <w:t>复合</w:t>
      </w:r>
      <w:r>
        <w:t>种植模式</w:t>
      </w:r>
      <w:r>
        <w:rPr>
          <w:rFonts w:hint="eastAsia"/>
        </w:rPr>
        <w:t>。</w:t>
      </w:r>
    </w:p>
    <w:p w14:paraId="40F66D57">
      <w:pPr>
        <w:keepNext w:val="0"/>
        <w:keepLines w:val="0"/>
        <w:pageBreakBefore w:val="0"/>
        <w:widowControl w:val="0"/>
        <w:kinsoku/>
        <w:wordWrap/>
        <w:overflowPunct/>
        <w:topLinePunct w:val="0"/>
        <w:autoSpaceDE/>
        <w:autoSpaceDN/>
        <w:bidi w:val="0"/>
        <w:adjustRightInd w:val="0"/>
        <w:snapToGrid w:val="0"/>
        <w:spacing w:beforeLines="0" w:afterLines="0" w:line="300" w:lineRule="exact"/>
        <w:textAlignment w:val="auto"/>
        <w:rPr>
          <w:rFonts w:hint="eastAsia" w:ascii="宋体" w:hAnsi="Times New Roman" w:eastAsia="宋体" w:cs="Times New Roman"/>
          <w:kern w:val="0"/>
          <w:szCs w:val="20"/>
        </w:rPr>
      </w:pPr>
      <w:r>
        <w:rPr>
          <w:rFonts w:hint="eastAsia" w:ascii="宋体" w:hAnsi="Times New Roman" w:eastAsia="宋体" w:cs="Times New Roman"/>
          <w:b/>
          <w:bCs/>
          <w:kern w:val="0"/>
          <w:szCs w:val="20"/>
        </w:rPr>
        <w:t>3.</w:t>
      </w:r>
      <w:r>
        <w:rPr>
          <w:rFonts w:hint="eastAsia" w:ascii="宋体" w:hAnsi="Times New Roman" w:eastAsia="宋体" w:cs="Times New Roman"/>
          <w:b/>
          <w:bCs/>
          <w:kern w:val="0"/>
          <w:szCs w:val="20"/>
          <w:lang w:val="en-US" w:eastAsia="zh-CN"/>
        </w:rPr>
        <w:t>3</w:t>
      </w:r>
      <w:r>
        <w:rPr>
          <w:rFonts w:hint="eastAsia" w:ascii="宋体" w:hAnsi="Times New Roman" w:eastAsia="宋体" w:cs="Times New Roman"/>
          <w:b/>
          <w:bCs/>
          <w:kern w:val="0"/>
          <w:szCs w:val="20"/>
        </w:rPr>
        <w:t xml:space="preserve"> </w:t>
      </w:r>
      <w:r>
        <w:rPr>
          <w:rFonts w:hint="eastAsia" w:ascii="宋体" w:hAnsi="Times New Roman" w:eastAsia="宋体" w:cs="Times New Roman"/>
          <w:b/>
          <w:bCs/>
          <w:kern w:val="0"/>
          <w:szCs w:val="20"/>
          <w:lang w:val="en-US" w:eastAsia="zh-CN"/>
        </w:rPr>
        <w:t xml:space="preserve"> </w:t>
      </w:r>
      <w:r>
        <w:rPr>
          <w:rFonts w:hint="eastAsia" w:ascii="宋体" w:hAnsi="Times New Roman" w:eastAsia="宋体" w:cs="Times New Roman"/>
          <w:b/>
          <w:bCs/>
          <w:kern w:val="0"/>
          <w:szCs w:val="20"/>
        </w:rPr>
        <w:t>箭叶淫羊藿</w:t>
      </w:r>
    </w:p>
    <w:p w14:paraId="1E3D5F2B">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firstLine="420" w:firstLineChars="200"/>
        <w:textAlignment w:val="auto"/>
        <w:rPr>
          <w:rFonts w:hint="eastAsia" w:ascii="宋体" w:hAnsi="Times New Roman" w:eastAsia="宋体" w:cs="Times New Roman"/>
          <w:kern w:val="0"/>
          <w:szCs w:val="20"/>
        </w:rPr>
      </w:pPr>
      <w:r>
        <w:rPr>
          <w:rFonts w:hint="eastAsia" w:ascii="宋体" w:hAnsi="Times New Roman" w:eastAsia="宋体" w:cs="Times New Roman"/>
          <w:kern w:val="0"/>
          <w:szCs w:val="20"/>
        </w:rPr>
        <w:t>小檗科淫羊藿属多年生草本植物箭叶淫羊藿［</w:t>
      </w:r>
      <w:r>
        <w:rPr>
          <w:rFonts w:hint="eastAsia" w:ascii="宋体" w:hAnsi="Times New Roman" w:eastAsia="宋体" w:cs="Times New Roman"/>
          <w:i/>
          <w:iCs/>
          <w:kern w:val="0"/>
          <w:szCs w:val="20"/>
        </w:rPr>
        <w:t>Epimedium sagittatum</w:t>
      </w:r>
      <w:r>
        <w:rPr>
          <w:rFonts w:hint="eastAsia" w:ascii="宋体" w:hAnsi="Times New Roman" w:eastAsia="宋体" w:cs="Times New Roman"/>
          <w:kern w:val="0"/>
          <w:szCs w:val="20"/>
        </w:rPr>
        <w:t>（Sieb. et Zucc.）Maxim.］。</w:t>
      </w:r>
    </w:p>
    <w:p w14:paraId="6070F925">
      <w:pPr>
        <w:keepNext w:val="0"/>
        <w:keepLines w:val="0"/>
        <w:pageBreakBefore w:val="0"/>
        <w:widowControl w:val="0"/>
        <w:kinsoku/>
        <w:wordWrap/>
        <w:overflowPunct/>
        <w:topLinePunct w:val="0"/>
        <w:autoSpaceDE/>
        <w:autoSpaceDN/>
        <w:bidi w:val="0"/>
        <w:adjustRightInd w:val="0"/>
        <w:snapToGrid w:val="0"/>
        <w:spacing w:beforeLines="0" w:afterLines="0" w:line="300" w:lineRule="exact"/>
        <w:textAlignment w:val="auto"/>
        <w:rPr>
          <w:rFonts w:hint="eastAsia" w:ascii="宋体" w:hAnsi="Times New Roman" w:eastAsia="宋体" w:cs="Times New Roman"/>
          <w:kern w:val="0"/>
          <w:szCs w:val="20"/>
        </w:rPr>
      </w:pPr>
      <w:r>
        <w:rPr>
          <w:rFonts w:hint="eastAsia" w:ascii="宋体" w:hAnsi="Times New Roman" w:eastAsia="宋体" w:cs="Times New Roman"/>
          <w:b/>
          <w:bCs/>
          <w:kern w:val="0"/>
          <w:szCs w:val="20"/>
        </w:rPr>
        <w:t>3.</w:t>
      </w:r>
      <w:r>
        <w:rPr>
          <w:rFonts w:hint="eastAsia" w:ascii="宋体" w:hAnsi="Times New Roman" w:eastAsia="宋体" w:cs="Times New Roman"/>
          <w:b/>
          <w:bCs/>
          <w:kern w:val="0"/>
          <w:szCs w:val="20"/>
          <w:lang w:val="en-US" w:eastAsia="zh-CN"/>
        </w:rPr>
        <w:t xml:space="preserve">4 </w:t>
      </w:r>
      <w:r>
        <w:rPr>
          <w:rFonts w:hint="eastAsia" w:ascii="宋体" w:hAnsi="Times New Roman" w:eastAsia="宋体" w:cs="Times New Roman"/>
          <w:b/>
          <w:bCs/>
          <w:kern w:val="0"/>
          <w:szCs w:val="20"/>
        </w:rPr>
        <w:t>珍贵阔叶树</w:t>
      </w:r>
    </w:p>
    <w:p w14:paraId="0B41156D">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firstLine="420" w:firstLineChars="200"/>
        <w:textAlignment w:val="auto"/>
        <w:rPr>
          <w:rFonts w:hint="eastAsia" w:ascii="宋体" w:hAnsi="Times New Roman" w:eastAsia="宋体" w:cs="Times New Roman"/>
          <w:kern w:val="0"/>
          <w:szCs w:val="20"/>
        </w:rPr>
      </w:pPr>
      <w:r>
        <w:rPr>
          <w:rFonts w:hint="eastAsia" w:ascii="宋体" w:hAnsi="Times New Roman" w:eastAsia="宋体" w:cs="Times New Roman"/>
          <w:kern w:val="0"/>
          <w:szCs w:val="20"/>
        </w:rPr>
        <w:t>具有较高经济价值和生态价值，适宜与杉木混交培育的乡土阔叶树种。</w:t>
      </w:r>
    </w:p>
    <w:p w14:paraId="2A95862C">
      <w:pPr>
        <w:keepNext w:val="0"/>
        <w:keepLines w:val="0"/>
        <w:pageBreakBefore w:val="0"/>
        <w:widowControl/>
        <w:kinsoku/>
        <w:wordWrap/>
        <w:overflowPunct/>
        <w:topLinePunct w:val="0"/>
        <w:autoSpaceDE/>
        <w:autoSpaceDN/>
        <w:bidi w:val="0"/>
        <w:spacing w:beforeLines="100" w:afterLines="100" w:line="300" w:lineRule="exact"/>
        <w:textAlignment w:val="auto"/>
        <w:outlineLvl w:val="0"/>
        <w:rPr>
          <w:rFonts w:hint="eastAsia" w:ascii="宋体" w:hAnsi="Times New Roman" w:eastAsia="宋体" w:cs="Times New Roman"/>
          <w:kern w:val="0"/>
          <w:szCs w:val="20"/>
          <w:lang w:val="en-US" w:eastAsia="zh-CN"/>
        </w:rPr>
      </w:pPr>
      <w:bookmarkStart w:id="25" w:name="_Toc28030"/>
      <w:r>
        <w:rPr>
          <w:rFonts w:hint="eastAsia" w:ascii="黑体" w:hAnsi="Times New Roman" w:eastAsia="黑体" w:cs="Times New Roman"/>
          <w:kern w:val="0"/>
          <w:szCs w:val="20"/>
          <w:lang w:val="en-US" w:eastAsia="zh-CN"/>
        </w:rPr>
        <w:t>4 林地选择</w:t>
      </w:r>
      <w:bookmarkEnd w:id="25"/>
    </w:p>
    <w:p w14:paraId="4397C0CF">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4.1  环境条件</w:t>
      </w:r>
    </w:p>
    <w:p w14:paraId="502EB405">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default"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大</w:t>
      </w:r>
      <w:r>
        <w:rPr>
          <w:rFonts w:hint="default" w:ascii="宋体" w:hAnsi="Times New Roman" w:eastAsia="宋体" w:cs="Times New Roman"/>
          <w:kern w:val="0"/>
          <w:szCs w:val="20"/>
          <w:lang w:val="en-US" w:eastAsia="zh-CN"/>
        </w:rPr>
        <w:t>气环境应符合GB3095的二级要求;土壤环境应符合GB15618的二级要求</w:t>
      </w:r>
    </w:p>
    <w:p w14:paraId="43458959">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4.2  地形条件</w:t>
      </w:r>
    </w:p>
    <w:p w14:paraId="120ACE3D">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default" w:ascii="宋体" w:hAnsi="Times New Roman" w:eastAsia="宋体" w:cs="Times New Roman"/>
          <w:kern w:val="0"/>
          <w:szCs w:val="20"/>
          <w:lang w:val="en-US" w:eastAsia="zh-CN"/>
        </w:rPr>
      </w:pPr>
      <w:r>
        <w:rPr>
          <w:rFonts w:hint="default" w:ascii="宋体" w:hAnsi="Times New Roman" w:eastAsia="宋体" w:cs="Times New Roman"/>
          <w:kern w:val="0"/>
          <w:szCs w:val="20"/>
          <w:lang w:val="en-US" w:eastAsia="zh-CN"/>
        </w:rPr>
        <w:t>宜选择海拔200 m～1 200 m、坡度不大于25°的阴坡、半阴坡、谷地或中下坡位。</w:t>
      </w:r>
    </w:p>
    <w:p w14:paraId="20C417A0">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4.3  林分条件</w:t>
      </w:r>
    </w:p>
    <w:p w14:paraId="060F68AB">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default" w:ascii="宋体" w:hAnsi="Times New Roman" w:eastAsia="宋体" w:cs="Times New Roman"/>
          <w:kern w:val="0"/>
          <w:szCs w:val="20"/>
          <w:lang w:val="en-US" w:eastAsia="zh-CN"/>
        </w:rPr>
      </w:pPr>
      <w:r>
        <w:rPr>
          <w:rFonts w:hint="eastAsia"/>
        </w:rPr>
        <w:t>宜选择</w:t>
      </w:r>
      <w:r>
        <w:rPr>
          <w:rFonts w:hint="eastAsia" w:ascii="宋体" w:hAnsi="宋体"/>
        </w:rPr>
        <w:t>距离交通主干道</w:t>
      </w:r>
      <w:r>
        <w:rPr>
          <w:rFonts w:hint="eastAsia"/>
        </w:rPr>
        <w:t>100</w:t>
      </w:r>
      <w:r>
        <w:t xml:space="preserve"> </w:t>
      </w:r>
      <w:r>
        <w:rPr>
          <w:rFonts w:hint="eastAsia"/>
        </w:rPr>
        <w:t>m</w:t>
      </w:r>
      <w:r>
        <w:rPr>
          <w:rFonts w:hint="eastAsia" w:ascii="宋体" w:hAnsi="宋体"/>
        </w:rPr>
        <w:t>以外，交通便利，地势较平缓杉木人工林，杉木的胸径在</w:t>
      </w:r>
      <w:r>
        <w:rPr>
          <w:rFonts w:hint="eastAsia"/>
        </w:rPr>
        <w:t>1</w:t>
      </w:r>
      <w:r>
        <w:t xml:space="preserve">5 </w:t>
      </w:r>
      <w:r>
        <w:rPr>
          <w:rFonts w:hint="eastAsia"/>
        </w:rPr>
        <w:t>cm</w:t>
      </w:r>
      <w:r>
        <w:rPr>
          <w:rFonts w:hint="eastAsia" w:ascii="宋体" w:hAnsi="宋体"/>
        </w:rPr>
        <w:t>以上，生长良好</w:t>
      </w:r>
      <w:r>
        <w:rPr>
          <w:rFonts w:hint="default" w:ascii="宋体" w:hAnsi="Times New Roman" w:eastAsia="宋体" w:cs="Times New Roman"/>
          <w:kern w:val="0"/>
          <w:szCs w:val="20"/>
          <w:lang w:val="en-US" w:eastAsia="zh-CN"/>
        </w:rPr>
        <w:t>的杉木人工林。林分郁闭度宜为0.60～0.8</w:t>
      </w:r>
      <w:r>
        <w:rPr>
          <w:rFonts w:hint="eastAsia" w:ascii="宋体" w:hAnsi="Times New Roman" w:eastAsia="宋体" w:cs="Times New Roman"/>
          <w:kern w:val="0"/>
          <w:szCs w:val="20"/>
          <w:lang w:val="en-US" w:eastAsia="zh-CN"/>
        </w:rPr>
        <w:t>0，</w:t>
      </w:r>
      <w:r>
        <w:rPr>
          <w:rFonts w:hint="eastAsia" w:ascii="宋体" w:hAnsi="宋体"/>
          <w:lang w:val="en"/>
        </w:rPr>
        <w:t>或间伐至</w:t>
      </w:r>
      <w:r>
        <w:rPr>
          <w:rFonts w:hint="eastAsia" w:ascii="宋体" w:hAnsi="宋体"/>
        </w:rPr>
        <w:t>郁闭度约0</w:t>
      </w:r>
      <w:r>
        <w:rPr>
          <w:rFonts w:ascii="宋体" w:hAnsi="宋体"/>
        </w:rPr>
        <w:t>.</w:t>
      </w:r>
      <w:r>
        <w:rPr>
          <w:rFonts w:hint="eastAsia" w:ascii="宋体" w:hAnsi="宋体"/>
          <w:lang w:val="en-US" w:eastAsia="zh-CN"/>
        </w:rPr>
        <w:t>7</w:t>
      </w:r>
      <w:r>
        <w:rPr>
          <w:rFonts w:hint="eastAsia" w:ascii="宋体" w:hAnsi="宋体"/>
        </w:rPr>
        <w:t>左右</w:t>
      </w:r>
      <w:r>
        <w:rPr>
          <w:rFonts w:hint="eastAsia" w:ascii="宋体" w:hAnsi="宋体"/>
          <w:lang w:val="en"/>
        </w:rPr>
        <w:t>，林地土壤厚度</w:t>
      </w:r>
      <w:r>
        <w:rPr>
          <w:rFonts w:hint="eastAsia" w:ascii="宋体" w:hAnsi="宋体"/>
          <w:lang w:val="en-US" w:eastAsia="zh-CN"/>
        </w:rPr>
        <w:t>3</w:t>
      </w:r>
      <w:r>
        <w:rPr>
          <w:rFonts w:ascii="宋体" w:hAnsi="宋体"/>
          <w:lang w:val="en"/>
        </w:rPr>
        <w:t>0</w:t>
      </w:r>
      <w:r>
        <w:rPr>
          <w:rFonts w:hint="eastAsia" w:ascii="宋体" w:hAnsi="宋体"/>
          <w:lang w:val="en"/>
        </w:rPr>
        <w:t>cm以上</w:t>
      </w:r>
      <w:r>
        <w:rPr>
          <w:rFonts w:ascii="宋体" w:hAnsi="宋体"/>
          <w:lang w:val="en"/>
        </w:rPr>
        <w:t>。</w:t>
      </w:r>
    </w:p>
    <w:p w14:paraId="02F17164">
      <w:pPr>
        <w:keepNext w:val="0"/>
        <w:keepLines w:val="0"/>
        <w:pageBreakBefore w:val="0"/>
        <w:widowControl/>
        <w:kinsoku/>
        <w:wordWrap/>
        <w:overflowPunct/>
        <w:topLinePunct w:val="0"/>
        <w:bidi w:val="0"/>
        <w:spacing w:beforeLines="100" w:afterLines="100" w:line="300" w:lineRule="exact"/>
        <w:textAlignment w:val="auto"/>
        <w:outlineLvl w:val="0"/>
        <w:rPr>
          <w:rFonts w:hint="eastAsia" w:ascii="宋体" w:hAnsi="Times New Roman" w:eastAsia="宋体" w:cs="Times New Roman"/>
          <w:kern w:val="0"/>
          <w:szCs w:val="20"/>
          <w:lang w:val="en-US" w:eastAsia="zh-CN"/>
        </w:rPr>
      </w:pPr>
      <w:bookmarkStart w:id="26" w:name="_Toc1390"/>
      <w:r>
        <w:rPr>
          <w:rFonts w:hint="eastAsia" w:ascii="黑体" w:hAnsi="Times New Roman" w:eastAsia="黑体" w:cs="Times New Roman"/>
          <w:kern w:val="0"/>
          <w:szCs w:val="20"/>
          <w:lang w:val="en-US" w:eastAsia="zh-CN"/>
        </w:rPr>
        <w:t>5 林分调控</w:t>
      </w:r>
      <w:bookmarkEnd w:id="26"/>
    </w:p>
    <w:p w14:paraId="04C7C7B2">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5.1  保留木选择</w:t>
      </w:r>
    </w:p>
    <w:p w14:paraId="21D429DB">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应优先保留干形通直、生长健壮、冠幅正常、无严重病虫害和机械损伤的杉木。天然更新的乡土阔叶树幼树幼苗应予以保留。​</w:t>
      </w:r>
    </w:p>
    <w:p w14:paraId="133FE94D">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5.2  疏伐对象</w:t>
      </w:r>
    </w:p>
    <w:p w14:paraId="254BB93B">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疏伐对象主要包括：枯死木、濒死木和严重病虫害木；风折木、雪压木和严重损伤木；生长衰弱、干形不良和局部过密木；严重影响珍贵阔叶树生长的干扰木。​</w:t>
      </w:r>
    </w:p>
    <w:p w14:paraId="22F35788">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5.3  疏伐强度</w:t>
      </w:r>
    </w:p>
    <w:p w14:paraId="54E35424">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应采用低强度、多次疏伐方式，作业设计符合</w:t>
      </w:r>
      <w:r>
        <w:rPr>
          <w:rFonts w:hint="eastAsia" w:ascii="宋体" w:hAnsi="Times New Roman" w:eastAsia="宋体" w:cs="Times New Roman"/>
          <w:kern w:val="0"/>
          <w:szCs w:val="20"/>
        </w:rPr>
        <w:t>LY/T 1646</w:t>
      </w:r>
      <w:r>
        <w:rPr>
          <w:rFonts w:hint="eastAsia" w:ascii="宋体" w:hAnsi="Times New Roman" w:eastAsia="宋体" w:cs="Times New Roman"/>
          <w:kern w:val="0"/>
          <w:szCs w:val="20"/>
          <w:lang w:val="en-US" w:eastAsia="zh-CN"/>
        </w:rPr>
        <w:t>-2005的规定。单次疏伐株数强度不宜超过原林分株数的30%。疏伐后杉木保留密度宜为750株/hm²～1 200株/hm²，林分郁闭度宜为0.60～0.80原林分郁闭度大于0.80时，宜分次进行调控。​</w:t>
      </w:r>
    </w:p>
    <w:p w14:paraId="43F3DFDB">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5.4  林下光照调控</w:t>
      </w:r>
    </w:p>
    <w:p w14:paraId="2C06098F">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箭叶淫羊藿种植区林下相对光照宜保持在自然全光照的20%～40%。林下光照不足时，可通过疏伐和修枝进行调节；光照过强时，可通过保留伴生植被或局部遮阴进行调节。​</w:t>
      </w:r>
    </w:p>
    <w:p w14:paraId="7B937449">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5.5  采伐剩余物处理</w:t>
      </w:r>
    </w:p>
    <w:p w14:paraId="4421348D">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无病虫害的枝叶可就地粉碎、条状堆放或覆盖还林，</w:t>
      </w:r>
      <w:r>
        <w:rPr>
          <w:rFonts w:hint="eastAsia" w:ascii="宋体" w:hAnsi="Times New Roman" w:eastAsia="宋体" w:cs="Times New Roman"/>
          <w:b/>
          <w:bCs/>
          <w:kern w:val="0"/>
          <w:szCs w:val="20"/>
          <w:lang w:val="en-US" w:eastAsia="zh-CN"/>
        </w:rPr>
        <w:t>有条件的可就地发酵（到时可结合亚林所张金萍老师做的废弃物利用）</w:t>
      </w:r>
      <w:r>
        <w:rPr>
          <w:rFonts w:hint="eastAsia" w:ascii="宋体" w:hAnsi="Times New Roman" w:eastAsia="宋体" w:cs="Times New Roman"/>
          <w:kern w:val="0"/>
          <w:szCs w:val="20"/>
          <w:lang w:val="en-US" w:eastAsia="zh-CN"/>
        </w:rPr>
        <w:t>。病虫害枝干应及时清理并进行无害化处理。</w:t>
      </w:r>
    </w:p>
    <w:p w14:paraId="06C93312">
      <w:pPr>
        <w:keepNext w:val="0"/>
        <w:keepLines w:val="0"/>
        <w:pageBreakBefore w:val="0"/>
        <w:widowControl/>
        <w:kinsoku/>
        <w:wordWrap/>
        <w:overflowPunct/>
        <w:topLinePunct w:val="0"/>
        <w:bidi w:val="0"/>
        <w:spacing w:beforeLines="100" w:afterLines="100" w:line="300" w:lineRule="exact"/>
        <w:textAlignment w:val="auto"/>
        <w:outlineLvl w:val="0"/>
        <w:rPr>
          <w:rFonts w:hint="eastAsia" w:ascii="宋体" w:hAnsi="Times New Roman" w:eastAsia="宋体" w:cs="Times New Roman"/>
          <w:kern w:val="0"/>
          <w:szCs w:val="20"/>
          <w:lang w:val="en-US" w:eastAsia="zh-CN"/>
        </w:rPr>
      </w:pPr>
      <w:bookmarkStart w:id="27" w:name="_Toc26275"/>
      <w:r>
        <w:rPr>
          <w:rFonts w:hint="eastAsia" w:ascii="黑体" w:hAnsi="Times New Roman" w:eastAsia="黑体" w:cs="Times New Roman"/>
          <w:kern w:val="0"/>
          <w:szCs w:val="20"/>
          <w:lang w:val="en-US" w:eastAsia="zh-CN"/>
        </w:rPr>
        <w:t>6 珍贵阔叶树配置</w:t>
      </w:r>
      <w:bookmarkEnd w:id="27"/>
    </w:p>
    <w:p w14:paraId="08B02521">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6.1  树种选择</w:t>
      </w:r>
    </w:p>
    <w:p w14:paraId="46F80ED8">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应选择适应当地气候和土壤条件、幼龄期具有一定耐阴性、生长稳定的乡土珍贵阔叶树种。​</w:t>
      </w:r>
    </w:p>
    <w:p w14:paraId="45E91022">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6.2  苗木质量</w:t>
      </w:r>
    </w:p>
    <w:p w14:paraId="1C7F000E">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苗木应来源清楚、种源明确、检疫合格。宜采用1年生～2年生容器苗，苗木应生长健壮、根系完整、顶芽饱满，无严重病虫害和机械损伤。​</w:t>
      </w:r>
    </w:p>
    <w:p w14:paraId="2583749A">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6.3  配置方式</w:t>
      </w:r>
    </w:p>
    <w:p w14:paraId="74863011">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可采用点状、丛状或不规则混交配置。点状配置株间距宜为3 m～5 m；丛状配置每丛宜栽植3株～5株。宜结合林内自然更新的珍贵阔叶树幼树一并保留，密度控制在450株/hm²～600株/hm²。</w:t>
      </w:r>
    </w:p>
    <w:p w14:paraId="7BA8FAC8">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6.4  整地</w:t>
      </w:r>
    </w:p>
    <w:p w14:paraId="71101AA1">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宜采用穴状整地。栽植穴规格宜为40 cm×40 cm×30 cm。整地时应避免损伤杉木根系和天然更新阔叶树。​</w:t>
      </w:r>
    </w:p>
    <w:p w14:paraId="4EAFE573">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6.5  栽植</w:t>
      </w:r>
    </w:p>
    <w:p w14:paraId="3811208D">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宜在秋冬季或早春苗木萌芽前栽植。栽植时应保持苗木根系舒展、苗干直立，栽后踏实并浇透定根水。每穴可施充分腐熟有机肥1 kg～3 kg，肥料应与土壤充分混合，不得与苗木根系直接接触。​</w:t>
      </w:r>
    </w:p>
    <w:p w14:paraId="17E887C0">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6.6  抚育</w:t>
      </w:r>
    </w:p>
    <w:p w14:paraId="2CA23C1E">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栽植后连续抚育不少于3 a，每年宜抚育1次～2次。抚育内容包括除草、松土、培土、扶正、补植和修枝。珍贵阔叶树保存率低于85%时，应及时补植。</w:t>
      </w:r>
    </w:p>
    <w:p w14:paraId="2871EBC8">
      <w:pPr>
        <w:keepNext w:val="0"/>
        <w:keepLines w:val="0"/>
        <w:pageBreakBefore w:val="0"/>
        <w:widowControl/>
        <w:kinsoku/>
        <w:wordWrap/>
        <w:overflowPunct/>
        <w:topLinePunct w:val="0"/>
        <w:bidi w:val="0"/>
        <w:spacing w:beforeLines="100" w:afterLines="100" w:line="300" w:lineRule="exact"/>
        <w:textAlignment w:val="auto"/>
        <w:outlineLvl w:val="0"/>
        <w:rPr>
          <w:rFonts w:hint="default" w:ascii="宋体" w:hAnsi="Times New Roman" w:eastAsia="宋体" w:cs="Times New Roman"/>
          <w:kern w:val="0"/>
          <w:szCs w:val="20"/>
          <w:lang w:val="en-US" w:eastAsia="zh-CN"/>
        </w:rPr>
      </w:pPr>
      <w:bookmarkStart w:id="28" w:name="_Toc11174"/>
      <w:r>
        <w:rPr>
          <w:rFonts w:hint="eastAsia" w:ascii="黑体" w:hAnsi="Times New Roman" w:eastAsia="黑体" w:cs="Times New Roman"/>
          <w:kern w:val="0"/>
          <w:szCs w:val="20"/>
          <w:lang w:val="en-US" w:eastAsia="zh-CN"/>
        </w:rPr>
        <w:t>7 箭叶淫羊藿栽培与管理</w:t>
      </w:r>
      <w:bookmarkEnd w:id="28"/>
    </w:p>
    <w:p w14:paraId="4E17BA86">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7.1  整地</w:t>
      </w:r>
    </w:p>
    <w:p w14:paraId="28AC8334">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缓坡地宜采用沿等高线带状整地，种植带宽宜为0.8 m～1.5 m。坡度＞25</w:t>
      </w:r>
      <w:r>
        <w:rPr>
          <w:rFonts w:hint="default" w:ascii="Times New Roman" w:hAnsi="Times New Roman" w:eastAsia="宋体" w:cs="Times New Roman"/>
          <w:kern w:val="0"/>
          <w:szCs w:val="20"/>
          <w:lang w:val="en-US" w:eastAsia="zh-CN"/>
        </w:rPr>
        <w:t>°</w:t>
      </w:r>
      <w:r>
        <w:rPr>
          <w:rFonts w:hint="eastAsia" w:ascii="宋体" w:hAnsi="Times New Roman" w:eastAsia="宋体" w:cs="Times New Roman"/>
          <w:kern w:val="0"/>
          <w:szCs w:val="20"/>
          <w:lang w:val="en-US" w:eastAsia="zh-CN"/>
        </w:rPr>
        <w:t>时，宜采用穴状、小块状或短带状整地。整地深度宜为15 cm～20 cm。杉木和珍贵阔叶树树干基部0.5 m范围内不宜进行深翻。</w:t>
      </w:r>
    </w:p>
    <w:p w14:paraId="5E9371C2">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eastAsia" w:ascii="宋体" w:hAnsi="Times New Roman" w:eastAsia="宋体" w:cs="Times New Roman"/>
          <w:kern w:val="0"/>
          <w:szCs w:val="20"/>
        </w:rPr>
      </w:pPr>
      <w:r>
        <w:rPr>
          <w:rFonts w:hint="eastAsia" w:ascii="宋体" w:hAnsi="Times New Roman" w:eastAsia="宋体" w:cs="Times New Roman"/>
          <w:b/>
          <w:bCs/>
          <w:kern w:val="0"/>
          <w:szCs w:val="20"/>
          <w:lang w:val="en-US" w:eastAsia="zh-CN"/>
        </w:rPr>
        <w:t xml:space="preserve">7.2  </w:t>
      </w:r>
      <w:r>
        <w:rPr>
          <w:rFonts w:hint="eastAsia" w:ascii="宋体" w:hAnsi="Times New Roman" w:eastAsia="宋体" w:cs="Times New Roman"/>
          <w:b/>
          <w:bCs/>
          <w:kern w:val="0"/>
          <w:szCs w:val="20"/>
        </w:rPr>
        <w:t>土壤改良</w:t>
      </w:r>
    </w:p>
    <w:p w14:paraId="198698C7">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rPr>
      </w:pPr>
      <w:r>
        <w:rPr>
          <w:rFonts w:hint="eastAsia" w:ascii="宋体" w:hAnsi="Times New Roman" w:eastAsia="宋体" w:cs="Times New Roman"/>
          <w:kern w:val="0"/>
          <w:szCs w:val="20"/>
        </w:rPr>
        <w:t>栽植前应根据土壤质地和养分状况进行土壤改良。对于土壤黏性较大、透气透水性较差的林地，应通过增施腐熟有机肥、松土等措施改善土壤结构，提高土壤疏松度和保水保肥能力。</w:t>
      </w:r>
    </w:p>
    <w:p w14:paraId="1B662A9D">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eastAsia" w:ascii="宋体" w:hAnsi="Times New Roman" w:eastAsia="宋体" w:cs="Times New Roman"/>
          <w:kern w:val="0"/>
          <w:szCs w:val="20"/>
        </w:rPr>
      </w:pPr>
      <w:r>
        <w:rPr>
          <w:rFonts w:hint="eastAsia" w:ascii="宋体" w:hAnsi="Times New Roman" w:eastAsia="宋体" w:cs="Times New Roman"/>
          <w:b/>
          <w:bCs/>
          <w:kern w:val="0"/>
          <w:szCs w:val="20"/>
          <w:lang w:val="en-US" w:eastAsia="zh-CN"/>
        </w:rPr>
        <w:t xml:space="preserve">7.3  </w:t>
      </w:r>
      <w:r>
        <w:rPr>
          <w:rFonts w:hint="eastAsia" w:ascii="宋体" w:hAnsi="Times New Roman" w:eastAsia="宋体" w:cs="Times New Roman"/>
          <w:b/>
          <w:bCs/>
          <w:kern w:val="0"/>
          <w:szCs w:val="20"/>
        </w:rPr>
        <w:t>基肥施用</w:t>
      </w:r>
    </w:p>
    <w:p w14:paraId="069D836B">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default" w:ascii="宋体" w:hAnsi="Times New Roman" w:eastAsia="宋体" w:cs="Times New Roman"/>
          <w:kern w:val="0"/>
          <w:szCs w:val="20"/>
          <w:lang w:val="en-US" w:eastAsia="zh-CN"/>
        </w:rPr>
      </w:pPr>
      <w:r>
        <w:rPr>
          <w:rFonts w:hint="eastAsia" w:ascii="宋体" w:hAnsi="Times New Roman" w:eastAsia="宋体" w:cs="Times New Roman"/>
          <w:kern w:val="0"/>
          <w:szCs w:val="20"/>
        </w:rPr>
        <w:t>采用“腐熟有机肥+钙镁磷肥”配施方式。推荐施用量：腐熟有机肥1500～3000 kg/hm²；钙镁磷肥300～600 kg/hm²。</w:t>
      </w:r>
    </w:p>
    <w:p w14:paraId="1EB3DFB9">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7.4  种苗选择</w:t>
      </w:r>
    </w:p>
    <w:p w14:paraId="249FACCF">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应选用经鉴定为高含量的箭叶淫羊藿种苗。以一年生、根茎芽数2-3个的实生苗为宜，种苗应来源清楚、种源稳定、检疫合格，不得使用来源不明或混杂严重的繁殖材料。</w:t>
      </w:r>
    </w:p>
    <w:p w14:paraId="200BA8AB">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7.5  栽植时间</w:t>
      </w:r>
    </w:p>
    <w:p w14:paraId="18F7BCE1">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default"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秋天至第二年萌发前期（10-11月至次年3月）。</w:t>
      </w:r>
    </w:p>
    <w:p w14:paraId="372491F0">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7.6  栽植密度</w:t>
      </w:r>
    </w:p>
    <w:p w14:paraId="1880756D">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株距宜为25 cm～30 cm，行距宜为40 cm～50 cm。栽植密度宜为5.5万株/hm²～7.5万株/hm²。</w:t>
      </w:r>
    </w:p>
    <w:p w14:paraId="63753F4C">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7.7  栽植方法</w:t>
      </w:r>
    </w:p>
    <w:p w14:paraId="18B6DA53">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根茎苗宜将芽体向上平放或斜放，覆土厚度宜为3 cm～5 cm。栽植时应保持根系舒展，根茎与地面基本平齐。栽植后应压实土壤，浇透定根水，并覆盖2 cm～5 cm厚的腐熟落叶、碎枝或其他洁净有机材料。</w:t>
      </w:r>
    </w:p>
    <w:p w14:paraId="35C6FA9F">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b/>
          <w:bCs/>
          <w:kern w:val="0"/>
          <w:szCs w:val="20"/>
          <w:lang w:val="en-US" w:eastAsia="zh-CN"/>
        </w:rPr>
      </w:pPr>
      <w:r>
        <w:rPr>
          <w:rFonts w:hint="eastAsia" w:ascii="宋体" w:hAnsi="Times New Roman" w:eastAsia="宋体" w:cs="Times New Roman"/>
          <w:b/>
          <w:bCs/>
          <w:kern w:val="0"/>
          <w:szCs w:val="20"/>
          <w:lang w:val="en-US" w:eastAsia="zh-CN"/>
        </w:rPr>
        <w:t xml:space="preserve">7.8  </w:t>
      </w:r>
      <w:r>
        <w:rPr>
          <w:rFonts w:hint="eastAsia" w:ascii="黑体" w:hAnsi="Times New Roman" w:eastAsia="黑体" w:cs="Times New Roman"/>
          <w:kern w:val="0"/>
          <w:szCs w:val="20"/>
          <w:lang w:val="en-US" w:eastAsia="zh-CN"/>
        </w:rPr>
        <w:t>抚育管理</w:t>
      </w:r>
    </w:p>
    <w:p w14:paraId="5AF8231C">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7.8.1  光照管理</w:t>
      </w:r>
    </w:p>
    <w:p w14:paraId="7BBED99C">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应根据箭叶淫羊藿生长状况及时调节林下光照。</w:t>
      </w:r>
    </w:p>
    <w:p w14:paraId="61D0CF26">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7.8.2  水分管理</w:t>
      </w:r>
    </w:p>
    <w:p w14:paraId="0F32FDBA">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应保持土壤湿润，避免长期干旱和积水。连续干旱时宜进行补充灌溉，雨季要及时排水。</w:t>
      </w:r>
    </w:p>
    <w:p w14:paraId="24468DBF">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7.8.3  追肥管理</w:t>
      </w:r>
    </w:p>
    <w:p w14:paraId="74DAACBB">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以充分腐熟有机肥为主，每年或隔年施用1 500 kg/hm²～3 000 kg/hm²。</w:t>
      </w:r>
    </w:p>
    <w:p w14:paraId="51465C49">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7.8.4  杂草管理</w:t>
      </w:r>
    </w:p>
    <w:p w14:paraId="7E723E15">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采用人工拔除、刈割或覆盖等方式控制杂草和藤本植物。</w:t>
      </w:r>
    </w:p>
    <w:p w14:paraId="1DA93EE1">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7.8.5  补植</w:t>
      </w:r>
    </w:p>
    <w:p w14:paraId="2CBBE319">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缺株率超过15%时，应查明原因并及时补植。连续采收后植株生长明显衰退时，应采取补植、轮休或降低采收强度等措施。</w:t>
      </w:r>
    </w:p>
    <w:p w14:paraId="6193A858">
      <w:pPr>
        <w:keepNext w:val="0"/>
        <w:keepLines w:val="0"/>
        <w:pageBreakBefore w:val="0"/>
        <w:widowControl/>
        <w:kinsoku/>
        <w:wordWrap/>
        <w:overflowPunct/>
        <w:topLinePunct w:val="0"/>
        <w:autoSpaceDE/>
        <w:autoSpaceDN/>
        <w:bidi w:val="0"/>
        <w:adjustRightInd/>
        <w:snapToGrid/>
        <w:spacing w:beforeLines="100" w:afterLines="100" w:line="300" w:lineRule="exact"/>
        <w:textAlignment w:val="auto"/>
        <w:outlineLvl w:val="0"/>
        <w:rPr>
          <w:rFonts w:hint="eastAsia" w:ascii="黑体" w:hAnsi="Times New Roman" w:eastAsia="黑体" w:cs="Times New Roman"/>
          <w:kern w:val="0"/>
          <w:szCs w:val="20"/>
          <w:lang w:val="en-US" w:eastAsia="zh-CN"/>
        </w:rPr>
      </w:pPr>
      <w:r>
        <w:rPr>
          <w:rFonts w:hint="eastAsia" w:ascii="黑体" w:hAnsi="Times New Roman" w:eastAsia="黑体" w:cs="Times New Roman"/>
          <w:b w:val="0"/>
          <w:bCs w:val="0"/>
          <w:kern w:val="0"/>
          <w:szCs w:val="20"/>
          <w:lang w:val="en-US" w:eastAsia="zh-CN"/>
        </w:rPr>
        <w:t>8 病虫害防控</w:t>
      </w:r>
    </w:p>
    <w:p w14:paraId="68F96085">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应坚持预防为主、综合防治，优先采用农业防治、物理防治和生物防治措施。确需使用化学农药时，应符合</w:t>
      </w:r>
      <w:r>
        <w:rPr>
          <w:rFonts w:hint="eastAsia" w:ascii="宋体" w:hAnsi="Times New Roman" w:eastAsia="宋体" w:cs="Times New Roman"/>
          <w:kern w:val="0"/>
          <w:szCs w:val="20"/>
        </w:rPr>
        <w:t>GB/T 8321.10-2018</w:t>
      </w:r>
      <w:r>
        <w:rPr>
          <w:rFonts w:hint="eastAsia" w:ascii="宋体" w:hAnsi="Times New Roman" w:eastAsia="宋体" w:cs="Times New Roman"/>
          <w:kern w:val="0"/>
          <w:szCs w:val="20"/>
          <w:lang w:val="en-US" w:eastAsia="zh-CN"/>
        </w:rPr>
        <w:t>规定。</w:t>
      </w:r>
    </w:p>
    <w:p w14:paraId="446DC535">
      <w:pPr>
        <w:keepNext w:val="0"/>
        <w:keepLines w:val="0"/>
        <w:pageBreakBefore w:val="0"/>
        <w:widowControl/>
        <w:kinsoku/>
        <w:wordWrap/>
        <w:overflowPunct/>
        <w:topLinePunct w:val="0"/>
        <w:bidi w:val="0"/>
        <w:spacing w:beforeLines="100" w:afterLines="100" w:line="300" w:lineRule="exact"/>
        <w:textAlignment w:val="auto"/>
        <w:outlineLvl w:val="0"/>
        <w:rPr>
          <w:rFonts w:hint="eastAsia" w:ascii="宋体" w:hAnsi="Times New Roman" w:eastAsia="宋体" w:cs="Times New Roman"/>
          <w:kern w:val="0"/>
          <w:szCs w:val="20"/>
          <w:lang w:val="en-US" w:eastAsia="zh-CN"/>
        </w:rPr>
      </w:pPr>
      <w:bookmarkStart w:id="29" w:name="_Toc14250"/>
      <w:r>
        <w:rPr>
          <w:rFonts w:hint="eastAsia" w:ascii="黑体" w:hAnsi="Times New Roman" w:eastAsia="黑体" w:cs="Times New Roman"/>
          <w:kern w:val="0"/>
          <w:szCs w:val="20"/>
          <w:lang w:val="en-US" w:eastAsia="zh-CN"/>
        </w:rPr>
        <w:t>9 采收与贮藏</w:t>
      </w:r>
      <w:bookmarkEnd w:id="29"/>
    </w:p>
    <w:p w14:paraId="34929630">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9.1  采收时间</w:t>
      </w:r>
    </w:p>
    <w:p w14:paraId="0DE6F5CD">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default"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秋季采收。</w:t>
      </w:r>
    </w:p>
    <w:p w14:paraId="2A68F924">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9.2  采收方式</w:t>
      </w:r>
    </w:p>
    <w:p w14:paraId="344AC4D3">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采用人工或轻便工具采收地上叶片和带叶茎枝。不得连根拔取，不得损伤根状茎和更新芽。单次采收量不宜超过当年地上叶生物量的70%。采用分区采收、隔年轮采等方式。</w:t>
      </w:r>
    </w:p>
    <w:p w14:paraId="7771A049">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9.3  包装贮藏</w:t>
      </w:r>
    </w:p>
    <w:p w14:paraId="618B7F61">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lang w:val="en-US" w:eastAsia="zh-CN"/>
        </w:rPr>
        <w:t>将茎叶全部采割并捆成小把后，放在阴凉、干燥、通风、避光和防虫条件下贮藏。</w:t>
      </w:r>
    </w:p>
    <w:p w14:paraId="152355B9">
      <w:pPr>
        <w:keepNext w:val="0"/>
        <w:keepLines w:val="0"/>
        <w:pageBreakBefore w:val="0"/>
        <w:widowControl/>
        <w:kinsoku/>
        <w:wordWrap/>
        <w:overflowPunct/>
        <w:topLinePunct w:val="0"/>
        <w:bidi w:val="0"/>
        <w:spacing w:beforeLines="100" w:afterLines="100" w:line="300" w:lineRule="exact"/>
        <w:textAlignment w:val="auto"/>
        <w:outlineLvl w:val="0"/>
        <w:rPr>
          <w:rFonts w:hint="default" w:ascii="宋体" w:hAnsi="Times New Roman" w:eastAsia="宋体" w:cs="Times New Roman"/>
          <w:kern w:val="0"/>
          <w:szCs w:val="20"/>
          <w:lang w:val="en-US" w:eastAsia="zh-CN"/>
        </w:rPr>
      </w:pPr>
      <w:bookmarkStart w:id="30" w:name="_Toc930"/>
      <w:r>
        <w:rPr>
          <w:rFonts w:hint="eastAsia" w:ascii="黑体" w:hAnsi="Times New Roman" w:eastAsia="黑体" w:cs="Times New Roman"/>
          <w:kern w:val="0"/>
          <w:szCs w:val="20"/>
          <w:lang w:val="en-US" w:eastAsia="zh-CN"/>
        </w:rPr>
        <w:t>10 档案管理与追溯</w:t>
      </w:r>
      <w:bookmarkEnd w:id="30"/>
    </w:p>
    <w:p w14:paraId="382F71B0">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10.1  档案管理</w:t>
      </w:r>
    </w:p>
    <w:p w14:paraId="796C8687">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Times New Roman" w:eastAsia="宋体" w:cs="Times New Roman"/>
          <w:kern w:val="0"/>
          <w:szCs w:val="20"/>
        </w:rPr>
      </w:pPr>
      <w:r>
        <w:rPr>
          <w:rFonts w:hint="eastAsia" w:ascii="宋体" w:hAnsi="Times New Roman" w:eastAsia="宋体" w:cs="Times New Roman"/>
          <w:kern w:val="0"/>
          <w:szCs w:val="20"/>
        </w:rPr>
        <w:t>应建立复合经营技术档案，包括</w:t>
      </w:r>
      <w:r>
        <w:rPr>
          <w:rFonts w:hint="eastAsia" w:ascii="宋体" w:hAnsi="Times New Roman" w:eastAsia="宋体" w:cs="Times New Roman"/>
          <w:kern w:val="0"/>
          <w:szCs w:val="20"/>
          <w:lang w:val="en-US" w:eastAsia="zh-CN"/>
        </w:rPr>
        <w:t>林地选择、林地</w:t>
      </w:r>
      <w:r>
        <w:rPr>
          <w:rFonts w:hint="eastAsia" w:ascii="宋体" w:hAnsi="Times New Roman" w:eastAsia="宋体" w:cs="Times New Roman"/>
          <w:kern w:val="0"/>
          <w:szCs w:val="20"/>
        </w:rPr>
        <w:t>选择、林分调控、珍贵阔叶树配置、箭叶淫羊藿种栽培、抚育</w:t>
      </w:r>
      <w:r>
        <w:rPr>
          <w:rFonts w:hint="eastAsia" w:ascii="宋体" w:hAnsi="Times New Roman" w:eastAsia="宋体" w:cs="Times New Roman"/>
          <w:kern w:val="0"/>
          <w:szCs w:val="20"/>
          <w:lang w:val="en-US" w:eastAsia="zh-CN"/>
        </w:rPr>
        <w:t>管理</w:t>
      </w:r>
      <w:r>
        <w:rPr>
          <w:rFonts w:hint="eastAsia" w:ascii="宋体" w:hAnsi="Times New Roman" w:eastAsia="宋体" w:cs="Times New Roman"/>
          <w:kern w:val="0"/>
          <w:szCs w:val="20"/>
        </w:rPr>
        <w:t>、采收与</w:t>
      </w:r>
      <w:r>
        <w:rPr>
          <w:rFonts w:hint="eastAsia" w:ascii="宋体" w:hAnsi="Times New Roman" w:eastAsia="宋体" w:cs="Times New Roman"/>
          <w:kern w:val="0"/>
          <w:szCs w:val="20"/>
          <w:lang w:val="en-US" w:eastAsia="zh-CN"/>
        </w:rPr>
        <w:t>贮藏等，</w:t>
      </w:r>
      <w:r>
        <w:rPr>
          <w:rFonts w:hint="eastAsia" w:ascii="宋体" w:hAnsi="Times New Roman" w:eastAsia="宋体" w:cs="Times New Roman"/>
          <w:kern w:val="0"/>
          <w:szCs w:val="20"/>
        </w:rPr>
        <w:t>档案保存期限不少于</w:t>
      </w:r>
      <w:r>
        <w:rPr>
          <w:rFonts w:hint="eastAsia" w:ascii="宋体" w:hAnsi="Times New Roman" w:eastAsia="宋体" w:cs="Times New Roman"/>
          <w:kern w:val="0"/>
          <w:szCs w:val="20"/>
          <w:lang w:val="en-US" w:eastAsia="zh-CN"/>
        </w:rPr>
        <w:t>3年</w:t>
      </w:r>
      <w:r>
        <w:rPr>
          <w:rFonts w:hint="eastAsia" w:ascii="宋体" w:hAnsi="Times New Roman" w:eastAsia="宋体" w:cs="Times New Roman"/>
          <w:kern w:val="0"/>
          <w:szCs w:val="20"/>
        </w:rPr>
        <w:t>。</w:t>
      </w:r>
    </w:p>
    <w:p w14:paraId="35813E9E">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Times New Roman" w:eastAsia="宋体" w:cs="Times New Roman"/>
          <w:kern w:val="0"/>
          <w:szCs w:val="20"/>
          <w:lang w:val="en-US" w:eastAsia="zh-CN"/>
        </w:rPr>
      </w:pPr>
      <w:r>
        <w:rPr>
          <w:rFonts w:hint="eastAsia" w:ascii="宋体" w:hAnsi="Times New Roman" w:eastAsia="宋体" w:cs="Times New Roman"/>
          <w:b/>
          <w:bCs/>
          <w:kern w:val="0"/>
          <w:szCs w:val="20"/>
          <w:lang w:val="en-US" w:eastAsia="zh-CN"/>
        </w:rPr>
        <w:t>10.2  追溯</w:t>
      </w:r>
    </w:p>
    <w:p w14:paraId="37C720E1">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default" w:ascii="宋体" w:hAnsi="Times New Roman" w:eastAsia="宋体" w:cs="Times New Roman"/>
          <w:kern w:val="0"/>
          <w:szCs w:val="20"/>
          <w:lang w:val="en-US" w:eastAsia="zh-CN"/>
        </w:rPr>
      </w:pPr>
      <w:r>
        <w:rPr>
          <w:rFonts w:hint="default" w:ascii="宋体" w:hAnsi="Times New Roman" w:eastAsia="宋体" w:cs="Times New Roman"/>
          <w:kern w:val="0"/>
          <w:szCs w:val="20"/>
          <w:lang w:val="en-US" w:eastAsia="zh-CN"/>
        </w:rPr>
        <w:t>应建立符合《中药材生产质量管理规范》规定的箭叶淫羊藿生产全程质量追溯体系。</w:t>
      </w:r>
    </w:p>
    <w:p w14:paraId="66DF6177">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default" w:ascii="宋体" w:hAnsi="Times New Roman" w:eastAsia="宋体" w:cs="Times New Roman"/>
          <w:kern w:val="0"/>
          <w:szCs w:val="20"/>
          <w:lang w:val="en-US" w:eastAsia="zh-CN"/>
        </w:rPr>
      </w:pPr>
    </w:p>
    <w:p w14:paraId="7520D8B4">
      <w:pPr>
        <w:keepNext w:val="0"/>
        <w:keepLines w:val="0"/>
        <w:pageBreakBefore w:val="0"/>
        <w:widowControl w:val="0"/>
        <w:kinsoku/>
        <w:wordWrap/>
        <w:overflowPunct/>
        <w:topLinePunct w:val="0"/>
        <w:autoSpaceDE/>
        <w:autoSpaceDN/>
        <w:bidi w:val="0"/>
        <w:adjustRightInd w:val="0"/>
        <w:snapToGrid w:val="0"/>
        <w:spacing w:line="300" w:lineRule="exact"/>
        <w:ind w:firstLine="420" w:firstLineChars="200"/>
        <w:textAlignment w:val="auto"/>
        <w:rPr>
          <w:rFonts w:hint="default" w:ascii="宋体" w:hAnsi="Times New Roman" w:eastAsia="宋体" w:cs="Times New Roman"/>
          <w:kern w:val="0"/>
          <w:szCs w:val="20"/>
          <w:lang w:val="en-US" w:eastAsia="zh-CN"/>
        </w:rPr>
      </w:pPr>
      <w:bookmarkStart w:id="31" w:name="_GoBack"/>
      <w:bookmarkEnd w:id="31"/>
      <w:r>
        <w:rPr>
          <w:sz w:val="21"/>
        </w:rPr>
        <mc:AlternateContent>
          <mc:Choice Requires="wps">
            <w:drawing>
              <wp:anchor distT="0" distB="0" distL="114300" distR="114300" simplePos="0" relativeHeight="251673600" behindDoc="0" locked="0" layoutInCell="1" allowOverlap="1">
                <wp:simplePos x="0" y="0"/>
                <wp:positionH relativeFrom="column">
                  <wp:posOffset>1784350</wp:posOffset>
                </wp:positionH>
                <wp:positionV relativeFrom="paragraph">
                  <wp:posOffset>424180</wp:posOffset>
                </wp:positionV>
                <wp:extent cx="1480185" cy="0"/>
                <wp:effectExtent l="0" t="6350" r="0" b="6350"/>
                <wp:wrapNone/>
                <wp:docPr id="7" name="直接连接符 7"/>
                <wp:cNvGraphicFramePr/>
                <a:graphic xmlns:a="http://schemas.openxmlformats.org/drawingml/2006/main">
                  <a:graphicData uri="http://schemas.microsoft.com/office/word/2010/wordprocessingShape">
                    <wps:wsp>
                      <wps:cNvCnPr/>
                      <wps:spPr>
                        <a:xfrm>
                          <a:off x="2684780" y="3988435"/>
                          <a:ext cx="1480185" cy="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40.5pt;margin-top:33.4pt;height:0pt;width:116.55pt;z-index:251673600;mso-width-relative:page;mso-height-relative:page;" filled="f" stroked="t" coordsize="21600,21600" o:gfxdata="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4KxnXUAAAACQEAAA8AAAAAAAAAAQAgAAAAIgAAAGRycy9kb3ducmV2LnhtbFBL&#10;AQIUABQAAAAIAIdO4kCToANz+gEAAL4DAAAOAAAAAAAAAAEAIAAAACMBAABkcnMvZTJvRG9jLnht&#10;bFBLBQYAAAAABgAGAFkBAACPBQAAAAA=&#10;">
                <v:fill on="f" focussize="0,0"/>
                <v:stroke weight="1pt" color="#5B9BD5 [3204]" miterlimit="8" joinstyle="miter"/>
                <v:imagedata o:title=""/>
                <o:lock v:ext="edit" aspectratio="f"/>
              </v:line>
            </w:pict>
          </mc:Fallback>
        </mc:AlternateContent>
      </w:r>
    </w:p>
    <w:sectPr>
      <w:pgSz w:w="11906" w:h="16838"/>
      <w:pgMar w:top="567" w:right="1134" w:bottom="1134" w:left="1418" w:header="1417" w:footer="1134"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Calibri Light">
    <w:altName w:val="Arial"/>
    <w:panose1 w:val="020F0302020204030204"/>
    <w:charset w:val="00"/>
    <w:family w:val="swiss"/>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320432"/>
      <w:docPartObj>
        <w:docPartGallery w:val="autotext"/>
      </w:docPartObj>
    </w:sdtPr>
    <w:sdtEndPr>
      <w:rPr>
        <w:rFonts w:ascii="Times New Roman" w:hAnsi="Times New Roman" w:cs="Times New Roman"/>
      </w:rPr>
    </w:sdtEndPr>
    <w:sdtContent>
      <w:p w14:paraId="55119DA4">
        <w:pPr>
          <w:pStyle w:val="14"/>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11</w:t>
        </w:r>
        <w:r>
          <w:rPr>
            <w:rFonts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320431"/>
      <w:docPartObj>
        <w:docPartGallery w:val="autotext"/>
      </w:docPartObj>
    </w:sdtPr>
    <w:sdtContent>
      <w:p w14:paraId="2AA6B14D">
        <w:pPr>
          <w:pStyle w:val="14"/>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II</w:t>
        </w:r>
        <w:r>
          <w:rPr>
            <w:rFonts w:ascii="Times New Roman" w:hAnsi="Times New Roman" w:cs="Times New Roma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58B5F">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320441"/>
      <w:docPartObj>
        <w:docPartGallery w:val="autotext"/>
      </w:docPartObj>
    </w:sdtPr>
    <w:sdtEndPr>
      <w:rPr>
        <w:rFonts w:ascii="宋体" w:hAnsi="宋体" w:eastAsia="宋体"/>
      </w:rPr>
    </w:sdtEndPr>
    <w:sdtContent>
      <w:p w14:paraId="36956D38">
        <w:pPr>
          <w:pStyle w:val="14"/>
          <w:jc w:val="right"/>
        </w:pP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lang w:val="zh-CN"/>
          </w:rPr>
          <w:t>1</w:t>
        </w:r>
        <w:r>
          <w:rPr>
            <w:rFonts w:ascii="宋体" w:hAnsi="宋体" w:eastAsia="宋体"/>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12EC6">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BEA19">
    <w:pPr>
      <w:pStyle w:val="15"/>
      <w:pBdr>
        <w:bottom w:val="none" w:color="auto" w:sz="0" w:space="0"/>
      </w:pBdr>
      <w:jc w:val="left"/>
      <w:rPr>
        <w:rFonts w:ascii="黑体" w:hAnsi="黑体" w:eastAsia="黑体" w:cs="Times New Roman"/>
        <w:sz w:val="21"/>
        <w:szCs w:val="21"/>
      </w:rPr>
    </w:pPr>
    <w:r>
      <w:rPr>
        <w:rFonts w:ascii="黑体" w:hAnsi="黑体" w:eastAsia="黑体" w:cs="Times New Roman"/>
        <w:sz w:val="21"/>
        <w:szCs w:val="21"/>
      </w:rPr>
      <w:t>T/CSF</w:t>
    </w:r>
    <w:r>
      <w:rPr>
        <w:rFonts w:hint="eastAsia" w:ascii="黑体" w:hAnsi="黑体" w:eastAsia="黑体" w:cs="Times New Roman"/>
        <w:sz w:val="21"/>
        <w:szCs w:val="21"/>
      </w:rPr>
      <w:t xml:space="preserve"> </w:t>
    </w:r>
    <w:r>
      <w:rPr>
        <w:rFonts w:ascii="黑体" w:hAnsi="黑体" w:eastAsia="黑体" w:cs="Times New Roman"/>
        <w:sz w:val="21"/>
        <w:szCs w:val="21"/>
      </w:rPr>
      <w:t>×××</w:t>
    </w:r>
    <w:r>
      <w:rPr>
        <w:rFonts w:hint="eastAsia" w:ascii="黑体" w:hAnsi="黑体" w:eastAsia="黑体" w:cs="Times New Roman"/>
        <w:sz w:val="21"/>
        <w:szCs w:val="21"/>
      </w:rPr>
      <w:t>—</w:t>
    </w:r>
    <w:r>
      <w:rPr>
        <w:rFonts w:ascii="黑体" w:hAnsi="黑体" w:eastAsia="黑体" w:cs="Times New Roman"/>
        <w:sz w:val="21"/>
        <w:szCs w:val="21"/>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D9DD1">
    <w:pPr>
      <w:tabs>
        <w:tab w:val="center" w:pos="4153"/>
        <w:tab w:val="right" w:pos="8306"/>
      </w:tabs>
      <w:snapToGrid w:val="0"/>
      <w:spacing w:afterLines="100"/>
      <w:jc w:val="right"/>
      <w:rPr>
        <w:rFonts w:ascii="黑体" w:hAnsi="黑体" w:eastAsia="黑体" w:cs="Times New Roman"/>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5EF49">
    <w:pPr>
      <w:tabs>
        <w:tab w:val="center" w:pos="4153"/>
        <w:tab w:val="right" w:pos="8306"/>
      </w:tabs>
      <w:snapToGrid w:val="0"/>
      <w:spacing w:afterLines="100"/>
      <w:jc w:val="right"/>
      <w:rPr>
        <w:rFonts w:ascii="黑体" w:hAnsi="黑体" w:eastAsia="黑体" w:cs="Times New Roman"/>
        <w:szCs w:val="21"/>
      </w:rPr>
    </w:pPr>
    <w:r>
      <w:rPr>
        <w:rFonts w:ascii="黑体" w:hAnsi="黑体" w:eastAsia="黑体" w:cs="Times New Roman"/>
        <w:szCs w:val="21"/>
      </w:rPr>
      <w:t>T/CSF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7"/>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hideGrammaticalErrors/>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ADA"/>
    <w:rsid w:val="00002611"/>
    <w:rsid w:val="00004487"/>
    <w:rsid w:val="0000726F"/>
    <w:rsid w:val="00011739"/>
    <w:rsid w:val="00014B7A"/>
    <w:rsid w:val="00016029"/>
    <w:rsid w:val="00025ABB"/>
    <w:rsid w:val="000270D4"/>
    <w:rsid w:val="00031376"/>
    <w:rsid w:val="00031EF2"/>
    <w:rsid w:val="00032788"/>
    <w:rsid w:val="0003367D"/>
    <w:rsid w:val="00034E97"/>
    <w:rsid w:val="0003542F"/>
    <w:rsid w:val="000355E5"/>
    <w:rsid w:val="000431C9"/>
    <w:rsid w:val="000600B1"/>
    <w:rsid w:val="000651A8"/>
    <w:rsid w:val="00075079"/>
    <w:rsid w:val="00080C7D"/>
    <w:rsid w:val="00080D64"/>
    <w:rsid w:val="00080E41"/>
    <w:rsid w:val="00082B23"/>
    <w:rsid w:val="00085D3B"/>
    <w:rsid w:val="00092C48"/>
    <w:rsid w:val="000937DF"/>
    <w:rsid w:val="000C27BA"/>
    <w:rsid w:val="000D06A2"/>
    <w:rsid w:val="000E1B54"/>
    <w:rsid w:val="000E3346"/>
    <w:rsid w:val="000E65FD"/>
    <w:rsid w:val="000F03E9"/>
    <w:rsid w:val="00105092"/>
    <w:rsid w:val="001067C5"/>
    <w:rsid w:val="00111656"/>
    <w:rsid w:val="00112C4C"/>
    <w:rsid w:val="00115CA3"/>
    <w:rsid w:val="00123DF7"/>
    <w:rsid w:val="00124BE8"/>
    <w:rsid w:val="00131303"/>
    <w:rsid w:val="00135AB4"/>
    <w:rsid w:val="00143F1D"/>
    <w:rsid w:val="00151805"/>
    <w:rsid w:val="00153B11"/>
    <w:rsid w:val="00162718"/>
    <w:rsid w:val="00162798"/>
    <w:rsid w:val="0016525E"/>
    <w:rsid w:val="00167596"/>
    <w:rsid w:val="00184C73"/>
    <w:rsid w:val="0019617C"/>
    <w:rsid w:val="001A441E"/>
    <w:rsid w:val="001A6836"/>
    <w:rsid w:val="001B46C8"/>
    <w:rsid w:val="001C5142"/>
    <w:rsid w:val="001D081C"/>
    <w:rsid w:val="001D45D6"/>
    <w:rsid w:val="001E76F2"/>
    <w:rsid w:val="001F5E8F"/>
    <w:rsid w:val="001F644E"/>
    <w:rsid w:val="001F7040"/>
    <w:rsid w:val="00203BE6"/>
    <w:rsid w:val="00203C5D"/>
    <w:rsid w:val="00207385"/>
    <w:rsid w:val="0021034D"/>
    <w:rsid w:val="0021766A"/>
    <w:rsid w:val="00222DE1"/>
    <w:rsid w:val="00224EA8"/>
    <w:rsid w:val="00233A6A"/>
    <w:rsid w:val="00235593"/>
    <w:rsid w:val="00235AD2"/>
    <w:rsid w:val="002379A5"/>
    <w:rsid w:val="002427DA"/>
    <w:rsid w:val="00244B57"/>
    <w:rsid w:val="00257A58"/>
    <w:rsid w:val="00272813"/>
    <w:rsid w:val="0027552C"/>
    <w:rsid w:val="00280C11"/>
    <w:rsid w:val="00290DD1"/>
    <w:rsid w:val="00291056"/>
    <w:rsid w:val="00297839"/>
    <w:rsid w:val="002B7A39"/>
    <w:rsid w:val="002C04DF"/>
    <w:rsid w:val="002C5B8A"/>
    <w:rsid w:val="002D09F8"/>
    <w:rsid w:val="002D3344"/>
    <w:rsid w:val="002F221D"/>
    <w:rsid w:val="0030074E"/>
    <w:rsid w:val="00302566"/>
    <w:rsid w:val="003026A4"/>
    <w:rsid w:val="00304701"/>
    <w:rsid w:val="003058EE"/>
    <w:rsid w:val="003103CB"/>
    <w:rsid w:val="003132A7"/>
    <w:rsid w:val="00323DBC"/>
    <w:rsid w:val="00334B71"/>
    <w:rsid w:val="00335F0B"/>
    <w:rsid w:val="00342834"/>
    <w:rsid w:val="0034767A"/>
    <w:rsid w:val="00353566"/>
    <w:rsid w:val="003640C5"/>
    <w:rsid w:val="003663FB"/>
    <w:rsid w:val="003674A1"/>
    <w:rsid w:val="0037018C"/>
    <w:rsid w:val="00382743"/>
    <w:rsid w:val="0038505B"/>
    <w:rsid w:val="003A3161"/>
    <w:rsid w:val="003B1043"/>
    <w:rsid w:val="003B1D5A"/>
    <w:rsid w:val="003B7205"/>
    <w:rsid w:val="003B763C"/>
    <w:rsid w:val="003D22EF"/>
    <w:rsid w:val="003D45BF"/>
    <w:rsid w:val="003D6D1A"/>
    <w:rsid w:val="003E085C"/>
    <w:rsid w:val="003E0CBC"/>
    <w:rsid w:val="003F67D2"/>
    <w:rsid w:val="00400B58"/>
    <w:rsid w:val="00402C1B"/>
    <w:rsid w:val="004058A3"/>
    <w:rsid w:val="00410B78"/>
    <w:rsid w:val="004177EC"/>
    <w:rsid w:val="0042060D"/>
    <w:rsid w:val="00421556"/>
    <w:rsid w:val="00442242"/>
    <w:rsid w:val="004427C6"/>
    <w:rsid w:val="00455EDD"/>
    <w:rsid w:val="00461C03"/>
    <w:rsid w:val="00470D6E"/>
    <w:rsid w:val="0048303B"/>
    <w:rsid w:val="00487E2E"/>
    <w:rsid w:val="00490B57"/>
    <w:rsid w:val="00492649"/>
    <w:rsid w:val="004939A7"/>
    <w:rsid w:val="004A2249"/>
    <w:rsid w:val="004A5E83"/>
    <w:rsid w:val="004B3FA6"/>
    <w:rsid w:val="004B541A"/>
    <w:rsid w:val="004B69DC"/>
    <w:rsid w:val="004C6945"/>
    <w:rsid w:val="004D682F"/>
    <w:rsid w:val="004D7020"/>
    <w:rsid w:val="004E64C4"/>
    <w:rsid w:val="004F533B"/>
    <w:rsid w:val="004F626F"/>
    <w:rsid w:val="00505136"/>
    <w:rsid w:val="00512D90"/>
    <w:rsid w:val="00523103"/>
    <w:rsid w:val="00533C85"/>
    <w:rsid w:val="0053454F"/>
    <w:rsid w:val="00535C21"/>
    <w:rsid w:val="0053630A"/>
    <w:rsid w:val="00552855"/>
    <w:rsid w:val="00564658"/>
    <w:rsid w:val="005735F8"/>
    <w:rsid w:val="00581A3A"/>
    <w:rsid w:val="00583C33"/>
    <w:rsid w:val="0058460E"/>
    <w:rsid w:val="005872E2"/>
    <w:rsid w:val="005875CA"/>
    <w:rsid w:val="00592067"/>
    <w:rsid w:val="00592A6B"/>
    <w:rsid w:val="0059365C"/>
    <w:rsid w:val="005A2774"/>
    <w:rsid w:val="005A6DDD"/>
    <w:rsid w:val="005B1FC4"/>
    <w:rsid w:val="005B4D21"/>
    <w:rsid w:val="005B6BBC"/>
    <w:rsid w:val="005D6157"/>
    <w:rsid w:val="005D71D0"/>
    <w:rsid w:val="005E61FA"/>
    <w:rsid w:val="005F6F5F"/>
    <w:rsid w:val="00605BE8"/>
    <w:rsid w:val="00612FBF"/>
    <w:rsid w:val="00615171"/>
    <w:rsid w:val="0062726B"/>
    <w:rsid w:val="00631809"/>
    <w:rsid w:val="00637F4B"/>
    <w:rsid w:val="006456FE"/>
    <w:rsid w:val="00646154"/>
    <w:rsid w:val="00646B1E"/>
    <w:rsid w:val="006551F0"/>
    <w:rsid w:val="006556A7"/>
    <w:rsid w:val="006571F6"/>
    <w:rsid w:val="00660088"/>
    <w:rsid w:val="0066406E"/>
    <w:rsid w:val="0067456A"/>
    <w:rsid w:val="006800D0"/>
    <w:rsid w:val="00684DD4"/>
    <w:rsid w:val="0068656F"/>
    <w:rsid w:val="0069366D"/>
    <w:rsid w:val="006A420B"/>
    <w:rsid w:val="006B1741"/>
    <w:rsid w:val="006B4156"/>
    <w:rsid w:val="006B6491"/>
    <w:rsid w:val="006B7A77"/>
    <w:rsid w:val="006D3013"/>
    <w:rsid w:val="006D3DC9"/>
    <w:rsid w:val="006D5EF9"/>
    <w:rsid w:val="006D691C"/>
    <w:rsid w:val="006E60B6"/>
    <w:rsid w:val="006F6B5F"/>
    <w:rsid w:val="006F787C"/>
    <w:rsid w:val="00705852"/>
    <w:rsid w:val="007154D6"/>
    <w:rsid w:val="0072422A"/>
    <w:rsid w:val="007252A1"/>
    <w:rsid w:val="00725484"/>
    <w:rsid w:val="00730457"/>
    <w:rsid w:val="0073352F"/>
    <w:rsid w:val="007404F1"/>
    <w:rsid w:val="00741BD8"/>
    <w:rsid w:val="00747FD5"/>
    <w:rsid w:val="00755057"/>
    <w:rsid w:val="007605C1"/>
    <w:rsid w:val="00770D6C"/>
    <w:rsid w:val="00775B22"/>
    <w:rsid w:val="007843F3"/>
    <w:rsid w:val="007924E3"/>
    <w:rsid w:val="007954F0"/>
    <w:rsid w:val="007974E1"/>
    <w:rsid w:val="007A2F12"/>
    <w:rsid w:val="007B1262"/>
    <w:rsid w:val="007B2F31"/>
    <w:rsid w:val="007B3C01"/>
    <w:rsid w:val="007C1D0A"/>
    <w:rsid w:val="007D5A24"/>
    <w:rsid w:val="007D66B0"/>
    <w:rsid w:val="007D7F43"/>
    <w:rsid w:val="007F0D47"/>
    <w:rsid w:val="007F6B0A"/>
    <w:rsid w:val="0080265F"/>
    <w:rsid w:val="008171B7"/>
    <w:rsid w:val="00817288"/>
    <w:rsid w:val="00817D81"/>
    <w:rsid w:val="008209B0"/>
    <w:rsid w:val="0082310E"/>
    <w:rsid w:val="008272CE"/>
    <w:rsid w:val="00836A34"/>
    <w:rsid w:val="00837F7C"/>
    <w:rsid w:val="00840590"/>
    <w:rsid w:val="00842A10"/>
    <w:rsid w:val="00854A49"/>
    <w:rsid w:val="00857854"/>
    <w:rsid w:val="00866A7D"/>
    <w:rsid w:val="00867A39"/>
    <w:rsid w:val="008725CC"/>
    <w:rsid w:val="00881040"/>
    <w:rsid w:val="00892341"/>
    <w:rsid w:val="00894020"/>
    <w:rsid w:val="008A1571"/>
    <w:rsid w:val="008A75BB"/>
    <w:rsid w:val="008B2CCB"/>
    <w:rsid w:val="008B3DF6"/>
    <w:rsid w:val="008B55CD"/>
    <w:rsid w:val="008B6564"/>
    <w:rsid w:val="008B76E6"/>
    <w:rsid w:val="008C353B"/>
    <w:rsid w:val="008E25B6"/>
    <w:rsid w:val="008F2A72"/>
    <w:rsid w:val="008F4189"/>
    <w:rsid w:val="00900622"/>
    <w:rsid w:val="00906E4C"/>
    <w:rsid w:val="00911935"/>
    <w:rsid w:val="009142A0"/>
    <w:rsid w:val="00917694"/>
    <w:rsid w:val="009209CC"/>
    <w:rsid w:val="0092544D"/>
    <w:rsid w:val="00926A3A"/>
    <w:rsid w:val="00931674"/>
    <w:rsid w:val="00950869"/>
    <w:rsid w:val="00950A60"/>
    <w:rsid w:val="00954D49"/>
    <w:rsid w:val="00955FAB"/>
    <w:rsid w:val="00957361"/>
    <w:rsid w:val="009620DB"/>
    <w:rsid w:val="00970394"/>
    <w:rsid w:val="00974A98"/>
    <w:rsid w:val="0098282F"/>
    <w:rsid w:val="00982BF0"/>
    <w:rsid w:val="00985579"/>
    <w:rsid w:val="009879C3"/>
    <w:rsid w:val="009908A8"/>
    <w:rsid w:val="009A6425"/>
    <w:rsid w:val="009C322C"/>
    <w:rsid w:val="009C452B"/>
    <w:rsid w:val="009C72D1"/>
    <w:rsid w:val="009C79B6"/>
    <w:rsid w:val="009D4E55"/>
    <w:rsid w:val="009E160E"/>
    <w:rsid w:val="009E66F4"/>
    <w:rsid w:val="009E79E4"/>
    <w:rsid w:val="00A00CE7"/>
    <w:rsid w:val="00A058E0"/>
    <w:rsid w:val="00A12E6B"/>
    <w:rsid w:val="00A2058F"/>
    <w:rsid w:val="00A22167"/>
    <w:rsid w:val="00A24BDE"/>
    <w:rsid w:val="00A3435C"/>
    <w:rsid w:val="00A3715B"/>
    <w:rsid w:val="00A44501"/>
    <w:rsid w:val="00A54241"/>
    <w:rsid w:val="00A54E14"/>
    <w:rsid w:val="00A55C59"/>
    <w:rsid w:val="00A609AA"/>
    <w:rsid w:val="00A640EB"/>
    <w:rsid w:val="00A70A85"/>
    <w:rsid w:val="00A71840"/>
    <w:rsid w:val="00A80D35"/>
    <w:rsid w:val="00A81B41"/>
    <w:rsid w:val="00A83679"/>
    <w:rsid w:val="00A84A02"/>
    <w:rsid w:val="00A866F5"/>
    <w:rsid w:val="00A93081"/>
    <w:rsid w:val="00A97E7E"/>
    <w:rsid w:val="00AA0EF9"/>
    <w:rsid w:val="00AB0A60"/>
    <w:rsid w:val="00AB1AC4"/>
    <w:rsid w:val="00AB522A"/>
    <w:rsid w:val="00AB7216"/>
    <w:rsid w:val="00AC56B4"/>
    <w:rsid w:val="00AC710A"/>
    <w:rsid w:val="00AD7291"/>
    <w:rsid w:val="00AD7374"/>
    <w:rsid w:val="00AE3C0C"/>
    <w:rsid w:val="00AE7F1D"/>
    <w:rsid w:val="00AF5FB8"/>
    <w:rsid w:val="00AF69B1"/>
    <w:rsid w:val="00AF7157"/>
    <w:rsid w:val="00B116F3"/>
    <w:rsid w:val="00B15AA1"/>
    <w:rsid w:val="00B17260"/>
    <w:rsid w:val="00B31C78"/>
    <w:rsid w:val="00B409DE"/>
    <w:rsid w:val="00B46138"/>
    <w:rsid w:val="00B47AA9"/>
    <w:rsid w:val="00B504DD"/>
    <w:rsid w:val="00B533E2"/>
    <w:rsid w:val="00B56975"/>
    <w:rsid w:val="00B62BB9"/>
    <w:rsid w:val="00B7175E"/>
    <w:rsid w:val="00B7237A"/>
    <w:rsid w:val="00B92706"/>
    <w:rsid w:val="00B93790"/>
    <w:rsid w:val="00B96B7D"/>
    <w:rsid w:val="00BA53F7"/>
    <w:rsid w:val="00BC0B2F"/>
    <w:rsid w:val="00BC1FC6"/>
    <w:rsid w:val="00BC2D42"/>
    <w:rsid w:val="00BC315D"/>
    <w:rsid w:val="00BC4B74"/>
    <w:rsid w:val="00BC6A70"/>
    <w:rsid w:val="00BC6A9A"/>
    <w:rsid w:val="00BD1948"/>
    <w:rsid w:val="00BD24F0"/>
    <w:rsid w:val="00BD63F1"/>
    <w:rsid w:val="00BD6C5D"/>
    <w:rsid w:val="00BF523F"/>
    <w:rsid w:val="00BF558C"/>
    <w:rsid w:val="00C06133"/>
    <w:rsid w:val="00C0658D"/>
    <w:rsid w:val="00C06786"/>
    <w:rsid w:val="00C10218"/>
    <w:rsid w:val="00C26325"/>
    <w:rsid w:val="00C32BCB"/>
    <w:rsid w:val="00C36CBB"/>
    <w:rsid w:val="00C453BD"/>
    <w:rsid w:val="00C549BF"/>
    <w:rsid w:val="00C54CBB"/>
    <w:rsid w:val="00C558EF"/>
    <w:rsid w:val="00C64D8E"/>
    <w:rsid w:val="00C65F15"/>
    <w:rsid w:val="00C660D0"/>
    <w:rsid w:val="00C70E42"/>
    <w:rsid w:val="00C7501D"/>
    <w:rsid w:val="00C80CD7"/>
    <w:rsid w:val="00C81032"/>
    <w:rsid w:val="00C810F5"/>
    <w:rsid w:val="00C9030C"/>
    <w:rsid w:val="00C91E2D"/>
    <w:rsid w:val="00C978AB"/>
    <w:rsid w:val="00CA62D9"/>
    <w:rsid w:val="00CB1260"/>
    <w:rsid w:val="00CB1568"/>
    <w:rsid w:val="00CB16E7"/>
    <w:rsid w:val="00CC3BC5"/>
    <w:rsid w:val="00CC4B44"/>
    <w:rsid w:val="00CC72D8"/>
    <w:rsid w:val="00CD52AA"/>
    <w:rsid w:val="00CD6EB1"/>
    <w:rsid w:val="00CE11C2"/>
    <w:rsid w:val="00CE2710"/>
    <w:rsid w:val="00CE3296"/>
    <w:rsid w:val="00CF08D3"/>
    <w:rsid w:val="00CF0BD5"/>
    <w:rsid w:val="00CF243F"/>
    <w:rsid w:val="00CF2813"/>
    <w:rsid w:val="00CF7FAF"/>
    <w:rsid w:val="00D00AA0"/>
    <w:rsid w:val="00D03EE8"/>
    <w:rsid w:val="00D20D32"/>
    <w:rsid w:val="00D2434E"/>
    <w:rsid w:val="00D24945"/>
    <w:rsid w:val="00D36690"/>
    <w:rsid w:val="00D414F9"/>
    <w:rsid w:val="00D460E8"/>
    <w:rsid w:val="00D60A21"/>
    <w:rsid w:val="00D71368"/>
    <w:rsid w:val="00D723BF"/>
    <w:rsid w:val="00D7602E"/>
    <w:rsid w:val="00D76FDD"/>
    <w:rsid w:val="00D91B7C"/>
    <w:rsid w:val="00D95EEC"/>
    <w:rsid w:val="00D971AD"/>
    <w:rsid w:val="00DA13A4"/>
    <w:rsid w:val="00DA594A"/>
    <w:rsid w:val="00DA652F"/>
    <w:rsid w:val="00DC420A"/>
    <w:rsid w:val="00DC5B24"/>
    <w:rsid w:val="00DD088F"/>
    <w:rsid w:val="00DD4E96"/>
    <w:rsid w:val="00DD67C1"/>
    <w:rsid w:val="00DE1A95"/>
    <w:rsid w:val="00DF2254"/>
    <w:rsid w:val="00E03302"/>
    <w:rsid w:val="00E07D10"/>
    <w:rsid w:val="00E173F1"/>
    <w:rsid w:val="00E2331D"/>
    <w:rsid w:val="00E36C96"/>
    <w:rsid w:val="00E43DA7"/>
    <w:rsid w:val="00E4437C"/>
    <w:rsid w:val="00E44D0A"/>
    <w:rsid w:val="00E51D4C"/>
    <w:rsid w:val="00E56934"/>
    <w:rsid w:val="00E62BE8"/>
    <w:rsid w:val="00E70B70"/>
    <w:rsid w:val="00E7282F"/>
    <w:rsid w:val="00E7320D"/>
    <w:rsid w:val="00E73A18"/>
    <w:rsid w:val="00E75624"/>
    <w:rsid w:val="00E810A9"/>
    <w:rsid w:val="00E81ADA"/>
    <w:rsid w:val="00E85EB1"/>
    <w:rsid w:val="00E923F3"/>
    <w:rsid w:val="00EA3CED"/>
    <w:rsid w:val="00EA4180"/>
    <w:rsid w:val="00EA4270"/>
    <w:rsid w:val="00EB36BF"/>
    <w:rsid w:val="00EC107E"/>
    <w:rsid w:val="00EC3D37"/>
    <w:rsid w:val="00ED0764"/>
    <w:rsid w:val="00ED3F5C"/>
    <w:rsid w:val="00ED5B34"/>
    <w:rsid w:val="00EE19B1"/>
    <w:rsid w:val="00EE20F7"/>
    <w:rsid w:val="00EE3501"/>
    <w:rsid w:val="00EE715A"/>
    <w:rsid w:val="00EE7BDB"/>
    <w:rsid w:val="00EF0EE4"/>
    <w:rsid w:val="00EF1590"/>
    <w:rsid w:val="00EF613C"/>
    <w:rsid w:val="00EF7088"/>
    <w:rsid w:val="00F04BBE"/>
    <w:rsid w:val="00F04D0D"/>
    <w:rsid w:val="00F11343"/>
    <w:rsid w:val="00F139A0"/>
    <w:rsid w:val="00F14D36"/>
    <w:rsid w:val="00F157D9"/>
    <w:rsid w:val="00F30E9C"/>
    <w:rsid w:val="00F32A51"/>
    <w:rsid w:val="00F33665"/>
    <w:rsid w:val="00F35BFB"/>
    <w:rsid w:val="00F36C12"/>
    <w:rsid w:val="00F4514C"/>
    <w:rsid w:val="00F4636B"/>
    <w:rsid w:val="00F5219B"/>
    <w:rsid w:val="00F53A87"/>
    <w:rsid w:val="00F568AC"/>
    <w:rsid w:val="00F62039"/>
    <w:rsid w:val="00F767FB"/>
    <w:rsid w:val="00F808AB"/>
    <w:rsid w:val="00F876A9"/>
    <w:rsid w:val="00F91F19"/>
    <w:rsid w:val="00F922B8"/>
    <w:rsid w:val="00F9664D"/>
    <w:rsid w:val="00FA31ED"/>
    <w:rsid w:val="00FB499A"/>
    <w:rsid w:val="00FB4DF4"/>
    <w:rsid w:val="00FC0E10"/>
    <w:rsid w:val="00FC3543"/>
    <w:rsid w:val="00FC3D50"/>
    <w:rsid w:val="00FC3D85"/>
    <w:rsid w:val="00FC6134"/>
    <w:rsid w:val="00FD0A75"/>
    <w:rsid w:val="00FD1183"/>
    <w:rsid w:val="00FD2FE3"/>
    <w:rsid w:val="00FE0505"/>
    <w:rsid w:val="00FE1E60"/>
    <w:rsid w:val="00FE4EA0"/>
    <w:rsid w:val="00FF2452"/>
    <w:rsid w:val="02261232"/>
    <w:rsid w:val="030412F7"/>
    <w:rsid w:val="054279B7"/>
    <w:rsid w:val="05BB2D0F"/>
    <w:rsid w:val="060D1751"/>
    <w:rsid w:val="07120885"/>
    <w:rsid w:val="079F49D6"/>
    <w:rsid w:val="09D55708"/>
    <w:rsid w:val="0B753148"/>
    <w:rsid w:val="0C535115"/>
    <w:rsid w:val="0CEA7486"/>
    <w:rsid w:val="0EC75D5D"/>
    <w:rsid w:val="113A628F"/>
    <w:rsid w:val="12C7258E"/>
    <w:rsid w:val="144F4A3D"/>
    <w:rsid w:val="1C4C50C0"/>
    <w:rsid w:val="1D48304A"/>
    <w:rsid w:val="1D6E715E"/>
    <w:rsid w:val="1DFD394E"/>
    <w:rsid w:val="1F256271"/>
    <w:rsid w:val="21146CBC"/>
    <w:rsid w:val="24353791"/>
    <w:rsid w:val="245A6142"/>
    <w:rsid w:val="247428D5"/>
    <w:rsid w:val="26162584"/>
    <w:rsid w:val="27CF7DA2"/>
    <w:rsid w:val="286A61DA"/>
    <w:rsid w:val="292013FA"/>
    <w:rsid w:val="29BB268C"/>
    <w:rsid w:val="29BC460F"/>
    <w:rsid w:val="2A845EDA"/>
    <w:rsid w:val="2F925868"/>
    <w:rsid w:val="31F80237"/>
    <w:rsid w:val="34DD2149"/>
    <w:rsid w:val="36E60813"/>
    <w:rsid w:val="3781023A"/>
    <w:rsid w:val="392D7775"/>
    <w:rsid w:val="39574D65"/>
    <w:rsid w:val="3A2636DC"/>
    <w:rsid w:val="3C256404"/>
    <w:rsid w:val="3CDD77CB"/>
    <w:rsid w:val="3D746525"/>
    <w:rsid w:val="41D95B1C"/>
    <w:rsid w:val="42675FDA"/>
    <w:rsid w:val="43270A02"/>
    <w:rsid w:val="440F7211"/>
    <w:rsid w:val="446809FA"/>
    <w:rsid w:val="45C31FAC"/>
    <w:rsid w:val="46150DDE"/>
    <w:rsid w:val="478859ED"/>
    <w:rsid w:val="47AD29F9"/>
    <w:rsid w:val="497334DD"/>
    <w:rsid w:val="49DB329E"/>
    <w:rsid w:val="4B333217"/>
    <w:rsid w:val="4DCF2F74"/>
    <w:rsid w:val="4EC04819"/>
    <w:rsid w:val="4FBA5AB9"/>
    <w:rsid w:val="50330CF7"/>
    <w:rsid w:val="50D153DE"/>
    <w:rsid w:val="50E25C49"/>
    <w:rsid w:val="519E432E"/>
    <w:rsid w:val="538708F0"/>
    <w:rsid w:val="545D2ABF"/>
    <w:rsid w:val="572B0AFF"/>
    <w:rsid w:val="580D43B6"/>
    <w:rsid w:val="589902E4"/>
    <w:rsid w:val="63DA47FE"/>
    <w:rsid w:val="648D67B5"/>
    <w:rsid w:val="656A306B"/>
    <w:rsid w:val="669C5282"/>
    <w:rsid w:val="683C6EA4"/>
    <w:rsid w:val="6901397A"/>
    <w:rsid w:val="6C726189"/>
    <w:rsid w:val="6D102934"/>
    <w:rsid w:val="6E0D0CD0"/>
    <w:rsid w:val="70386AEF"/>
    <w:rsid w:val="71E475B8"/>
    <w:rsid w:val="75132823"/>
    <w:rsid w:val="7677443C"/>
    <w:rsid w:val="77D11158"/>
    <w:rsid w:val="78960A9C"/>
    <w:rsid w:val="794A26FE"/>
    <w:rsid w:val="79AB25C5"/>
    <w:rsid w:val="7DDF7D78"/>
    <w:rsid w:val="7E55088D"/>
    <w:rsid w:val="7F477C0A"/>
    <w:rsid w:val="7F9963A4"/>
    <w:rsid w:val="995FD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4"/>
    <w:qFormat/>
    <w:uiPriority w:val="9"/>
    <w:pPr>
      <w:keepNext/>
      <w:keepLines/>
      <w:spacing w:line="576" w:lineRule="auto"/>
      <w:outlineLvl w:val="0"/>
    </w:pPr>
    <w:rPr>
      <w:b/>
      <w:kern w:val="44"/>
      <w:sz w:val="44"/>
    </w:rPr>
  </w:style>
  <w:style w:type="paragraph" w:styleId="3">
    <w:name w:val="heading 2"/>
    <w:basedOn w:val="1"/>
    <w:next w:val="1"/>
    <w:link w:val="34"/>
    <w:unhideWhenUsed/>
    <w:qFormat/>
    <w:uiPriority w:val="9"/>
    <w:pPr>
      <w:keepNext/>
      <w:keepLines/>
      <w:spacing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line="413" w:lineRule="auto"/>
      <w:outlineLvl w:val="2"/>
    </w:pPr>
    <w:rPr>
      <w:b/>
      <w:sz w:val="32"/>
    </w:rPr>
  </w:style>
  <w:style w:type="paragraph" w:styleId="5">
    <w:name w:val="heading 4"/>
    <w:basedOn w:val="1"/>
    <w:next w:val="1"/>
    <w:unhideWhenUsed/>
    <w:qFormat/>
    <w:uiPriority w:val="9"/>
    <w:pPr>
      <w:keepNext/>
      <w:keepLines/>
      <w:spacing w:line="372" w:lineRule="auto"/>
      <w:outlineLvl w:val="3"/>
    </w:pPr>
    <w:rPr>
      <w:rFonts w:ascii="Arial" w:hAnsi="Arial" w:eastAsia="黑体"/>
      <w:b/>
      <w:sz w:val="28"/>
    </w:rPr>
  </w:style>
  <w:style w:type="paragraph" w:styleId="6">
    <w:name w:val="heading 6"/>
    <w:basedOn w:val="1"/>
    <w:next w:val="1"/>
    <w:link w:val="41"/>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ind w:left="1260"/>
      <w:jc w:val="left"/>
    </w:pPr>
    <w:rPr>
      <w:sz w:val="18"/>
      <w:szCs w:val="18"/>
    </w:rPr>
  </w:style>
  <w:style w:type="paragraph" w:styleId="8">
    <w:name w:val="annotation text"/>
    <w:basedOn w:val="1"/>
    <w:link w:val="38"/>
    <w:semiHidden/>
    <w:unhideWhenUsed/>
    <w:qFormat/>
    <w:uiPriority w:val="99"/>
    <w:pPr>
      <w:jc w:val="left"/>
    </w:pPr>
  </w:style>
  <w:style w:type="paragraph" w:styleId="9">
    <w:name w:val="toc 5"/>
    <w:basedOn w:val="1"/>
    <w:next w:val="1"/>
    <w:unhideWhenUsed/>
    <w:qFormat/>
    <w:uiPriority w:val="39"/>
    <w:pPr>
      <w:ind w:left="840"/>
      <w:jc w:val="left"/>
    </w:pPr>
    <w:rPr>
      <w:sz w:val="18"/>
      <w:szCs w:val="18"/>
    </w:rPr>
  </w:style>
  <w:style w:type="paragraph" w:styleId="10">
    <w:name w:val="toc 3"/>
    <w:basedOn w:val="1"/>
    <w:next w:val="1"/>
    <w:unhideWhenUsed/>
    <w:qFormat/>
    <w:uiPriority w:val="39"/>
    <w:pPr>
      <w:ind w:left="420"/>
      <w:jc w:val="left"/>
    </w:pPr>
    <w:rPr>
      <w:i/>
      <w:iCs/>
      <w:sz w:val="20"/>
      <w:szCs w:val="20"/>
    </w:rPr>
  </w:style>
  <w:style w:type="paragraph" w:styleId="11">
    <w:name w:val="toc 8"/>
    <w:basedOn w:val="1"/>
    <w:next w:val="1"/>
    <w:unhideWhenUsed/>
    <w:qFormat/>
    <w:uiPriority w:val="39"/>
    <w:pPr>
      <w:ind w:left="1470"/>
      <w:jc w:val="left"/>
    </w:pPr>
    <w:rPr>
      <w:sz w:val="18"/>
      <w:szCs w:val="18"/>
    </w:rPr>
  </w:style>
  <w:style w:type="paragraph" w:styleId="12">
    <w:name w:val="Date"/>
    <w:basedOn w:val="1"/>
    <w:next w:val="1"/>
    <w:link w:val="53"/>
    <w:semiHidden/>
    <w:unhideWhenUsed/>
    <w:qFormat/>
    <w:uiPriority w:val="99"/>
    <w:pPr>
      <w:ind w:left="100" w:leftChars="2500"/>
    </w:pPr>
  </w:style>
  <w:style w:type="paragraph" w:styleId="13">
    <w:name w:val="Balloon Text"/>
    <w:basedOn w:val="1"/>
    <w:link w:val="31"/>
    <w:unhideWhenUsed/>
    <w:qFormat/>
    <w:uiPriority w:val="99"/>
    <w:rPr>
      <w:sz w:val="18"/>
      <w:szCs w:val="18"/>
    </w:rPr>
  </w:style>
  <w:style w:type="paragraph" w:styleId="14">
    <w:name w:val="footer"/>
    <w:basedOn w:val="1"/>
    <w:link w:val="30"/>
    <w:unhideWhenUsed/>
    <w:qFormat/>
    <w:uiPriority w:val="99"/>
    <w:pPr>
      <w:tabs>
        <w:tab w:val="center" w:pos="4153"/>
        <w:tab w:val="right" w:pos="8306"/>
      </w:tabs>
      <w:snapToGrid w:val="0"/>
      <w:jc w:val="left"/>
    </w:pPr>
    <w:rPr>
      <w:sz w:val="18"/>
      <w:szCs w:val="18"/>
    </w:rPr>
  </w:style>
  <w:style w:type="paragraph" w:styleId="15">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spacing w:before="120" w:after="120"/>
      <w:jc w:val="left"/>
    </w:pPr>
    <w:rPr>
      <w:b/>
      <w:bCs/>
      <w:caps/>
      <w:sz w:val="20"/>
      <w:szCs w:val="20"/>
    </w:rPr>
  </w:style>
  <w:style w:type="paragraph" w:styleId="17">
    <w:name w:val="toc 4"/>
    <w:basedOn w:val="1"/>
    <w:next w:val="1"/>
    <w:unhideWhenUsed/>
    <w:qFormat/>
    <w:uiPriority w:val="39"/>
    <w:pPr>
      <w:ind w:left="630"/>
      <w:jc w:val="left"/>
    </w:pPr>
    <w:rPr>
      <w:sz w:val="18"/>
      <w:szCs w:val="18"/>
    </w:rPr>
  </w:style>
  <w:style w:type="paragraph" w:styleId="18">
    <w:name w:val="toc 6"/>
    <w:basedOn w:val="1"/>
    <w:next w:val="1"/>
    <w:unhideWhenUsed/>
    <w:qFormat/>
    <w:uiPriority w:val="39"/>
    <w:pPr>
      <w:ind w:left="1050"/>
      <w:jc w:val="left"/>
    </w:pPr>
    <w:rPr>
      <w:sz w:val="18"/>
      <w:szCs w:val="18"/>
    </w:rPr>
  </w:style>
  <w:style w:type="paragraph" w:styleId="19">
    <w:name w:val="toc 2"/>
    <w:basedOn w:val="1"/>
    <w:next w:val="1"/>
    <w:unhideWhenUsed/>
    <w:qFormat/>
    <w:uiPriority w:val="39"/>
    <w:pPr>
      <w:ind w:left="210"/>
      <w:jc w:val="left"/>
    </w:pPr>
    <w:rPr>
      <w:smallCaps/>
      <w:sz w:val="20"/>
      <w:szCs w:val="20"/>
    </w:rPr>
  </w:style>
  <w:style w:type="paragraph" w:styleId="20">
    <w:name w:val="toc 9"/>
    <w:basedOn w:val="1"/>
    <w:next w:val="1"/>
    <w:unhideWhenUsed/>
    <w:qFormat/>
    <w:uiPriority w:val="39"/>
    <w:pPr>
      <w:ind w:left="1680"/>
      <w:jc w:val="left"/>
    </w:pPr>
    <w:rPr>
      <w:sz w:val="18"/>
      <w:szCs w:val="18"/>
    </w:rPr>
  </w:style>
  <w:style w:type="paragraph" w:styleId="21">
    <w:name w:val="annotation subject"/>
    <w:basedOn w:val="8"/>
    <w:next w:val="8"/>
    <w:link w:val="39"/>
    <w:semiHidden/>
    <w:unhideWhenUsed/>
    <w:qFormat/>
    <w:uiPriority w:val="99"/>
    <w:rPr>
      <w:b/>
      <w:bCs/>
    </w:r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page number"/>
    <w:basedOn w:val="24"/>
    <w:qFormat/>
    <w:uiPriority w:val="0"/>
  </w:style>
  <w:style w:type="character" w:styleId="26">
    <w:name w:val="Hyperlink"/>
    <w:basedOn w:val="24"/>
    <w:unhideWhenUsed/>
    <w:qFormat/>
    <w:uiPriority w:val="99"/>
    <w:rPr>
      <w:color w:val="0000FF"/>
      <w:u w:val="single"/>
    </w:rPr>
  </w:style>
  <w:style w:type="character" w:styleId="27">
    <w:name w:val="annotation reference"/>
    <w:basedOn w:val="24"/>
    <w:semiHidden/>
    <w:unhideWhenUsed/>
    <w:qFormat/>
    <w:uiPriority w:val="99"/>
    <w:rPr>
      <w:sz w:val="21"/>
      <w:szCs w:val="21"/>
    </w:rPr>
  </w:style>
  <w:style w:type="paragraph" w:customStyle="1" w:styleId="28">
    <w:name w:val="列出段落1"/>
    <w:basedOn w:val="1"/>
    <w:qFormat/>
    <w:uiPriority w:val="34"/>
    <w:pPr>
      <w:ind w:firstLine="420" w:firstLineChars="200"/>
    </w:pPr>
  </w:style>
  <w:style w:type="character" w:customStyle="1" w:styleId="29">
    <w:name w:val="页眉 Char"/>
    <w:basedOn w:val="24"/>
    <w:link w:val="15"/>
    <w:qFormat/>
    <w:uiPriority w:val="99"/>
    <w:rPr>
      <w:sz w:val="18"/>
      <w:szCs w:val="18"/>
    </w:rPr>
  </w:style>
  <w:style w:type="character" w:customStyle="1" w:styleId="30">
    <w:name w:val="页脚 Char"/>
    <w:basedOn w:val="24"/>
    <w:link w:val="14"/>
    <w:qFormat/>
    <w:uiPriority w:val="99"/>
    <w:rPr>
      <w:sz w:val="18"/>
      <w:szCs w:val="18"/>
    </w:rPr>
  </w:style>
  <w:style w:type="character" w:customStyle="1" w:styleId="31">
    <w:name w:val="批注框文本 Char"/>
    <w:basedOn w:val="24"/>
    <w:link w:val="13"/>
    <w:semiHidden/>
    <w:qFormat/>
    <w:uiPriority w:val="99"/>
    <w:rPr>
      <w:sz w:val="18"/>
      <w:szCs w:val="18"/>
    </w:rPr>
  </w:style>
  <w:style w:type="paragraph" w:customStyle="1" w:styleId="32">
    <w:name w:val="段"/>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sz w:val="21"/>
      <w:szCs w:val="22"/>
      <w:lang w:val="en-US" w:eastAsia="zh-CN" w:bidi="ar-SA"/>
    </w:rPr>
  </w:style>
  <w:style w:type="paragraph" w:customStyle="1" w:styleId="33">
    <w:name w:val="列项——（一级）"/>
    <w:qFormat/>
    <w:uiPriority w:val="0"/>
    <w:pPr>
      <w:widowControl w:val="0"/>
      <w:spacing w:line="360" w:lineRule="auto"/>
      <w:ind w:left="-25" w:leftChars="-12" w:firstLine="580" w:firstLineChars="207"/>
      <w:jc w:val="both"/>
    </w:pPr>
    <w:rPr>
      <w:rFonts w:ascii="Times New Roman" w:hAnsi="Times New Roman" w:eastAsia="仿宋_GB2312" w:cs="Times New Roman"/>
      <w:sz w:val="28"/>
      <w:szCs w:val="28"/>
      <w:lang w:val="en-US" w:eastAsia="zh-CN" w:bidi="ar-SA"/>
    </w:rPr>
  </w:style>
  <w:style w:type="character" w:customStyle="1" w:styleId="34">
    <w:name w:val="标题 2 Char"/>
    <w:link w:val="3"/>
    <w:qFormat/>
    <w:uiPriority w:val="9"/>
    <w:rPr>
      <w:rFonts w:ascii="Arial" w:hAnsi="Arial" w:eastAsia="黑体"/>
      <w:b/>
      <w:sz w:val="32"/>
    </w:rPr>
  </w:style>
  <w:style w:type="paragraph" w:customStyle="1" w:styleId="35">
    <w:name w:val="前言、引言标题"/>
    <w:next w:val="32"/>
    <w:qFormat/>
    <w:uiPriority w:val="0"/>
    <w:pPr>
      <w:keepNext/>
      <w:pageBreakBefore/>
      <w:shd w:val="clear" w:color="FFFFFF" w:fill="FFFFFF"/>
      <w:spacing w:before="640" w:after="560"/>
      <w:jc w:val="center"/>
      <w:outlineLvl w:val="0"/>
    </w:pPr>
    <w:rPr>
      <w:rFonts w:ascii="黑体" w:hAnsi="Times New Roman" w:eastAsia="黑体" w:cs="Times New Roman"/>
      <w:sz w:val="32"/>
      <w:szCs w:val="22"/>
      <w:lang w:val="en-US" w:eastAsia="zh-CN" w:bidi="ar-SA"/>
    </w:rPr>
  </w:style>
  <w:style w:type="paragraph" w:customStyle="1" w:styleId="36">
    <w:name w:val="文献分类号"/>
    <w:qFormat/>
    <w:uiPriority w:val="0"/>
    <w:pPr>
      <w:widowControl w:val="0"/>
      <w:jc w:val="both"/>
      <w:textAlignment w:val="center"/>
    </w:pPr>
    <w:rPr>
      <w:rFonts w:ascii="Times New Roman" w:hAnsi="Times New Roman" w:eastAsia="黑体" w:cs="Times New Roman"/>
      <w:sz w:val="21"/>
      <w:lang w:val="en-US" w:eastAsia="zh-CN" w:bidi="ar-SA"/>
    </w:rPr>
  </w:style>
  <w:style w:type="paragraph" w:styleId="37">
    <w:name w:val="List Paragraph"/>
    <w:basedOn w:val="1"/>
    <w:qFormat/>
    <w:uiPriority w:val="99"/>
    <w:pPr>
      <w:ind w:firstLine="420" w:firstLineChars="200"/>
    </w:pPr>
  </w:style>
  <w:style w:type="character" w:customStyle="1" w:styleId="38">
    <w:name w:val="批注文字 Char"/>
    <w:basedOn w:val="24"/>
    <w:link w:val="8"/>
    <w:semiHidden/>
    <w:qFormat/>
    <w:uiPriority w:val="99"/>
    <w:rPr>
      <w:rFonts w:asciiTheme="minorHAnsi" w:hAnsiTheme="minorHAnsi" w:eastAsiaTheme="minorEastAsia" w:cstheme="minorBidi"/>
      <w:kern w:val="2"/>
      <w:sz w:val="21"/>
      <w:szCs w:val="22"/>
    </w:rPr>
  </w:style>
  <w:style w:type="character" w:customStyle="1" w:styleId="39">
    <w:name w:val="批注主题 Char"/>
    <w:basedOn w:val="38"/>
    <w:link w:val="21"/>
    <w:semiHidden/>
    <w:qFormat/>
    <w:uiPriority w:val="99"/>
    <w:rPr>
      <w:rFonts w:asciiTheme="minorHAnsi" w:hAnsiTheme="minorHAnsi" w:eastAsiaTheme="minorEastAsia" w:cstheme="minorBidi"/>
      <w:b/>
      <w:bCs/>
      <w:kern w:val="2"/>
      <w:sz w:val="21"/>
      <w:szCs w:val="22"/>
    </w:rPr>
  </w:style>
  <w:style w:type="paragraph" w:customStyle="1" w:styleId="40">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1">
    <w:name w:val="标题 6 Char"/>
    <w:basedOn w:val="24"/>
    <w:link w:val="6"/>
    <w:semiHidden/>
    <w:qFormat/>
    <w:uiPriority w:val="9"/>
    <w:rPr>
      <w:rFonts w:asciiTheme="majorHAnsi" w:hAnsiTheme="majorHAnsi" w:eastAsiaTheme="majorEastAsia" w:cstheme="majorBidi"/>
      <w:b/>
      <w:bCs/>
      <w:kern w:val="2"/>
      <w:sz w:val="24"/>
      <w:szCs w:val="24"/>
    </w:rPr>
  </w:style>
  <w:style w:type="paragraph" w:customStyle="1" w:styleId="42">
    <w:name w:val="TOC 标题1"/>
    <w:basedOn w:val="2"/>
    <w:next w:val="1"/>
    <w:unhideWhenUsed/>
    <w:qFormat/>
    <w:uiPriority w:val="39"/>
    <w:pPr>
      <w:widowControl/>
      <w:spacing w:before="480" w:line="276" w:lineRule="auto"/>
      <w:jc w:val="left"/>
      <w:outlineLvl w:val="9"/>
    </w:pPr>
    <w:rPr>
      <w:rFonts w:asciiTheme="majorHAnsi" w:hAnsiTheme="majorHAnsi" w:eastAsiaTheme="majorEastAsia" w:cstheme="majorBidi"/>
      <w:bCs/>
      <w:color w:val="2E75B6" w:themeColor="accent1" w:themeShade="BF"/>
      <w:kern w:val="0"/>
      <w:sz w:val="28"/>
      <w:szCs w:val="28"/>
    </w:rPr>
  </w:style>
  <w:style w:type="character" w:customStyle="1" w:styleId="43">
    <w:name w:val="font31"/>
    <w:basedOn w:val="24"/>
    <w:qFormat/>
    <w:uiPriority w:val="0"/>
    <w:rPr>
      <w:rFonts w:hint="eastAsia" w:ascii="宋体" w:hAnsi="宋体" w:eastAsia="宋体" w:cs="宋体"/>
      <w:b/>
      <w:color w:val="000000"/>
      <w:sz w:val="40"/>
      <w:szCs w:val="40"/>
      <w:u w:val="none"/>
    </w:rPr>
  </w:style>
  <w:style w:type="character" w:customStyle="1" w:styleId="44">
    <w:name w:val="font01"/>
    <w:basedOn w:val="24"/>
    <w:qFormat/>
    <w:uiPriority w:val="0"/>
    <w:rPr>
      <w:rFonts w:hint="eastAsia" w:ascii="宋体" w:hAnsi="宋体" w:eastAsia="宋体" w:cs="宋体"/>
      <w:b/>
      <w:color w:val="000000"/>
      <w:sz w:val="28"/>
      <w:szCs w:val="28"/>
      <w:u w:val="none"/>
    </w:rPr>
  </w:style>
  <w:style w:type="paragraph" w:customStyle="1" w:styleId="45">
    <w:name w:val="TOC Heading"/>
    <w:basedOn w:val="2"/>
    <w:next w:val="1"/>
    <w:semiHidden/>
    <w:unhideWhenUsed/>
    <w:qFormat/>
    <w:uiPriority w:val="39"/>
    <w:pPr>
      <w:widowControl/>
      <w:spacing w:before="480" w:line="276" w:lineRule="auto"/>
      <w:jc w:val="left"/>
      <w:outlineLvl w:val="9"/>
    </w:pPr>
    <w:rPr>
      <w:rFonts w:asciiTheme="majorHAnsi" w:hAnsiTheme="majorHAnsi" w:eastAsiaTheme="majorEastAsia" w:cstheme="majorBidi"/>
      <w:bCs/>
      <w:color w:val="2E75B6" w:themeColor="accent1" w:themeShade="BF"/>
      <w:kern w:val="0"/>
      <w:sz w:val="28"/>
      <w:szCs w:val="28"/>
    </w:rPr>
  </w:style>
  <w:style w:type="paragraph" w:customStyle="1" w:styleId="46">
    <w:name w:val="发布日期"/>
    <w:qFormat/>
    <w:uiPriority w:val="0"/>
    <w:pPr>
      <w:framePr w:w="3997" w:h="471" w:vSpace="181" w:wrap="around" w:vAnchor="margin" w:hAnchor="page" w:x="7089" w:y="14097" w:anchorLock="1"/>
    </w:pPr>
    <w:rPr>
      <w:rFonts w:ascii="Times New Roman" w:hAnsi="Times New Roman" w:eastAsia="黑体" w:cs="Times New Roman"/>
      <w:sz w:val="28"/>
      <w:szCs w:val="22"/>
      <w:lang w:val="en-US" w:eastAsia="zh-CN" w:bidi="ar-SA"/>
    </w:rPr>
  </w:style>
  <w:style w:type="paragraph" w:customStyle="1" w:styleId="47">
    <w:name w:val="其他发布部门"/>
    <w:basedOn w:val="1"/>
    <w:qFormat/>
    <w:uiPriority w:val="0"/>
    <w:pPr>
      <w:framePr w:w="7938" w:h="1134" w:hSpace="125" w:vSpace="181" w:wrap="around" w:vAnchor="page" w:hAnchor="page" w:x="2150" w:y="15310" w:anchorLock="1"/>
      <w:widowControl/>
      <w:spacing w:line="0" w:lineRule="atLeast"/>
      <w:jc w:val="center"/>
    </w:pPr>
    <w:rPr>
      <w:rFonts w:ascii="黑体" w:hAnsi="Times New Roman" w:eastAsia="黑体" w:cs="Times New Roman"/>
      <w:spacing w:val="20"/>
      <w:w w:val="135"/>
      <w:kern w:val="0"/>
      <w:sz w:val="28"/>
    </w:rPr>
  </w:style>
  <w:style w:type="paragraph" w:customStyle="1" w:styleId="48">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49">
    <w:name w:val="封面标准号2"/>
    <w:qFormat/>
    <w:uiPriority w:val="0"/>
    <w:pPr>
      <w:framePr w:w="9140" w:h="1242"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character" w:customStyle="1" w:styleId="50">
    <w:name w:val="发布"/>
    <w:qFormat/>
    <w:uiPriority w:val="0"/>
    <w:rPr>
      <w:rFonts w:hint="eastAsia" w:ascii="黑体" w:hAnsi="黑体" w:eastAsia="黑体"/>
      <w:spacing w:val="85"/>
      <w:w w:val="100"/>
      <w:position w:val="3"/>
      <w:sz w:val="28"/>
      <w:szCs w:val="28"/>
    </w:rPr>
  </w:style>
  <w:style w:type="paragraph" w:customStyle="1" w:styleId="51">
    <w:name w:val="实施日期"/>
    <w:basedOn w:val="46"/>
    <w:qFormat/>
    <w:uiPriority w:val="0"/>
    <w:pPr>
      <w:framePr w:wrap="around" w:vAnchor="page" w:hAnchor="text"/>
      <w:jc w:val="right"/>
    </w:pPr>
  </w:style>
  <w:style w:type="paragraph" w:customStyle="1" w:styleId="52">
    <w:name w:val="其他发布日期"/>
    <w:basedOn w:val="46"/>
    <w:qFormat/>
    <w:uiPriority w:val="0"/>
    <w:pPr>
      <w:framePr w:wrap="around" w:vAnchor="page" w:hAnchor="text" w:x="1419"/>
    </w:pPr>
  </w:style>
  <w:style w:type="character" w:customStyle="1" w:styleId="53">
    <w:name w:val="日期 Char"/>
    <w:basedOn w:val="24"/>
    <w:link w:val="12"/>
    <w:semiHidden/>
    <w:qFormat/>
    <w:uiPriority w:val="99"/>
    <w:rPr>
      <w:rFonts w:asciiTheme="minorHAnsi" w:hAnsiTheme="minorHAnsi" w:eastAsiaTheme="minorEastAsia" w:cstheme="minorBidi"/>
      <w:kern w:val="2"/>
      <w:sz w:val="21"/>
      <w:szCs w:val="22"/>
    </w:rPr>
  </w:style>
  <w:style w:type="character" w:customStyle="1" w:styleId="54">
    <w:name w:val="标题 1 Char"/>
    <w:basedOn w:val="24"/>
    <w:link w:val="2"/>
    <w:qFormat/>
    <w:uiPriority w:val="9"/>
    <w:rPr>
      <w:rFonts w:asciiTheme="minorHAnsi" w:hAnsiTheme="minorHAnsi" w:eastAsiaTheme="minorEastAsia" w:cstheme="minorBidi"/>
      <w:b/>
      <w:kern w:val="44"/>
      <w:sz w:val="44"/>
      <w:szCs w:val="22"/>
    </w:rPr>
  </w:style>
  <w:style w:type="paragraph" w:customStyle="1" w:styleId="55">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56">
    <w:name w:val="目次、标准名称标题"/>
    <w:basedOn w:val="1"/>
    <w:next w:val="32"/>
    <w:qFormat/>
    <w:uiPriority w:val="0"/>
    <w:pPr>
      <w:keepNext/>
      <w:pageBreakBefore/>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paragraph" w:customStyle="1" w:styleId="57">
    <w:name w:val="一级条标题"/>
    <w:next w:val="32"/>
    <w:qFormat/>
    <w:uiPriority w:val="0"/>
    <w:pPr>
      <w:numPr>
        <w:ilvl w:val="1"/>
        <w:numId w:val="1"/>
      </w:numPr>
      <w:spacing w:before="156" w:beforeLines="50" w:after="156" w:afterLines="50"/>
      <w:outlineLvl w:val="2"/>
    </w:pPr>
    <w:rPr>
      <w:rFonts w:ascii="黑体" w:hAnsi="Times New Roman" w:eastAsia="黑体" w:cs="Times New Roman"/>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2A3AC6-9D22-4F08-95B8-2E5C464B12A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2988</Words>
  <Characters>3519</Characters>
  <Lines>2</Lines>
  <Paragraphs>1</Paragraphs>
  <TotalTime>18</TotalTime>
  <ScaleCrop>false</ScaleCrop>
  <LinksUpToDate>false</LinksUpToDate>
  <CharactersWithSpaces>3740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2018-09-23T10:57:00Z</dcterms:created>
  <dc:creator>wy</dc:creator>
  <cp:lastModifiedBy>gjlcj</cp:lastModifiedBy>
  <cp:lastPrinted>2018-10-10T12:52:00Z</cp:lastPrinted>
  <dcterms:modified xsi:type="dcterms:W3CDTF">2026-09-02T09:51:42Z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KSOTemplateDocerSaveRecord">
    <vt:lpwstr>eyJoZGlkIjoiZTA1ODgyMDMxZTg0ZGNkNTU2NzQ0M2E1NjIxNzQyNzYiLCJ1c2VySWQiOiIzMDc1MzUyMDgifQ==</vt:lpwstr>
  </property>
  <property fmtid="{D5CDD505-2E9C-101B-9397-08002B2CF9AE}" pid="4" name="ICV">
    <vt:lpwstr>9B7FC7005B8E40A3A078CE566015CA7F_13</vt:lpwstr>
  </property>
</Properties>
</file>