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DFFF9">
      <w:pPr>
        <w:pStyle w:val="121"/>
        <w:rPr>
          <w:color w:val="auto"/>
        </w:rPr>
      </w:pPr>
      <w:r>
        <w:rPr>
          <w:rFonts w:ascii="Times New Roman"/>
          <w:color w:val="auto"/>
        </w:rPr>
        <w:t>ICS</w:t>
      </w:r>
    </w:p>
    <w:p w14:paraId="5FA16016">
      <w:pPr>
        <w:pStyle w:val="121"/>
        <w:rPr>
          <w:rFonts w:hint="default" w:eastAsia="黑体"/>
          <w:color w:val="auto"/>
          <w:lang w:val="en-US" w:eastAsia="zh-CN"/>
        </w:rPr>
      </w:pPr>
      <w:r>
        <w:rPr>
          <w:rFonts w:hint="eastAsia"/>
          <w:color w:val="auto"/>
          <w:lang w:val="en-US" w:eastAsia="zh-CN"/>
        </w:rPr>
        <w:t>CCS</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4"/>
      </w:tblGrid>
      <w:tr w14:paraId="0AC4B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noWrap w:val="0"/>
            <w:vAlign w:val="top"/>
          </w:tcPr>
          <w:p w14:paraId="167BDA6B">
            <w:pPr>
              <w:pStyle w:val="121"/>
              <w:rPr>
                <w:color w:val="auto"/>
              </w:rPr>
            </w:pPr>
            <w:r>
              <w:rPr>
                <w:color w:val="auto"/>
              </w:rP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0" b="0"/>
                      <wp:wrapNone/>
                      <wp:docPr id="4"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a:noFill/>
                              </a:ln>
                            </wps:spPr>
                            <wps:bodyPr wrap="square" upright="1"/>
                          </wps:wsp>
                        </a:graphicData>
                      </a:graphic>
                    </wp:anchor>
                  </w:drawing>
                </mc:Choice>
                <mc:Fallback>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yK4v7NUA&#10;AAAHAQAADwAAAAAAAAABACAAAAAiAAAAZHJzL2Rvd25yZXYueG1sUEsBAhQAFAAAAAgAh07iQLEz&#10;6MywAQAAZwMAAA4AAAAAAAAAAQAgAAAAJAEAAGRycy9lMm9Eb2MueG1sUEsFBgAAAAAGAAYAWQEA&#10;AEYFAAAAAA==&#10;">
                      <v:fill on="t" focussize="0,0"/>
                      <v:stroke on="f"/>
                      <v:imagedata o:title=""/>
                      <o:lock v:ext="edit" aspectratio="f"/>
                    </v:rect>
                  </w:pict>
                </mc:Fallback>
              </mc:AlternateContent>
            </w:r>
          </w:p>
        </w:tc>
      </w:tr>
    </w:tbl>
    <w:p w14:paraId="10802AFD">
      <w:pPr>
        <w:pStyle w:val="107"/>
        <w:rPr>
          <w:rFonts w:hint="default" w:eastAsia="宋体"/>
          <w:color w:val="auto"/>
          <w:lang w:val="en-US" w:eastAsia="zh-CN"/>
        </w:rPr>
      </w:pPr>
      <w:r>
        <w:rPr>
          <w:rFonts w:hint="eastAsia"/>
          <w:color w:val="auto"/>
          <w:lang w:val="en-US" w:eastAsia="zh-CN"/>
        </w:rPr>
        <w:t>T/CSF</w:t>
      </w:r>
    </w:p>
    <w:p w14:paraId="3C6A4113">
      <w:pPr>
        <w:pStyle w:val="108"/>
        <w:rPr>
          <w:color w:val="auto"/>
          <w:sz w:val="72"/>
          <w:szCs w:val="72"/>
        </w:rPr>
      </w:pPr>
      <w:r>
        <w:rPr>
          <w:rFonts w:hint="eastAsia"/>
          <w:color w:val="auto"/>
          <w:sz w:val="72"/>
          <w:szCs w:val="72"/>
          <w:lang w:val="en-US" w:eastAsia="zh-CN"/>
        </w:rPr>
        <w:t>团体</w:t>
      </w:r>
      <w:r>
        <w:rPr>
          <w:rFonts w:hint="eastAsia"/>
          <w:color w:val="auto"/>
          <w:sz w:val="72"/>
          <w:szCs w:val="72"/>
        </w:rPr>
        <w:t>标准</w:t>
      </w:r>
    </w:p>
    <w:p w14:paraId="6EE12286">
      <w:pPr>
        <w:pStyle w:val="45"/>
        <w:rPr>
          <w:rFonts w:hint="eastAsia" w:hAnsi="黑体" w:eastAsia="黑体"/>
          <w:color w:val="auto"/>
          <w:lang w:val="en-US" w:eastAsia="zh-CN"/>
        </w:rPr>
      </w:pPr>
      <w:r>
        <w:rPr>
          <w:rFonts w:hint="eastAsia" w:ascii="Times New Roman"/>
          <w:color w:val="auto"/>
          <w:lang w:val="en-US" w:eastAsia="zh-CN"/>
        </w:rPr>
        <w:t>T/CSF</w:t>
      </w:r>
      <w:r>
        <w:rPr>
          <w:rFonts w:hAnsi="黑体"/>
          <w:color w:val="auto"/>
        </w:rPr>
        <w:t xml:space="preserve"> </w:t>
      </w:r>
      <w:bookmarkStart w:id="0" w:name="StdNo1"/>
      <w:r>
        <w:rPr>
          <w:rFonts w:hAnsi="黑体"/>
          <w:color w:val="auto"/>
        </w:rPr>
        <w:fldChar w:fldCharType="begin">
          <w:ffData>
            <w:name w:val="StdNo1"/>
            <w:enabled/>
            <w:calcOnExit w:val="0"/>
            <w:textInput>
              <w:default w:val="XXXXX"/>
            </w:textInput>
          </w:ffData>
        </w:fldChar>
      </w:r>
      <w:r>
        <w:rPr>
          <w:rFonts w:hAnsi="黑体"/>
          <w:color w:val="auto"/>
        </w:rPr>
        <w:instrText xml:space="preserve"> FORMTEXT </w:instrText>
      </w:r>
      <w:r>
        <w:rPr>
          <w:rFonts w:hAnsi="黑体"/>
          <w:color w:val="auto"/>
        </w:rPr>
        <w:fldChar w:fldCharType="separate"/>
      </w:r>
      <w:r>
        <w:rPr>
          <w:rFonts w:hAnsi="黑体"/>
          <w:color w:val="auto"/>
        </w:rPr>
        <w:t>XXXXX</w:t>
      </w:r>
      <w:r>
        <w:rPr>
          <w:rFonts w:hAnsi="黑体"/>
          <w:color w:val="auto"/>
        </w:rPr>
        <w:fldChar w:fldCharType="end"/>
      </w:r>
      <w:bookmarkEnd w:id="0"/>
      <w:r>
        <w:rPr>
          <w:rFonts w:hAnsi="黑体"/>
          <w:color w:val="auto"/>
        </w:rPr>
        <w:t>—</w:t>
      </w:r>
      <w:bookmarkStart w:id="1" w:name="StdNo2"/>
      <w:r>
        <w:rPr>
          <w:rFonts w:hAnsi="黑体"/>
          <w:color w:val="auto"/>
        </w:rPr>
        <w:fldChar w:fldCharType="begin">
          <w:ffData>
            <w:name w:val="StdNo2"/>
            <w:enabled/>
            <w:calcOnExit w:val="0"/>
            <w:textInput>
              <w:default w:val="XXXX"/>
              <w:maxLength w:val="4"/>
            </w:textInput>
          </w:ffData>
        </w:fldChar>
      </w:r>
      <w:r>
        <w:rPr>
          <w:rFonts w:hAnsi="黑体"/>
          <w:color w:val="auto"/>
        </w:rPr>
        <w:instrText xml:space="preserve"> FORMTEXT </w:instrText>
      </w:r>
      <w:r>
        <w:rPr>
          <w:rFonts w:hAnsi="黑体"/>
          <w:color w:val="auto"/>
        </w:rPr>
        <w:fldChar w:fldCharType="separate"/>
      </w:r>
      <w:r>
        <w:rPr>
          <w:rFonts w:hint="eastAsia" w:hAnsi="黑体"/>
          <w:color w:val="auto"/>
        </w:rPr>
        <w:t>20</w:t>
      </w:r>
      <w:r>
        <w:rPr>
          <w:rFonts w:hAnsi="黑体"/>
          <w:color w:val="auto"/>
        </w:rPr>
        <w:t>2</w:t>
      </w:r>
      <w:r>
        <w:rPr>
          <w:rFonts w:hAnsi="黑体"/>
          <w:color w:val="auto"/>
        </w:rPr>
        <w:fldChar w:fldCharType="end"/>
      </w:r>
      <w:bookmarkEnd w:id="1"/>
      <w:r>
        <w:rPr>
          <w:rFonts w:hint="eastAsia" w:hAnsi="黑体"/>
          <w:color w:val="auto"/>
          <w:lang w:val="en-US" w:eastAsia="zh-CN"/>
        </w:rPr>
        <w:t>6</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729D5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noWrap w:val="0"/>
            <w:vAlign w:val="top"/>
          </w:tcPr>
          <w:p w14:paraId="2CA1E147">
            <w:pPr>
              <w:pStyle w:val="74"/>
              <w:rPr>
                <w:color w:val="auto"/>
              </w:rPr>
            </w:pPr>
            <w:bookmarkStart w:id="2" w:name="DT"/>
            <w:r>
              <w:rPr>
                <w:color w:val="auto"/>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bodyPr wrap="square" upright="1"/>
                          </wps:wsp>
                        </a:graphicData>
                      </a:graphic>
                    </wp:anchor>
                  </w:drawing>
                </mc:Choice>
                <mc:Fallback>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B5g8svWAAAACAEA&#10;AA8AAAAAAAAAAQAgAAAAIgAAAGRycy9kb3ducmV2LnhtbFBLAQIUABQAAAAIAIdO4kD2n1EKqgEA&#10;AGcDAAAOAAAAAAAAAAEAIAAAACUBAABkcnMvZTJvRG9jLnhtbFBLBQYAAAAABgAGAFkBAABBBQAA&#10;AAA=&#10;">
                      <v:fill on="t" focussize="0,0"/>
                      <v:stroke on="f"/>
                      <v:imagedata o:title=""/>
                      <o:lock v:ext="edit" aspectratio="f"/>
                    </v:rect>
                  </w:pict>
                </mc:Fallback>
              </mc:AlternateContent>
            </w:r>
            <w:bookmarkEnd w:id="2"/>
          </w:p>
        </w:tc>
      </w:tr>
    </w:tbl>
    <w:p w14:paraId="32B62DE2">
      <w:pPr>
        <w:pStyle w:val="45"/>
        <w:rPr>
          <w:rFonts w:hAnsi="黑体"/>
          <w:color w:val="auto"/>
        </w:rPr>
      </w:pPr>
    </w:p>
    <w:p w14:paraId="7ACC3E13">
      <w:pPr>
        <w:pStyle w:val="45"/>
        <w:rPr>
          <w:rFonts w:hAnsi="黑体"/>
          <w:color w:val="auto"/>
        </w:rPr>
      </w:pPr>
    </w:p>
    <w:p w14:paraId="03C3C689">
      <w:pPr>
        <w:pStyle w:val="76"/>
        <w:rPr>
          <w:color w:val="auto"/>
        </w:rPr>
      </w:pPr>
      <w:bookmarkStart w:id="3" w:name="StdName"/>
      <w:r>
        <w:fldChar w:fldCharType="begin">
          <w:ffData>
            <w:name w:val="StdName"/>
            <w:enabled/>
            <w:calcOnExit w:val="0"/>
            <w:textInput>
              <w:default w:val="点击此处添加标准名称"/>
            </w:textInput>
          </w:ffData>
        </w:fldChar>
      </w:r>
      <w:r>
        <w:instrText xml:space="preserve"> FORMTEXT </w:instrText>
      </w:r>
      <w:r>
        <w:fldChar w:fldCharType="separate"/>
      </w:r>
      <w:r>
        <w:rPr>
          <w:rFonts w:hint="eastAsia"/>
          <w:lang w:eastAsia="zh-CN"/>
        </w:rPr>
        <w:t>杉木林下</w:t>
      </w:r>
      <w:r>
        <w:rPr>
          <w:rFonts w:hint="eastAsia"/>
        </w:rPr>
        <w:t>“玉竹-射干/草珊瑚-黄花倒水莲”轮作技术规程</w:t>
      </w:r>
      <w:r>
        <w:fldChar w:fldCharType="end"/>
      </w:r>
      <w:bookmarkEnd w:id="3"/>
    </w:p>
    <w:p w14:paraId="4F38DB85">
      <w:pPr>
        <w:pStyle w:val="77"/>
        <w:rPr>
          <w:color w:val="auto"/>
        </w:rPr>
      </w:pPr>
      <w:bookmarkStart w:id="4" w:name="StdEnglishName"/>
      <w:r>
        <w:rPr>
          <w:rFonts w:hint="eastAsia"/>
          <w:color w:val="auto"/>
        </w:rPr>
        <w:t xml:space="preserve">Technical regulations for rotation cropping of </w:t>
      </w:r>
      <w:r>
        <w:rPr>
          <w:rFonts w:hint="eastAsia"/>
          <w:i/>
          <w:iCs/>
          <w:color w:val="auto"/>
        </w:rPr>
        <w:t>Polygonatum odoratum</w:t>
      </w:r>
      <w:r>
        <w:rPr>
          <w:rFonts w:hint="eastAsia"/>
          <w:color w:val="auto"/>
        </w:rPr>
        <w:t xml:space="preserve">, </w:t>
      </w:r>
      <w:r>
        <w:rPr>
          <w:rFonts w:hint="eastAsia"/>
          <w:i/>
          <w:iCs/>
          <w:color w:val="auto"/>
        </w:rPr>
        <w:t>Belamcanda chinensis</w:t>
      </w:r>
      <w:r>
        <w:rPr>
          <w:rFonts w:hint="eastAsia"/>
          <w:color w:val="auto"/>
        </w:rPr>
        <w:t xml:space="preserve"> / </w:t>
      </w:r>
      <w:r>
        <w:rPr>
          <w:rFonts w:hint="eastAsia"/>
          <w:i/>
          <w:iCs/>
          <w:color w:val="auto"/>
        </w:rPr>
        <w:t>Sarcandra glabra</w:t>
      </w:r>
      <w:r>
        <w:rPr>
          <w:rFonts w:hint="eastAsia"/>
          <w:color w:val="auto"/>
        </w:rPr>
        <w:t xml:space="preserve">, and </w:t>
      </w:r>
      <w:r>
        <w:rPr>
          <w:rFonts w:hint="eastAsia"/>
          <w:i/>
          <w:iCs/>
          <w:color w:val="auto"/>
        </w:rPr>
        <w:t>Polygala fallax</w:t>
      </w:r>
      <w:r>
        <w:rPr>
          <w:rFonts w:hint="eastAsia"/>
          <w:color w:val="auto"/>
        </w:rPr>
        <w:t xml:space="preserve"> under Cunninghamia lanceolata forest</w:t>
      </w:r>
      <w:bookmarkEnd w:id="4"/>
    </w:p>
    <w:p w14:paraId="54E4E0A8">
      <w:pPr>
        <w:pStyle w:val="78"/>
        <w:rPr>
          <w:color w:val="auto"/>
        </w:rPr>
      </w:pP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238D8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noWrap w:val="0"/>
            <w:vAlign w:val="top"/>
          </w:tcPr>
          <w:p w14:paraId="6CA88054">
            <w:pPr>
              <w:pStyle w:val="79"/>
              <w:rPr>
                <w:rFonts w:hint="eastAsia" w:eastAsia="宋体"/>
                <w:color w:val="auto"/>
                <w:lang w:eastAsia="zh-CN"/>
              </w:rPr>
            </w:pPr>
            <w:r>
              <w:rPr>
                <w:color w:val="auto"/>
              </w:rP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0" t="0" r="0" b="0"/>
                      <wp:wrapNone/>
                      <wp:docPr id="3"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wps:spPr>
                            <wps:bodyPr wrap="square" upright="1"/>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BYmuktUAAAAKAQAA&#10;DwAAAAAAAAABACAAAAAiAAAAZHJzL2Rvd25yZXYueG1sUEsBAhQAFAAAAAgAh07iQI1ieZWqAQAA&#10;ZwMAAA4AAAAAAAAAAQAgAAAAJAEAAGRycy9lMm9Eb2MueG1sUEsFBgAAAAAGAAYAWQEAAEAFAAAA&#10;AA==&#10;">
                      <v:fill on="t" focussize="0,0"/>
                      <v:stroke on="f"/>
                      <v:imagedata o:title=""/>
                      <o:lock v:ext="edit" aspectratio="f"/>
                      <w10:anchorlock/>
                    </v:rect>
                  </w:pict>
                </mc:Fallback>
              </mc:AlternateContent>
            </w:r>
            <w:r>
              <w:rPr>
                <w:color w:val="auto"/>
              </w:rPr>
              <mc:AlternateContent>
                <mc:Choice Requires="wps">
                  <w:drawing>
                    <wp:anchor distT="0" distB="0" distL="114300" distR="114300" simplePos="0" relativeHeight="251660288" behindDoc="1" locked="0" layoutInCell="1" allowOverlap="1">
                      <wp:simplePos x="0" y="0"/>
                      <wp:positionH relativeFrom="column">
                        <wp:posOffset>2454910</wp:posOffset>
                      </wp:positionH>
                      <wp:positionV relativeFrom="paragraph">
                        <wp:posOffset>255905</wp:posOffset>
                      </wp:positionV>
                      <wp:extent cx="1270000" cy="304800"/>
                      <wp:effectExtent l="0" t="0" r="0" b="0"/>
                      <wp:wrapNone/>
                      <wp:docPr id="2"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bodyPr wrap="square" upright="1"/>
                          </wps:wsp>
                        </a:graphicData>
                      </a:graphic>
                    </wp:anchor>
                  </w:drawing>
                </mc:Choice>
                <mc:Fallback>
                  <w:pict>
                    <v:rect id="LB" o:spid="_x0000_s1026" o:spt="1" style="position:absolute;left:0pt;margin-left:193.3pt;margin-top:20.15pt;height:24pt;width:100pt;z-index:-25165619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A+GL5dYAAAAJAQAA&#10;DwAAAAAAAAABACAAAAAiAAAAZHJzL2Rvd25yZXYueG1sUEsBAhQAFAAAAAgAh07iQBXfBLqpAQAA&#10;ZwMAAA4AAAAAAAAAAQAgAAAAJQEAAGRycy9lMm9Eb2MueG1sUEsFBgAAAAAGAAYAWQEAAEAFAAAA&#10;AA==&#10;">
                      <v:fill on="t" focussize="0,0"/>
                      <v:stroke on="f"/>
                      <v:imagedata o:title=""/>
                      <o:lock v:ext="edit" aspectratio="f"/>
                    </v:rect>
                  </w:pict>
                </mc:Fallback>
              </mc:AlternateContent>
            </w:r>
            <w:r>
              <w:rPr>
                <w:rFonts w:hint="eastAsia"/>
                <w:color w:val="auto"/>
                <w:lang w:eastAsia="zh-CN"/>
              </w:rPr>
              <w:t>（征求意见稿）</w:t>
            </w:r>
          </w:p>
        </w:tc>
      </w:tr>
      <w:tr w14:paraId="56A22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noWrap w:val="0"/>
            <w:vAlign w:val="top"/>
          </w:tcPr>
          <w:p w14:paraId="2BCBCC73">
            <w:pPr>
              <w:pStyle w:val="80"/>
              <w:rPr>
                <w:color w:val="auto"/>
              </w:rPr>
            </w:pPr>
          </w:p>
        </w:tc>
      </w:tr>
    </w:tbl>
    <w:p w14:paraId="6D2E69E0">
      <w:pPr>
        <w:pStyle w:val="128"/>
        <w:rPr>
          <w:color w:val="auto"/>
        </w:rPr>
      </w:pPr>
      <w:bookmarkStart w:id="5" w:name="FY"/>
      <w:r>
        <w:rPr>
          <w:rFonts w:ascii="黑体"/>
          <w:color w:val="auto"/>
        </w:rPr>
        <w:fldChar w:fldCharType="begin">
          <w:ffData>
            <w:name w:val="FY"/>
            <w:enabled/>
            <w:calcOnExit w:val="0"/>
            <w:textInput>
              <w:default w:val="XXXX"/>
              <w:maxLength w:val="4"/>
            </w:textInput>
          </w:ffData>
        </w:fldChar>
      </w:r>
      <w:r>
        <w:rPr>
          <w:rFonts w:ascii="黑体"/>
          <w:color w:val="auto"/>
        </w:rPr>
        <w:instrText xml:space="preserve"> FORMTEXT </w:instrText>
      </w:r>
      <w:r>
        <w:rPr>
          <w:rFonts w:ascii="黑体"/>
          <w:color w:val="auto"/>
        </w:rPr>
        <w:fldChar w:fldCharType="separate"/>
      </w:r>
      <w:r>
        <w:rPr>
          <w:rFonts w:ascii="黑体"/>
          <w:color w:val="auto"/>
        </w:rPr>
        <w:t>XXXX</w:t>
      </w:r>
      <w:r>
        <w:rPr>
          <w:rFonts w:ascii="黑体"/>
          <w:color w:val="auto"/>
        </w:rPr>
        <w:fldChar w:fldCharType="end"/>
      </w:r>
      <w:bookmarkEnd w:id="5"/>
      <w:r>
        <w:rPr>
          <w:color w:val="auto"/>
        </w:rPr>
        <w:t xml:space="preserve"> </w:t>
      </w:r>
      <w:r>
        <w:rPr>
          <w:rFonts w:ascii="黑体"/>
          <w:color w:val="auto"/>
        </w:rPr>
        <w:t>-</w:t>
      </w:r>
      <w:r>
        <w:rPr>
          <w:color w:val="auto"/>
        </w:rPr>
        <w:t xml:space="preserve"> </w:t>
      </w:r>
      <w:r>
        <w:rPr>
          <w:rFonts w:ascii="黑体"/>
          <w:color w:val="auto"/>
        </w:rPr>
        <w:fldChar w:fldCharType="begin">
          <w:ffData>
            <w:name w:val="FM"/>
            <w:enabled/>
            <w:calcOnExit w:val="0"/>
            <w:textInput>
              <w:default w:val="XX"/>
              <w:maxLength w:val="2"/>
            </w:textInput>
          </w:ffData>
        </w:fldChar>
      </w:r>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r>
        <w:rPr>
          <w:color w:val="auto"/>
        </w:rPr>
        <w:t xml:space="preserve"> </w:t>
      </w:r>
      <w:r>
        <w:rPr>
          <w:rFonts w:ascii="黑体"/>
          <w:color w:val="auto"/>
        </w:rPr>
        <w:t>-</w:t>
      </w:r>
      <w:r>
        <w:rPr>
          <w:color w:val="auto"/>
        </w:rPr>
        <w:t xml:space="preserve"> </w:t>
      </w:r>
      <w:bookmarkStart w:id="6" w:name="FD"/>
      <w:r>
        <w:rPr>
          <w:rFonts w:ascii="黑体"/>
          <w:color w:val="auto"/>
        </w:rPr>
        <w:fldChar w:fldCharType="begin">
          <w:ffData>
            <w:name w:val="FD"/>
            <w:enabled/>
            <w:calcOnExit w:val="0"/>
            <w:textInput>
              <w:default w:val="XX"/>
              <w:maxLength w:val="2"/>
            </w:textInput>
          </w:ffData>
        </w:fldChar>
      </w:r>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6"/>
      <w:r>
        <w:rPr>
          <w:rFonts w:hint="eastAsia"/>
          <w:color w:val="auto"/>
        </w:rPr>
        <w:t>发布</w:t>
      </w:r>
      <w:r>
        <w:rPr>
          <w:color w:val="auto"/>
        </w:rPr>
        <mc:AlternateContent>
          <mc:Choice Requires="wps">
            <w:drawing>
              <wp:anchor distT="0" distB="0" distL="114300" distR="114300" simplePos="0" relativeHeight="251663360" behindDoc="0" locked="1" layoutInCell="1" allowOverlap="1">
                <wp:simplePos x="0" y="0"/>
                <wp:positionH relativeFrom="column">
                  <wp:posOffset>-635</wp:posOffset>
                </wp:positionH>
                <wp:positionV relativeFrom="page">
                  <wp:posOffset>9251950</wp:posOffset>
                </wp:positionV>
                <wp:extent cx="6120130" cy="0"/>
                <wp:effectExtent l="0" t="0" r="0" b="0"/>
                <wp:wrapNone/>
                <wp:docPr id="5"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0.05pt;margin-top:728.5pt;height:0pt;width:481.9pt;mso-position-vertical-relative:page;z-index:251663360;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WHazzWAAAA&#10;CwEAAA8AAAAAAAAAAQAgAAAAIgAAAGRycy9kb3ducmV2LnhtbFBLAQIUABQAAAAIAIdO4kA3tMMG&#10;5gEAANwDAAAOAAAAAAAAAAEAIAAAACUBAABkcnMvZTJvRG9jLnhtbFBLBQYAAAAABgAGAFkBAAB9&#10;BQAAAAA=&#10;">
                <v:fill on="f" focussize="0,0"/>
                <v:stroke color="#000000" joinstyle="round"/>
                <v:imagedata o:title=""/>
                <o:lock v:ext="edit" aspectratio="f"/>
                <w10:anchorlock/>
              </v:line>
            </w:pict>
          </mc:Fallback>
        </mc:AlternateContent>
      </w:r>
    </w:p>
    <w:p w14:paraId="36405675">
      <w:pPr>
        <w:pStyle w:val="129"/>
        <w:rPr>
          <w:color w:val="auto"/>
        </w:rPr>
      </w:pPr>
      <w:bookmarkStart w:id="7" w:name="SY"/>
      <w:r>
        <w:rPr>
          <w:rFonts w:ascii="黑体"/>
          <w:color w:val="auto"/>
        </w:rPr>
        <w:fldChar w:fldCharType="begin">
          <w:ffData>
            <w:name w:val="SY"/>
            <w:enabled/>
            <w:calcOnExit w:val="0"/>
            <w:textInput>
              <w:default w:val="XXXX"/>
              <w:maxLength w:val="4"/>
            </w:textInput>
          </w:ffData>
        </w:fldChar>
      </w:r>
      <w:r>
        <w:rPr>
          <w:rFonts w:ascii="黑体"/>
          <w:color w:val="auto"/>
        </w:rPr>
        <w:instrText xml:space="preserve"> FORMTEXT </w:instrText>
      </w:r>
      <w:r>
        <w:rPr>
          <w:rFonts w:ascii="黑体"/>
          <w:color w:val="auto"/>
        </w:rPr>
        <w:fldChar w:fldCharType="separate"/>
      </w:r>
      <w:r>
        <w:rPr>
          <w:rFonts w:ascii="黑体"/>
          <w:color w:val="auto"/>
        </w:rPr>
        <w:t>XXXX</w:t>
      </w:r>
      <w:r>
        <w:rPr>
          <w:rFonts w:ascii="黑体"/>
          <w:color w:val="auto"/>
        </w:rPr>
        <w:fldChar w:fldCharType="end"/>
      </w:r>
      <w:bookmarkEnd w:id="7"/>
      <w:r>
        <w:rPr>
          <w:color w:val="auto"/>
        </w:rPr>
        <w:t xml:space="preserve"> </w:t>
      </w:r>
      <w:r>
        <w:rPr>
          <w:rFonts w:ascii="黑体"/>
          <w:color w:val="auto"/>
        </w:rPr>
        <w:t>-</w:t>
      </w:r>
      <w:r>
        <w:rPr>
          <w:color w:val="auto"/>
        </w:rPr>
        <w:t xml:space="preserve"> </w:t>
      </w:r>
      <w:bookmarkStart w:id="8" w:name="SM"/>
      <w:r>
        <w:rPr>
          <w:rFonts w:ascii="黑体"/>
          <w:color w:val="auto"/>
        </w:rPr>
        <w:fldChar w:fldCharType="begin">
          <w:ffData>
            <w:name w:val="SM"/>
            <w:enabled/>
            <w:calcOnExit w:val="0"/>
            <w:textInput>
              <w:default w:val="XX"/>
              <w:maxLength w:val="2"/>
            </w:textInput>
          </w:ffData>
        </w:fldChar>
      </w:r>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8"/>
      <w:r>
        <w:rPr>
          <w:color w:val="auto"/>
        </w:rPr>
        <w:t xml:space="preserve"> </w:t>
      </w:r>
      <w:r>
        <w:rPr>
          <w:rFonts w:ascii="黑体"/>
          <w:color w:val="auto"/>
        </w:rPr>
        <w:t>-</w:t>
      </w:r>
      <w:r>
        <w:rPr>
          <w:color w:val="auto"/>
        </w:rPr>
        <w:t xml:space="preserve"> </w:t>
      </w:r>
      <w:bookmarkStart w:id="9" w:name="SD"/>
      <w:r>
        <w:rPr>
          <w:rFonts w:ascii="黑体"/>
          <w:color w:val="auto"/>
        </w:rPr>
        <w:fldChar w:fldCharType="begin">
          <w:ffData>
            <w:name w:val="SD"/>
            <w:enabled/>
            <w:calcOnExit w:val="0"/>
            <w:textInput>
              <w:default w:val="XX"/>
              <w:maxLength w:val="2"/>
            </w:textInput>
          </w:ffData>
        </w:fldChar>
      </w:r>
      <w:r>
        <w:rPr>
          <w:rFonts w:ascii="黑体"/>
          <w:color w:val="auto"/>
        </w:rPr>
        <w:instrText xml:space="preserve"> FORMTEXT </w:instrText>
      </w:r>
      <w:r>
        <w:rPr>
          <w:rFonts w:ascii="黑体"/>
          <w:color w:val="auto"/>
        </w:rPr>
        <w:fldChar w:fldCharType="separate"/>
      </w:r>
      <w:r>
        <w:rPr>
          <w:rFonts w:ascii="黑体"/>
          <w:color w:val="auto"/>
        </w:rPr>
        <w:t>XX</w:t>
      </w:r>
      <w:r>
        <w:rPr>
          <w:rFonts w:ascii="黑体"/>
          <w:color w:val="auto"/>
        </w:rPr>
        <w:fldChar w:fldCharType="end"/>
      </w:r>
      <w:bookmarkEnd w:id="9"/>
      <w:r>
        <w:rPr>
          <w:rFonts w:hint="eastAsia"/>
          <w:color w:val="auto"/>
        </w:rPr>
        <w:t>实施</w:t>
      </w:r>
    </w:p>
    <w:p w14:paraId="287F07D7">
      <w:pPr>
        <w:pStyle w:val="109"/>
        <w:rPr>
          <w:color w:val="auto"/>
        </w:rPr>
      </w:pPr>
      <w:bookmarkStart w:id="10" w:name="fm"/>
      <w:r>
        <w:rPr>
          <w:color w:val="auto"/>
        </w:rPr>
        <w:fldChar w:fldCharType="begin">
          <w:ffData>
            <w:name w:val="fm"/>
            <w:enabled/>
            <w:calcOnExit w:val="0"/>
            <w:textInput/>
          </w:ffData>
        </w:fldChar>
      </w:r>
      <w:r>
        <w:rPr>
          <w:color w:val="auto"/>
        </w:rPr>
        <w:instrText xml:space="preserve"> FORMTEXT </w:instrText>
      </w:r>
      <w:r>
        <w:rPr>
          <w:color w:val="auto"/>
        </w:rPr>
        <w:fldChar w:fldCharType="separate"/>
      </w:r>
      <w:r>
        <w:rPr>
          <w:rFonts w:hint="eastAsia"/>
          <w:color w:val="auto"/>
          <w:lang w:val="en-US" w:eastAsia="zh-CN"/>
        </w:rPr>
        <w:t>中国林学会</w:t>
      </w:r>
      <w:r>
        <w:rPr>
          <w:color w:val="auto"/>
        </w:rPr>
        <w:fldChar w:fldCharType="end"/>
      </w:r>
      <w:bookmarkEnd w:id="10"/>
      <w:r>
        <w:rPr>
          <w:rFonts w:hAnsi="黑体"/>
          <w:color w:val="auto"/>
        </w:rPr>
        <w:t>   </w:t>
      </w:r>
      <w:r>
        <w:rPr>
          <w:rStyle w:val="71"/>
          <w:rFonts w:hint="eastAsia"/>
          <w:color w:val="auto"/>
        </w:rPr>
        <w:t>发布</w:t>
      </w:r>
    </w:p>
    <w:p w14:paraId="5B087406">
      <w:pPr>
        <w:pStyle w:val="21"/>
        <w:rPr>
          <w:color w:val="auto"/>
        </w:rPr>
        <w:sectPr>
          <w:pgSz w:w="11906" w:h="16838"/>
          <w:pgMar w:top="567" w:right="850" w:bottom="1134" w:left="1418" w:header="0" w:footer="0" w:gutter="0"/>
          <w:pgNumType w:start="1"/>
          <w:cols w:space="720" w:num="1"/>
          <w:docGrid w:type="lines" w:linePitch="312" w:charSpace="0"/>
        </w:sectPr>
      </w:pPr>
      <w:r>
        <w:rPr>
          <w:color w:val="auto"/>
        </w:rP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2339975</wp:posOffset>
                </wp:positionV>
                <wp:extent cx="6120130" cy="0"/>
                <wp:effectExtent l="0" t="0" r="0" b="0"/>
                <wp:wrapNone/>
                <wp:docPr id="6"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0.05pt;margin-top:184.25pt;height:0pt;width:481.9pt;z-index:251664384;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kHiX9cA&#10;AAAJAQAADwAAAAAAAAABACAAAAAiAAAAZHJzL2Rvd25yZXYueG1sUEsBAhQAFAAAAAgAh07iQAEO&#10;p5LnAQAA3AMAAA4AAAAAAAAAAQAgAAAAJgEAAGRycy9lMm9Eb2MueG1sUEsFBgAAAAAGAAYAWQEA&#10;AH8FAAAAAA==&#10;">
                <v:fill on="f" focussize="0,0"/>
                <v:stroke color="#000000" joinstyle="round"/>
                <v:imagedata o:title=""/>
                <o:lock v:ext="edit" aspectratio="f"/>
              </v:line>
            </w:pict>
          </mc:Fallback>
        </mc:AlternateContent>
      </w:r>
    </w:p>
    <w:p w14:paraId="028F47F3">
      <w:pPr>
        <w:pStyle w:val="48"/>
        <w:rPr>
          <w:rFonts w:hint="eastAsia"/>
          <w:color w:val="auto"/>
        </w:rPr>
      </w:pPr>
      <w:r>
        <w:rPr>
          <w:rFonts w:hint="eastAsia"/>
          <w:color w:val="auto"/>
        </w:rPr>
        <w:t>目</w:t>
      </w:r>
      <w:bookmarkStart w:id="11" w:name="BKML"/>
      <w:r>
        <w:rPr>
          <w:rFonts w:hAnsi="黑体"/>
          <w:color w:val="auto"/>
        </w:rPr>
        <w:t>  </w:t>
      </w:r>
      <w:r>
        <w:rPr>
          <w:rFonts w:hint="eastAsia"/>
          <w:color w:val="auto"/>
        </w:rPr>
        <w:t>次</w:t>
      </w:r>
      <w:bookmarkEnd w:id="11"/>
    </w:p>
    <w:p w14:paraId="7719B1D1">
      <w:pPr>
        <w:pStyle w:val="17"/>
        <w:spacing w:before="78" w:after="78"/>
        <w:rPr>
          <w:rFonts w:ascii="Calibri" w:hAnsi="Calibri"/>
          <w:color w:val="auto"/>
          <w:szCs w:val="22"/>
        </w:rPr>
      </w:pPr>
      <w:r>
        <w:rPr>
          <w:color w:val="auto"/>
        </w:rPr>
        <w:fldChar w:fldCharType="begin" w:fldLock="1"/>
      </w:r>
      <w:r>
        <w:rPr>
          <w:color w:val="auto"/>
        </w:rPr>
        <w:instrText xml:space="preserve"> </w:instrText>
      </w:r>
      <w:r>
        <w:rPr>
          <w:rFonts w:hint="eastAsia"/>
          <w:color w:val="auto"/>
        </w:rPr>
        <w:instrText xml:space="preserve">TOC \h \z \t"前言、引言标题,1,参考文献、索引标题,1,章标题,1,参考文献,1,附录标识,1,一级条标题, 3" \* MERGEFORMAT</w:instrText>
      </w:r>
      <w:r>
        <w:rPr>
          <w:color w:val="auto"/>
        </w:rPr>
        <w:instrText xml:space="preserve"> </w:instrText>
      </w:r>
      <w:r>
        <w:rPr>
          <w:color w:val="auto"/>
        </w:rPr>
        <w:fldChar w:fldCharType="separate"/>
      </w:r>
      <w:r>
        <w:rPr>
          <w:rStyle w:val="37"/>
          <w:color w:val="auto"/>
        </w:rPr>
        <w:fldChar w:fldCharType="begin" w:fldLock="1"/>
      </w:r>
      <w:r>
        <w:rPr>
          <w:rStyle w:val="37"/>
          <w:color w:val="auto"/>
        </w:rPr>
        <w:instrText xml:space="preserve"> </w:instrText>
      </w:r>
      <w:r>
        <w:rPr>
          <w:color w:val="auto"/>
        </w:rPr>
        <w:instrText xml:space="preserve">HYPERLINK \l "_Toc81579819"</w:instrText>
      </w:r>
      <w:r>
        <w:rPr>
          <w:rStyle w:val="37"/>
          <w:color w:val="auto"/>
        </w:rPr>
        <w:instrText xml:space="preserve"> </w:instrText>
      </w:r>
      <w:r>
        <w:rPr>
          <w:rStyle w:val="37"/>
          <w:color w:val="auto"/>
        </w:rPr>
        <w:fldChar w:fldCharType="separate"/>
      </w:r>
      <w:r>
        <w:rPr>
          <w:rStyle w:val="37"/>
          <w:rFonts w:hint="eastAsia"/>
          <w:color w:val="auto"/>
        </w:rPr>
        <w:t>前</w:t>
      </w:r>
      <w:r>
        <w:rPr>
          <w:rStyle w:val="37"/>
          <w:rFonts w:hAnsi="黑体"/>
          <w:color w:val="auto"/>
        </w:rPr>
        <w:t>  </w:t>
      </w:r>
      <w:r>
        <w:rPr>
          <w:rStyle w:val="37"/>
          <w:rFonts w:hint="eastAsia"/>
          <w:color w:val="auto"/>
        </w:rPr>
        <w:t>言</w:t>
      </w:r>
      <w:r>
        <w:rPr>
          <w:color w:val="auto"/>
        </w:rPr>
        <w:tab/>
      </w:r>
      <w:r>
        <w:rPr>
          <w:color w:val="auto"/>
        </w:rPr>
        <w:fldChar w:fldCharType="begin" w:fldLock="1"/>
      </w:r>
      <w:r>
        <w:rPr>
          <w:color w:val="auto"/>
        </w:rPr>
        <w:instrText xml:space="preserve"> PAGEREF _Toc81579819 \h </w:instrText>
      </w:r>
      <w:r>
        <w:rPr>
          <w:color w:val="auto"/>
        </w:rPr>
        <w:fldChar w:fldCharType="separate"/>
      </w:r>
      <w:r>
        <w:rPr>
          <w:color w:val="auto"/>
        </w:rPr>
        <w:t>III</w:t>
      </w:r>
      <w:r>
        <w:rPr>
          <w:color w:val="auto"/>
        </w:rPr>
        <w:fldChar w:fldCharType="end"/>
      </w:r>
      <w:r>
        <w:rPr>
          <w:rStyle w:val="37"/>
          <w:color w:val="auto"/>
        </w:rPr>
        <w:fldChar w:fldCharType="end"/>
      </w:r>
    </w:p>
    <w:p w14:paraId="4ED27A49">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"_Toc81579820"</w:instrText>
      </w:r>
      <w:r>
        <w:rPr>
          <w:rStyle w:val="37"/>
          <w:color w:val="auto"/>
        </w:rPr>
        <w:instrText xml:space="preserve"> </w:instrText>
      </w:r>
      <w:r>
        <w:rPr>
          <w:rStyle w:val="37"/>
          <w:color w:val="auto"/>
        </w:rPr>
        <w:fldChar w:fldCharType="separate"/>
      </w:r>
      <w:r>
        <w:rPr>
          <w:rStyle w:val="37"/>
          <w:color w:val="auto"/>
        </w:rPr>
        <w:t>1</w:t>
      </w:r>
      <w:r>
        <w:rPr>
          <w:rStyle w:val="37"/>
          <w:rFonts w:hint="eastAsia"/>
          <w:color w:val="auto"/>
        </w:rPr>
        <w:t>　范围</w:t>
      </w:r>
      <w:r>
        <w:rPr>
          <w:color w:val="auto"/>
        </w:rPr>
        <w:tab/>
      </w:r>
      <w:r>
        <w:rPr>
          <w:color w:val="auto"/>
        </w:rPr>
        <w:fldChar w:fldCharType="begin" w:fldLock="1"/>
      </w:r>
      <w:r>
        <w:rPr>
          <w:color w:val="auto"/>
        </w:rPr>
        <w:instrText xml:space="preserve"> PAGEREF _Toc81579820 \h </w:instrText>
      </w:r>
      <w:r>
        <w:rPr>
          <w:color w:val="auto"/>
        </w:rPr>
        <w:fldChar w:fldCharType="separate"/>
      </w:r>
      <w:r>
        <w:rPr>
          <w:color w:val="auto"/>
        </w:rPr>
        <w:t>1</w:t>
      </w:r>
      <w:r>
        <w:rPr>
          <w:color w:val="auto"/>
        </w:rPr>
        <w:fldChar w:fldCharType="end"/>
      </w:r>
      <w:r>
        <w:rPr>
          <w:rStyle w:val="37"/>
          <w:color w:val="auto"/>
        </w:rPr>
        <w:fldChar w:fldCharType="end"/>
      </w:r>
    </w:p>
    <w:p w14:paraId="1C37DBBF">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"_Toc81579821"</w:instrText>
      </w:r>
      <w:r>
        <w:rPr>
          <w:rStyle w:val="37"/>
          <w:color w:val="auto"/>
        </w:rPr>
        <w:instrText xml:space="preserve"> </w:instrText>
      </w:r>
      <w:r>
        <w:rPr>
          <w:rStyle w:val="37"/>
          <w:color w:val="auto"/>
        </w:rPr>
        <w:fldChar w:fldCharType="separate"/>
      </w:r>
      <w:r>
        <w:rPr>
          <w:rStyle w:val="37"/>
          <w:color w:val="auto"/>
        </w:rPr>
        <w:t>2</w:t>
      </w:r>
      <w:r>
        <w:rPr>
          <w:rStyle w:val="37"/>
          <w:rFonts w:hint="eastAsia"/>
          <w:color w:val="auto"/>
        </w:rPr>
        <w:t>　规范性引用文件</w:t>
      </w:r>
      <w:r>
        <w:rPr>
          <w:color w:val="auto"/>
        </w:rPr>
        <w:tab/>
      </w:r>
      <w:r>
        <w:rPr>
          <w:color w:val="auto"/>
        </w:rPr>
        <w:fldChar w:fldCharType="begin" w:fldLock="1"/>
      </w:r>
      <w:r>
        <w:rPr>
          <w:color w:val="auto"/>
        </w:rPr>
        <w:instrText xml:space="preserve"> PAGEREF _Toc81579821 \h </w:instrText>
      </w:r>
      <w:r>
        <w:rPr>
          <w:color w:val="auto"/>
        </w:rPr>
        <w:fldChar w:fldCharType="separate"/>
      </w:r>
      <w:r>
        <w:rPr>
          <w:color w:val="auto"/>
        </w:rPr>
        <w:t>1</w:t>
      </w:r>
      <w:r>
        <w:rPr>
          <w:color w:val="auto"/>
        </w:rPr>
        <w:fldChar w:fldCharType="end"/>
      </w:r>
      <w:r>
        <w:rPr>
          <w:rStyle w:val="37"/>
          <w:color w:val="auto"/>
        </w:rPr>
        <w:fldChar w:fldCharType="end"/>
      </w:r>
    </w:p>
    <w:p w14:paraId="3F5993BE">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"_Toc81579822"</w:instrText>
      </w:r>
      <w:r>
        <w:rPr>
          <w:rStyle w:val="37"/>
          <w:color w:val="auto"/>
        </w:rPr>
        <w:instrText xml:space="preserve"> </w:instrText>
      </w:r>
      <w:r>
        <w:rPr>
          <w:rStyle w:val="37"/>
          <w:color w:val="auto"/>
        </w:rPr>
        <w:fldChar w:fldCharType="separate"/>
      </w:r>
      <w:r>
        <w:rPr>
          <w:rStyle w:val="37"/>
          <w:color w:val="auto"/>
        </w:rPr>
        <w:t>3</w:t>
      </w:r>
      <w:r>
        <w:rPr>
          <w:rStyle w:val="37"/>
          <w:rFonts w:hint="eastAsia"/>
          <w:color w:val="auto"/>
        </w:rPr>
        <w:t>　术语与定义</w:t>
      </w:r>
      <w:r>
        <w:rPr>
          <w:color w:val="auto"/>
        </w:rPr>
        <w:tab/>
      </w:r>
      <w:r>
        <w:rPr>
          <w:color w:val="auto"/>
        </w:rPr>
        <w:fldChar w:fldCharType="begin" w:fldLock="1"/>
      </w:r>
      <w:r>
        <w:rPr>
          <w:color w:val="auto"/>
        </w:rPr>
        <w:instrText xml:space="preserve"> PAGEREF _Toc81579822 \h </w:instrText>
      </w:r>
      <w:r>
        <w:rPr>
          <w:color w:val="auto"/>
        </w:rPr>
        <w:fldChar w:fldCharType="separate"/>
      </w:r>
      <w:r>
        <w:rPr>
          <w:color w:val="auto"/>
        </w:rPr>
        <w:t>1</w:t>
      </w:r>
      <w:r>
        <w:rPr>
          <w:color w:val="auto"/>
        </w:rPr>
        <w:fldChar w:fldCharType="end"/>
      </w:r>
      <w:r>
        <w:rPr>
          <w:rStyle w:val="37"/>
          <w:color w:val="auto"/>
        </w:rPr>
        <w:fldChar w:fldCharType="end"/>
      </w:r>
    </w:p>
    <w:p w14:paraId="6097B697">
      <w:pPr>
        <w:pStyle w:val="17"/>
        <w:spacing w:before="78" w:after="78"/>
        <w:rPr>
          <w:rStyle w:val="37"/>
          <w:color w:val="auto"/>
        </w:rPr>
      </w:pPr>
      <w:r>
        <w:rPr>
          <w:rStyle w:val="37"/>
          <w:color w:val="auto"/>
        </w:rPr>
        <w:fldChar w:fldCharType="begin" w:fldLock="1"/>
      </w:r>
      <w:r>
        <w:rPr>
          <w:rStyle w:val="37"/>
          <w:color w:val="auto"/>
        </w:rPr>
        <w:instrText xml:space="preserve"> </w:instrText>
      </w:r>
      <w:r>
        <w:rPr>
          <w:color w:val="auto"/>
        </w:rPr>
        <w:instrText xml:space="preserve">HYPERLINK \l "_Toc81579827"</w:instrText>
      </w:r>
      <w:r>
        <w:rPr>
          <w:rStyle w:val="37"/>
          <w:color w:val="auto"/>
        </w:rPr>
        <w:instrText xml:space="preserve"> </w:instrText>
      </w:r>
      <w:r>
        <w:rPr>
          <w:rStyle w:val="37"/>
          <w:color w:val="auto"/>
        </w:rPr>
        <w:fldChar w:fldCharType="separate"/>
      </w:r>
      <w:r>
        <w:rPr>
          <w:rStyle w:val="37"/>
          <w:color w:val="auto"/>
        </w:rPr>
        <w:t>4</w:t>
      </w:r>
      <w:r>
        <w:rPr>
          <w:rStyle w:val="37"/>
          <w:rFonts w:hint="eastAsia"/>
          <w:color w:val="auto"/>
        </w:rPr>
        <w:t>　品种</w:t>
      </w:r>
      <w:r>
        <w:rPr>
          <w:rStyle w:val="37"/>
          <w:rFonts w:hint="eastAsia"/>
          <w:color w:val="auto"/>
          <w:lang w:val="en-US" w:eastAsia="zh-CN"/>
        </w:rPr>
        <w:t>与种苗</w:t>
      </w:r>
      <w:r>
        <w:rPr>
          <w:rStyle w:val="37"/>
          <w:rFonts w:hint="eastAsia"/>
          <w:color w:val="auto"/>
        </w:rPr>
        <w:t>选择</w:t>
      </w:r>
      <w:r>
        <w:rPr>
          <w:color w:val="auto"/>
        </w:rPr>
        <w:tab/>
      </w:r>
      <w:r>
        <w:rPr>
          <w:rFonts w:hint="eastAsia"/>
          <w:color w:val="auto"/>
          <w:lang w:val="en-US" w:eastAsia="zh-CN"/>
        </w:rPr>
        <w:t>2</w:t>
      </w:r>
      <w:r>
        <w:rPr>
          <w:rStyle w:val="37"/>
          <w:color w:val="auto"/>
        </w:rPr>
        <w:fldChar w:fldCharType="end"/>
      </w:r>
    </w:p>
    <w:p w14:paraId="3C8A2720">
      <w:pPr>
        <w:pStyle w:val="17"/>
        <w:spacing w:before="78" w:after="78"/>
        <w:rPr>
          <w:color w:val="auto"/>
        </w:rPr>
      </w:pPr>
      <w:r>
        <w:rPr>
          <w:rStyle w:val="37"/>
          <w:color w:val="auto"/>
        </w:rPr>
        <w:fldChar w:fldCharType="begin" w:fldLock="1"/>
      </w:r>
      <w:r>
        <w:rPr>
          <w:rStyle w:val="37"/>
          <w:color w:val="auto"/>
        </w:rPr>
        <w:instrText xml:space="preserve"> </w:instrText>
      </w:r>
      <w:r>
        <w:rPr>
          <w:color w:val="auto"/>
        </w:rPr>
        <w:instrText xml:space="preserve">HYPERLINK \l "_Toc81579827"</w:instrText>
      </w:r>
      <w:r>
        <w:rPr>
          <w:rStyle w:val="37"/>
          <w:color w:val="auto"/>
        </w:rPr>
        <w:instrText xml:space="preserve"> </w:instrText>
      </w:r>
      <w:r>
        <w:rPr>
          <w:rStyle w:val="37"/>
          <w:color w:val="auto"/>
        </w:rPr>
        <w:fldChar w:fldCharType="separate"/>
      </w:r>
      <w:r>
        <w:rPr>
          <w:rStyle w:val="37"/>
          <w:rFonts w:hint="eastAsia"/>
          <w:color w:val="auto"/>
          <w:lang w:val="en-US" w:eastAsia="zh-CN"/>
        </w:rPr>
        <w:t>5</w:t>
      </w:r>
      <w:r>
        <w:rPr>
          <w:rStyle w:val="37"/>
          <w:rFonts w:hint="eastAsia"/>
          <w:color w:val="auto"/>
        </w:rPr>
        <w:t>　</w:t>
      </w:r>
      <w:r>
        <w:rPr>
          <w:rStyle w:val="37"/>
          <w:rFonts w:hint="eastAsia"/>
          <w:color w:val="auto"/>
          <w:lang w:val="en-US" w:eastAsia="zh-CN"/>
        </w:rPr>
        <w:t>轮作模式与周期</w:t>
      </w:r>
      <w:r>
        <w:rPr>
          <w:color w:val="auto"/>
        </w:rPr>
        <w:tab/>
      </w:r>
      <w:r>
        <w:rPr>
          <w:rFonts w:hint="eastAsia"/>
          <w:color w:val="auto"/>
          <w:lang w:val="en-US" w:eastAsia="zh-CN"/>
        </w:rPr>
        <w:t>2</w:t>
      </w:r>
      <w:r>
        <w:rPr>
          <w:rStyle w:val="37"/>
          <w:color w:val="auto"/>
        </w:rPr>
        <w:fldChar w:fldCharType="end"/>
      </w:r>
    </w:p>
    <w:p w14:paraId="67758537">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"_Toc81579828"</w:instrText>
      </w:r>
      <w:r>
        <w:rPr>
          <w:rStyle w:val="37"/>
          <w:color w:val="auto"/>
        </w:rPr>
        <w:instrText xml:space="preserve"> </w:instrText>
      </w:r>
      <w:r>
        <w:rPr>
          <w:rStyle w:val="37"/>
          <w:color w:val="auto"/>
        </w:rPr>
        <w:fldChar w:fldCharType="separate"/>
      </w:r>
      <w:r>
        <w:rPr>
          <w:rStyle w:val="37"/>
          <w:rFonts w:hint="eastAsia"/>
          <w:color w:val="auto"/>
          <w:lang w:val="en-US" w:eastAsia="zh-CN"/>
        </w:rPr>
        <w:t>6</w:t>
      </w:r>
      <w:r>
        <w:rPr>
          <w:rStyle w:val="37"/>
          <w:rFonts w:hint="eastAsia"/>
          <w:color w:val="auto"/>
        </w:rPr>
        <w:t>　栽培场所选择与处理</w:t>
      </w:r>
      <w:r>
        <w:rPr>
          <w:color w:val="auto"/>
        </w:rPr>
        <w:tab/>
      </w:r>
      <w:r>
        <w:rPr>
          <w:rFonts w:hint="eastAsia"/>
          <w:color w:val="auto"/>
          <w:lang w:val="en-US" w:eastAsia="zh-CN"/>
        </w:rPr>
        <w:t>3</w:t>
      </w:r>
      <w:r>
        <w:rPr>
          <w:rStyle w:val="37"/>
          <w:color w:val="auto"/>
        </w:rPr>
        <w:fldChar w:fldCharType="end"/>
      </w:r>
    </w:p>
    <w:p w14:paraId="3EE961E0">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"_Toc81579832"</w:instrText>
      </w:r>
      <w:r>
        <w:rPr>
          <w:rStyle w:val="37"/>
          <w:color w:val="auto"/>
        </w:rPr>
        <w:instrText xml:space="preserve"> </w:instrText>
      </w:r>
      <w:r>
        <w:rPr>
          <w:rStyle w:val="37"/>
          <w:color w:val="auto"/>
        </w:rPr>
        <w:fldChar w:fldCharType="separate"/>
      </w:r>
      <w:r>
        <w:rPr>
          <w:rStyle w:val="37"/>
          <w:rFonts w:hint="eastAsia"/>
          <w:color w:val="auto"/>
          <w:lang w:val="en-US" w:eastAsia="zh-CN"/>
        </w:rPr>
        <w:t>7</w:t>
      </w:r>
      <w:r>
        <w:rPr>
          <w:rStyle w:val="37"/>
          <w:rFonts w:hint="eastAsia"/>
          <w:color w:val="auto"/>
        </w:rPr>
        <w:t>　栽种</w:t>
      </w:r>
      <w:r>
        <w:rPr>
          <w:color w:val="auto"/>
        </w:rPr>
        <w:tab/>
      </w:r>
      <w:r>
        <w:rPr>
          <w:rFonts w:hint="eastAsia"/>
          <w:color w:val="auto"/>
          <w:lang w:val="en-US" w:eastAsia="zh-CN"/>
        </w:rPr>
        <w:t>4</w:t>
      </w:r>
      <w:r>
        <w:rPr>
          <w:rStyle w:val="37"/>
          <w:color w:val="auto"/>
        </w:rPr>
        <w:fldChar w:fldCharType="end"/>
      </w:r>
    </w:p>
    <w:p w14:paraId="25798739">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"_Toc81579838"</w:instrText>
      </w:r>
      <w:r>
        <w:rPr>
          <w:rStyle w:val="37"/>
          <w:color w:val="auto"/>
        </w:rPr>
        <w:instrText xml:space="preserve"> </w:instrText>
      </w:r>
      <w:r>
        <w:rPr>
          <w:rStyle w:val="37"/>
          <w:color w:val="auto"/>
        </w:rPr>
        <w:fldChar w:fldCharType="separate"/>
      </w:r>
      <w:r>
        <w:rPr>
          <w:rStyle w:val="37"/>
          <w:rFonts w:hint="eastAsia"/>
          <w:color w:val="auto"/>
          <w:lang w:val="en-US" w:eastAsia="zh-CN"/>
        </w:rPr>
        <w:t>8</w:t>
      </w:r>
      <w:r>
        <w:rPr>
          <w:rStyle w:val="37"/>
          <w:rFonts w:hint="eastAsia"/>
          <w:color w:val="auto"/>
        </w:rPr>
        <w:t>　管理</w:t>
      </w:r>
      <w:r>
        <w:rPr>
          <w:color w:val="auto"/>
        </w:rPr>
        <w:tab/>
      </w:r>
      <w:r>
        <w:rPr>
          <w:rFonts w:hint="eastAsia"/>
          <w:color w:val="auto"/>
          <w:lang w:val="en-US" w:eastAsia="zh-CN"/>
        </w:rPr>
        <w:t>5</w:t>
      </w:r>
      <w:r>
        <w:rPr>
          <w:rStyle w:val="37"/>
          <w:color w:val="auto"/>
        </w:rPr>
        <w:fldChar w:fldCharType="end"/>
      </w:r>
    </w:p>
    <w:p w14:paraId="03C4A7F7">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"_Toc81579842"</w:instrText>
      </w:r>
      <w:r>
        <w:rPr>
          <w:rStyle w:val="37"/>
          <w:color w:val="auto"/>
        </w:rPr>
        <w:instrText xml:space="preserve"> </w:instrText>
      </w:r>
      <w:r>
        <w:rPr>
          <w:rStyle w:val="37"/>
          <w:color w:val="auto"/>
        </w:rPr>
        <w:fldChar w:fldCharType="separate"/>
      </w:r>
      <w:r>
        <w:rPr>
          <w:rStyle w:val="37"/>
          <w:rFonts w:hint="eastAsia"/>
          <w:color w:val="auto"/>
          <w:lang w:val="en-US" w:eastAsia="zh-CN"/>
        </w:rPr>
        <w:t>9</w:t>
      </w:r>
      <w:r>
        <w:rPr>
          <w:rStyle w:val="37"/>
          <w:rFonts w:hint="eastAsia"/>
          <w:color w:val="auto"/>
        </w:rPr>
        <w:t>　病虫害防治</w:t>
      </w:r>
      <w:r>
        <w:rPr>
          <w:color w:val="auto"/>
        </w:rPr>
        <w:tab/>
      </w:r>
      <w:r>
        <w:rPr>
          <w:rFonts w:hint="eastAsia"/>
          <w:color w:val="auto"/>
          <w:lang w:val="en-US" w:eastAsia="zh-CN"/>
        </w:rPr>
        <w:t>6</w:t>
      </w:r>
      <w:r>
        <w:rPr>
          <w:rStyle w:val="37"/>
          <w:color w:val="auto"/>
        </w:rPr>
        <w:fldChar w:fldCharType="end"/>
      </w:r>
    </w:p>
    <w:p w14:paraId="038C2D25">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"_Toc81579848"</w:instrText>
      </w:r>
      <w:r>
        <w:rPr>
          <w:rStyle w:val="37"/>
          <w:color w:val="auto"/>
        </w:rPr>
        <w:instrText xml:space="preserve"> </w:instrText>
      </w:r>
      <w:r>
        <w:rPr>
          <w:rStyle w:val="37"/>
          <w:color w:val="auto"/>
        </w:rPr>
        <w:fldChar w:fldCharType="separate"/>
      </w:r>
      <w:r>
        <w:rPr>
          <w:rStyle w:val="37"/>
          <w:rFonts w:hint="eastAsia"/>
          <w:color w:val="auto"/>
          <w:lang w:val="en-US" w:eastAsia="zh-CN"/>
        </w:rPr>
        <w:t>10</w:t>
      </w:r>
      <w:r>
        <w:rPr>
          <w:rStyle w:val="37"/>
          <w:rFonts w:hint="eastAsia"/>
          <w:color w:val="auto"/>
        </w:rPr>
        <w:t>　采收</w:t>
      </w:r>
      <w:r>
        <w:rPr>
          <w:color w:val="auto"/>
        </w:rPr>
        <w:tab/>
      </w:r>
      <w:r>
        <w:rPr>
          <w:rFonts w:hint="eastAsia"/>
          <w:color w:val="auto"/>
          <w:lang w:val="en-US" w:eastAsia="zh-CN"/>
        </w:rPr>
        <w:t>6</w:t>
      </w:r>
      <w:r>
        <w:rPr>
          <w:rStyle w:val="37"/>
          <w:color w:val="auto"/>
        </w:rPr>
        <w:fldChar w:fldCharType="end"/>
      </w:r>
    </w:p>
    <w:p w14:paraId="22CCDB0E">
      <w:pPr>
        <w:pStyle w:val="17"/>
        <w:spacing w:before="78" w:after="78"/>
        <w:rPr>
          <w:rStyle w:val="37"/>
          <w:rFonts w:hint="eastAsia" w:eastAsia="宋体"/>
          <w:color w:val="auto"/>
          <w:lang w:val="en-US" w:eastAsia="zh-CN"/>
        </w:rPr>
      </w:pPr>
      <w:r>
        <w:rPr>
          <w:rStyle w:val="37"/>
          <w:color w:val="auto"/>
        </w:rPr>
        <w:fldChar w:fldCharType="begin" w:fldLock="1"/>
      </w:r>
      <w:r>
        <w:rPr>
          <w:rStyle w:val="37"/>
          <w:color w:val="auto"/>
        </w:rPr>
        <w:instrText xml:space="preserve"> </w:instrText>
      </w:r>
      <w:r>
        <w:rPr>
          <w:color w:val="auto"/>
        </w:rPr>
        <w:instrText xml:space="preserve">HYPERLINK \l "_Toc81579851"</w:instrText>
      </w:r>
      <w:r>
        <w:rPr>
          <w:rStyle w:val="37"/>
          <w:color w:val="auto"/>
        </w:rPr>
        <w:instrText xml:space="preserve"> </w:instrText>
      </w:r>
      <w:r>
        <w:rPr>
          <w:rStyle w:val="37"/>
          <w:color w:val="auto"/>
        </w:rPr>
        <w:fldChar w:fldCharType="separate"/>
      </w:r>
      <w:r>
        <w:rPr>
          <w:rStyle w:val="37"/>
          <w:rFonts w:hint="eastAsia"/>
          <w:color w:val="auto"/>
          <w:lang w:val="en-US" w:eastAsia="zh-CN"/>
        </w:rPr>
        <w:t>11</w:t>
      </w:r>
      <w:r>
        <w:rPr>
          <w:rStyle w:val="37"/>
          <w:rFonts w:hint="eastAsia"/>
          <w:color w:val="auto"/>
        </w:rPr>
        <w:t>　档案管理</w:t>
      </w:r>
      <w:r>
        <w:rPr>
          <w:color w:val="auto"/>
        </w:rPr>
        <w:tab/>
      </w:r>
      <w:r>
        <w:rPr>
          <w:rStyle w:val="37"/>
          <w:color w:val="auto"/>
        </w:rPr>
        <w:fldChar w:fldCharType="end"/>
      </w:r>
      <w:r>
        <w:rPr>
          <w:rStyle w:val="37"/>
          <w:rFonts w:hint="eastAsia"/>
          <w:color w:val="auto"/>
          <w:lang w:val="en-US" w:eastAsia="zh-CN"/>
        </w:rPr>
        <w:t>7</w:t>
      </w:r>
    </w:p>
    <w:p w14:paraId="16D17DAE">
      <w:pPr>
        <w:pStyle w:val="17"/>
        <w:spacing w:before="78" w:after="78"/>
        <w:rPr>
          <w:rFonts w:ascii="Calibri" w:hAnsi="Calibri"/>
          <w:color w:val="auto"/>
          <w:szCs w:val="22"/>
        </w:rPr>
      </w:pPr>
      <w:r>
        <w:rPr>
          <w:rStyle w:val="37"/>
          <w:color w:val="auto"/>
        </w:rPr>
        <w:fldChar w:fldCharType="begin" w:fldLock="1"/>
      </w:r>
      <w:r>
        <w:rPr>
          <w:rStyle w:val="37"/>
          <w:color w:val="auto"/>
        </w:rPr>
        <w:instrText xml:space="preserve"> </w:instrText>
      </w:r>
      <w:r>
        <w:rPr>
          <w:color w:val="auto"/>
        </w:rPr>
        <w:instrText xml:space="preserve">HYPERLINK \l "_Toc81579851"</w:instrText>
      </w:r>
      <w:r>
        <w:rPr>
          <w:rStyle w:val="37"/>
          <w:color w:val="auto"/>
        </w:rPr>
        <w:instrText xml:space="preserve"> </w:instrText>
      </w:r>
      <w:r>
        <w:rPr>
          <w:rStyle w:val="37"/>
          <w:color w:val="auto"/>
        </w:rPr>
        <w:fldChar w:fldCharType="separate"/>
      </w:r>
      <w:r>
        <w:rPr>
          <w:rStyle w:val="37"/>
          <w:rFonts w:hint="eastAsia"/>
          <w:color w:val="auto"/>
          <w:lang w:val="en-US" w:eastAsia="zh-CN"/>
        </w:rPr>
        <w:t>附录</w:t>
      </w:r>
      <w:r>
        <w:rPr>
          <w:color w:val="auto"/>
        </w:rPr>
        <w:tab/>
      </w:r>
      <w:r>
        <w:rPr>
          <w:rFonts w:hint="eastAsia"/>
          <w:color w:val="auto"/>
          <w:lang w:val="en-US" w:eastAsia="zh-CN"/>
        </w:rPr>
        <w:t>8</w:t>
      </w:r>
      <w:r>
        <w:rPr>
          <w:rStyle w:val="37"/>
          <w:color w:val="auto"/>
        </w:rPr>
        <w:fldChar w:fldCharType="end"/>
      </w:r>
    </w:p>
    <w:p w14:paraId="7DB473F4">
      <w:pPr>
        <w:rPr>
          <w:color w:val="auto"/>
        </w:rPr>
      </w:pPr>
    </w:p>
    <w:p w14:paraId="74B153D4">
      <w:pPr>
        <w:pStyle w:val="21"/>
        <w:rPr>
          <w:rFonts w:hint="eastAsia"/>
          <w:color w:val="auto"/>
        </w:rPr>
      </w:pPr>
      <w:r>
        <w:rPr>
          <w:color w:val="auto"/>
        </w:rPr>
        <w:fldChar w:fldCharType="end"/>
      </w:r>
    </w:p>
    <w:p w14:paraId="594C6F4E">
      <w:pPr>
        <w:pStyle w:val="110"/>
        <w:rPr>
          <w:rFonts w:hint="eastAsia"/>
          <w:color w:val="auto"/>
        </w:rPr>
      </w:pPr>
      <w:bookmarkStart w:id="12" w:name="_Toc81579819"/>
      <w:r>
        <w:rPr>
          <w:rFonts w:hint="eastAsia"/>
          <w:color w:val="auto"/>
        </w:rPr>
        <w:t>前</w:t>
      </w:r>
      <w:bookmarkStart w:id="13" w:name="BKQY"/>
      <w:r>
        <w:rPr>
          <w:rFonts w:hAnsi="黑体"/>
          <w:color w:val="auto"/>
        </w:rPr>
        <w:t>  </w:t>
      </w:r>
      <w:r>
        <w:rPr>
          <w:rFonts w:hint="eastAsia"/>
          <w:color w:val="auto"/>
        </w:rPr>
        <w:t>言</w:t>
      </w:r>
      <w:bookmarkEnd w:id="12"/>
      <w:bookmarkEnd w:id="13"/>
    </w:p>
    <w:p w14:paraId="29AB417B">
      <w:pPr>
        <w:pStyle w:val="21"/>
        <w:rPr>
          <w:color w:val="auto"/>
        </w:rPr>
      </w:pPr>
      <w:r>
        <w:rPr>
          <w:rFonts w:hint="eastAsia"/>
          <w:color w:val="auto"/>
        </w:rPr>
        <w:t>本文件依据</w:t>
      </w:r>
      <w:r>
        <w:rPr>
          <w:rFonts w:ascii="Times New Roman"/>
          <w:color w:val="auto"/>
        </w:rPr>
        <w:t>GB/</w:t>
      </w:r>
      <w:r>
        <w:rPr>
          <w:rFonts w:hint="eastAsia" w:ascii="Times New Roman"/>
          <w:color w:val="auto"/>
        </w:rPr>
        <w:t>T 1.1-2020</w:t>
      </w:r>
      <w:r>
        <w:rPr>
          <w:rFonts w:hint="eastAsia"/>
          <w:color w:val="auto"/>
        </w:rPr>
        <w:t>给出的规则起草。</w:t>
      </w:r>
    </w:p>
    <w:p w14:paraId="70BD9E3B">
      <w:pPr>
        <w:pStyle w:val="137"/>
        <w:ind w:firstLine="420"/>
        <w:rPr>
          <w:rFonts w:hint="eastAsia"/>
          <w:color w:val="auto"/>
        </w:rPr>
      </w:pPr>
      <w:r>
        <w:rPr>
          <w:rFonts w:hint="eastAsia" w:ascii="Times New Roman"/>
          <w:color w:val="auto"/>
        </w:rPr>
        <w:t>请注意本文件的某些内容可能涉及专利。本文件的发布机构不承担识别专利的责任。</w:t>
      </w:r>
    </w:p>
    <w:p w14:paraId="6512E04B">
      <w:pPr>
        <w:pStyle w:val="21"/>
        <w:rPr>
          <w:rFonts w:hint="eastAsia"/>
          <w:color w:val="auto"/>
        </w:rPr>
      </w:pPr>
      <w:r>
        <w:rPr>
          <w:rFonts w:hint="eastAsia"/>
          <w:color w:val="auto"/>
        </w:rPr>
        <w:t>本文件由</w:t>
      </w:r>
      <w:r>
        <w:rPr>
          <w:rFonts w:hint="eastAsia"/>
          <w:color w:val="auto"/>
          <w:lang w:val="en-US" w:eastAsia="zh-CN"/>
        </w:rPr>
        <w:t>中国林学会</w:t>
      </w:r>
      <w:r>
        <w:rPr>
          <w:rFonts w:hint="eastAsia"/>
          <w:color w:val="auto"/>
        </w:rPr>
        <w:t>提出并归口。</w:t>
      </w:r>
    </w:p>
    <w:p w14:paraId="40078E04">
      <w:pPr>
        <w:pStyle w:val="21"/>
        <w:rPr>
          <w:rFonts w:hint="eastAsia"/>
          <w:color w:val="auto"/>
        </w:rPr>
      </w:pPr>
      <w:r>
        <w:rPr>
          <w:rFonts w:hint="eastAsia"/>
          <w:color w:val="auto"/>
        </w:rPr>
        <w:t>本文件起草单位：</w:t>
      </w:r>
      <w:r>
        <w:rPr>
          <w:rFonts w:hint="eastAsia"/>
          <w:color w:val="auto"/>
          <w:lang w:val="en-US" w:eastAsia="zh-CN"/>
        </w:rPr>
        <w:t>中国林业科学研究院亚热带林业实验中心、广西壮族自治区林业科学研究院，中国林业科学研究院林业科技信息研究所，桂林聚晖农林科技有限公司，贵州金川实业有限公司。</w:t>
      </w:r>
    </w:p>
    <w:p w14:paraId="1C134F74">
      <w:pPr>
        <w:pStyle w:val="21"/>
        <w:ind w:firstLine="424" w:firstLineChars="202"/>
        <w:rPr>
          <w:rFonts w:hint="eastAsia"/>
          <w:color w:val="auto"/>
        </w:rPr>
      </w:pPr>
      <w:r>
        <w:rPr>
          <w:rFonts w:hint="eastAsia"/>
          <w:color w:val="auto"/>
        </w:rPr>
        <w:t>本文件主要起草人：</w:t>
      </w:r>
      <w:r>
        <w:rPr>
          <w:rFonts w:hint="eastAsia"/>
          <w:color w:val="auto"/>
          <w:lang w:val="en-US" w:eastAsia="zh-CN"/>
        </w:rPr>
        <w:t>陈幸良，李峰卿，杨开太，窦亚权，蒋艳梅，</w:t>
      </w:r>
      <w:r>
        <w:rPr>
          <w:rFonts w:hint="eastAsia" w:ascii="Times New Roman" w:hAnsi="Times New Roman" w:eastAsia="宋体" w:cs="Times New Roman"/>
          <w:color w:val="auto"/>
          <w:szCs w:val="24"/>
          <w:lang w:val="en-US" w:eastAsia="zh-CN"/>
        </w:rPr>
        <w:t>杜任荣</w:t>
      </w:r>
      <w:r>
        <w:rPr>
          <w:rFonts w:hint="eastAsia" w:ascii="Times New Roman" w:cs="Times New Roman"/>
          <w:color w:val="auto"/>
          <w:szCs w:val="24"/>
          <w:lang w:val="en-US" w:eastAsia="zh-CN"/>
        </w:rPr>
        <w:t>，</w:t>
      </w:r>
      <w:r>
        <w:rPr>
          <w:rFonts w:hint="eastAsia" w:ascii="Times New Roman" w:hAnsi="Times New Roman" w:eastAsia="宋体" w:cs="Times New Roman"/>
          <w:color w:val="auto"/>
          <w:szCs w:val="24"/>
          <w:lang w:val="en-US" w:eastAsia="zh-CN"/>
        </w:rPr>
        <w:t>刘凯</w:t>
      </w:r>
      <w:r>
        <w:rPr>
          <w:rFonts w:hint="eastAsia" w:ascii="Times New Roman" w:cs="Times New Roman"/>
          <w:color w:val="auto"/>
          <w:szCs w:val="24"/>
          <w:lang w:val="en-US" w:eastAsia="zh-CN"/>
        </w:rPr>
        <w:t>，程文辉，张婷</w:t>
      </w:r>
      <w:r>
        <w:rPr>
          <w:rFonts w:hint="eastAsia"/>
          <w:color w:val="auto"/>
        </w:rPr>
        <w:t>。</w:t>
      </w:r>
    </w:p>
    <w:p w14:paraId="29A20B17">
      <w:pPr>
        <w:pStyle w:val="21"/>
        <w:rPr>
          <w:color w:val="auto"/>
        </w:rPr>
        <w:sectPr>
          <w:headerReference r:id="rId3" w:type="default"/>
          <w:footerReference r:id="rId4" w:type="default"/>
          <w:pgSz w:w="11906" w:h="16838"/>
          <w:pgMar w:top="567" w:right="1134" w:bottom="1134" w:left="1418" w:header="1418" w:footer="1134" w:gutter="0"/>
          <w:pgNumType w:fmt="upperRoman" w:start="1"/>
          <w:cols w:space="720" w:num="1"/>
          <w:formProt w:val="0"/>
          <w:docGrid w:type="lines" w:linePitch="312" w:charSpace="0"/>
        </w:sectPr>
      </w:pPr>
    </w:p>
    <w:p w14:paraId="0BD1D692">
      <w:pPr>
        <w:pStyle w:val="48"/>
        <w:rPr>
          <w:rFonts w:hint="eastAsia"/>
          <w:color w:val="auto"/>
        </w:rPr>
      </w:pPr>
      <w:r>
        <w:rPr>
          <w:rFonts w:hint="eastAsia"/>
          <w:color w:val="auto"/>
        </w:rPr>
        <w:t>杉木林下“玉竹-射干/草珊瑚-黄花倒水莲”轮作技术规程</w:t>
      </w:r>
    </w:p>
    <w:p w14:paraId="4A73500A">
      <w:pPr>
        <w:pStyle w:val="43"/>
        <w:rPr>
          <w:rFonts w:hint="default" w:ascii="Times New Roman" w:hAnsi="Times New Roman" w:cs="Times New Roman"/>
          <w:color w:val="auto"/>
        </w:rPr>
      </w:pPr>
      <w:bookmarkStart w:id="14" w:name="_Toc81579820"/>
      <w:r>
        <w:rPr>
          <w:rFonts w:hint="default" w:ascii="Times New Roman" w:hAnsi="Times New Roman" w:cs="Times New Roman"/>
          <w:color w:val="auto"/>
        </w:rPr>
        <w:t>范围</w:t>
      </w:r>
      <w:bookmarkEnd w:id="14"/>
    </w:p>
    <w:p w14:paraId="4D3E9582">
      <w:pPr>
        <w:pStyle w:val="21"/>
        <w:rPr>
          <w:rFonts w:hint="default" w:ascii="Times New Roman" w:hAnsi="Times New Roman" w:cs="Times New Roman"/>
          <w:color w:val="auto"/>
        </w:rPr>
      </w:pPr>
      <w:r>
        <w:rPr>
          <w:rFonts w:hint="default" w:ascii="Times New Roman" w:hAnsi="Times New Roman" w:cs="Times New Roman"/>
          <w:color w:val="auto"/>
        </w:rPr>
        <w:t>本文件规定了杉木林环境开展</w:t>
      </w:r>
      <w:r>
        <w:rPr>
          <w:rFonts w:hint="default" w:ascii="Times New Roman" w:hAnsi="Times New Roman" w:cs="Times New Roman"/>
          <w:color w:val="auto"/>
          <w:lang w:val="en-US" w:eastAsia="zh-CN"/>
        </w:rPr>
        <w:t>玉竹</w:t>
      </w:r>
      <w:r>
        <w:rPr>
          <w:rFonts w:hint="default" w:ascii="Times New Roman" w:hAnsi="Times New Roman" w:cs="Times New Roman"/>
          <w:color w:val="auto"/>
        </w:rPr>
        <w:t>、</w:t>
      </w:r>
      <w:r>
        <w:rPr>
          <w:rFonts w:hint="default" w:ascii="Times New Roman" w:hAnsi="Times New Roman" w:cs="Times New Roman"/>
          <w:color w:val="auto"/>
          <w:lang w:val="en-US" w:eastAsia="zh-CN"/>
        </w:rPr>
        <w:t>射干/</w:t>
      </w:r>
      <w:r>
        <w:rPr>
          <w:rFonts w:hint="default" w:ascii="Times New Roman" w:hAnsi="Times New Roman" w:cs="Times New Roman"/>
          <w:color w:val="auto"/>
        </w:rPr>
        <w:t>草珊瑚、</w:t>
      </w:r>
      <w:r>
        <w:rPr>
          <w:rFonts w:hint="default" w:ascii="Times New Roman" w:hAnsi="Times New Roman" w:cs="Times New Roman"/>
          <w:color w:val="auto"/>
          <w:lang w:val="en-US" w:eastAsia="zh-CN"/>
        </w:rPr>
        <w:t>黄花倒水莲</w:t>
      </w:r>
      <w:r>
        <w:rPr>
          <w:rFonts w:hint="default" w:ascii="Times New Roman" w:hAnsi="Times New Roman" w:cs="Times New Roman"/>
          <w:color w:val="auto"/>
        </w:rPr>
        <w:t>等多种药用植物</w:t>
      </w:r>
      <w:r>
        <w:rPr>
          <w:rFonts w:hint="default" w:ascii="Times New Roman" w:hAnsi="Times New Roman" w:cs="Times New Roman"/>
          <w:color w:val="auto"/>
          <w:lang w:val="en-US" w:eastAsia="zh-CN"/>
        </w:rPr>
        <w:t>轮作经营</w:t>
      </w:r>
      <w:r>
        <w:rPr>
          <w:rFonts w:hint="default" w:ascii="Times New Roman" w:hAnsi="Times New Roman" w:cs="Times New Roman"/>
          <w:color w:val="auto"/>
        </w:rPr>
        <w:t>的品种与种苗选择、轮作模式与周期、栽培场所选择与处理、栽种、管理、病虫害防治、采收及档案管理等技术要求。</w:t>
      </w:r>
    </w:p>
    <w:p w14:paraId="05F119D1">
      <w:pPr>
        <w:pStyle w:val="135"/>
        <w:ind w:firstLine="420" w:firstLineChars="200"/>
        <w:rPr>
          <w:rFonts w:hint="default" w:ascii="Times New Roman" w:hAnsi="Times New Roman" w:cs="Times New Roman"/>
          <w:color w:val="auto"/>
        </w:rPr>
      </w:pPr>
      <w:r>
        <w:rPr>
          <w:rFonts w:hint="default" w:ascii="Times New Roman" w:hAnsi="Times New Roman" w:cs="Times New Roman"/>
          <w:color w:val="auto"/>
        </w:rPr>
        <w:t>本文件适用于</w:t>
      </w:r>
      <w:r>
        <w:rPr>
          <w:rFonts w:hint="default" w:ascii="Times New Roman" w:hAnsi="Times New Roman" w:cs="Times New Roman"/>
          <w:color w:val="auto"/>
          <w:lang w:val="en-US" w:eastAsia="zh-CN"/>
        </w:rPr>
        <w:t>广西</w:t>
      </w:r>
      <w:r>
        <w:rPr>
          <w:rFonts w:hint="eastAsia" w:cs="Times New Roman"/>
          <w:color w:val="auto"/>
          <w:lang w:val="en-US" w:eastAsia="zh-CN"/>
        </w:rPr>
        <w:t>、江西</w:t>
      </w:r>
      <w:r>
        <w:rPr>
          <w:rFonts w:hint="default" w:ascii="Times New Roman" w:hAnsi="Times New Roman" w:cs="Times New Roman"/>
          <w:color w:val="auto"/>
        </w:rPr>
        <w:t>及类似气候区杉木林下</w:t>
      </w:r>
      <w:r>
        <w:rPr>
          <w:rFonts w:hint="default" w:ascii="Times New Roman" w:hAnsi="Times New Roman" w:cs="Times New Roman"/>
          <w:color w:val="auto"/>
          <w:lang w:val="en-US" w:eastAsia="zh-CN"/>
        </w:rPr>
        <w:t>玉竹</w:t>
      </w:r>
      <w:r>
        <w:rPr>
          <w:rFonts w:hint="default" w:ascii="Times New Roman" w:hAnsi="Times New Roman" w:cs="Times New Roman"/>
          <w:color w:val="auto"/>
        </w:rPr>
        <w:t>、</w:t>
      </w:r>
      <w:r>
        <w:rPr>
          <w:rFonts w:hint="default" w:ascii="Times New Roman" w:hAnsi="Times New Roman" w:cs="Times New Roman"/>
          <w:color w:val="auto"/>
          <w:lang w:val="en-US" w:eastAsia="zh-CN"/>
        </w:rPr>
        <w:t>射干/</w:t>
      </w:r>
      <w:r>
        <w:rPr>
          <w:rFonts w:hint="default" w:ascii="Times New Roman" w:hAnsi="Times New Roman" w:cs="Times New Roman"/>
          <w:color w:val="auto"/>
        </w:rPr>
        <w:t>草珊瑚、</w:t>
      </w:r>
      <w:r>
        <w:rPr>
          <w:rFonts w:hint="default" w:ascii="Times New Roman" w:hAnsi="Times New Roman" w:cs="Times New Roman"/>
          <w:color w:val="auto"/>
          <w:lang w:val="en-US" w:eastAsia="zh-CN"/>
        </w:rPr>
        <w:t>黄花倒水莲</w:t>
      </w:r>
      <w:r>
        <w:rPr>
          <w:rFonts w:hint="default" w:ascii="Times New Roman" w:hAnsi="Times New Roman" w:cs="Times New Roman"/>
          <w:color w:val="auto"/>
        </w:rPr>
        <w:t>等</w:t>
      </w:r>
      <w:r>
        <w:rPr>
          <w:rFonts w:hint="default" w:ascii="Times New Roman" w:hAnsi="Times New Roman" w:cs="Times New Roman"/>
          <w:color w:val="auto"/>
          <w:lang w:val="en-US" w:eastAsia="zh-CN"/>
        </w:rPr>
        <w:t>药用植物轮作种植技术</w:t>
      </w:r>
      <w:r>
        <w:rPr>
          <w:rFonts w:hint="default" w:ascii="Times New Roman" w:hAnsi="Times New Roman" w:cs="Times New Roman"/>
          <w:color w:val="auto"/>
        </w:rPr>
        <w:t>栽培生产</w:t>
      </w:r>
      <w:r>
        <w:rPr>
          <w:rFonts w:hint="default" w:ascii="Times New Roman" w:hAnsi="Times New Roman" w:cs="Times New Roman"/>
          <w:color w:val="auto"/>
          <w:lang w:eastAsia="zh-CN"/>
        </w:rPr>
        <w:t>，本文件也适用其中2种或1种药用植物的林下</w:t>
      </w:r>
      <w:r>
        <w:rPr>
          <w:rFonts w:hint="eastAsia" w:cs="Times New Roman"/>
          <w:color w:val="auto"/>
          <w:lang w:val="en-US" w:eastAsia="zh-CN"/>
        </w:rPr>
        <w:t>轮作</w:t>
      </w:r>
      <w:r>
        <w:rPr>
          <w:rFonts w:hint="default" w:ascii="Times New Roman" w:hAnsi="Times New Roman" w:cs="Times New Roman"/>
          <w:color w:val="auto"/>
          <w:lang w:eastAsia="zh-CN"/>
        </w:rPr>
        <w:t>栽培</w:t>
      </w:r>
      <w:r>
        <w:rPr>
          <w:rFonts w:hint="default" w:ascii="Times New Roman" w:hAnsi="Times New Roman" w:cs="Times New Roman"/>
          <w:color w:val="auto"/>
        </w:rPr>
        <w:t>。</w:t>
      </w:r>
    </w:p>
    <w:p w14:paraId="7B2459A6">
      <w:pPr>
        <w:pStyle w:val="43"/>
        <w:rPr>
          <w:rFonts w:hint="default" w:ascii="Times New Roman" w:hAnsi="Times New Roman" w:cs="Times New Roman"/>
          <w:color w:val="auto"/>
        </w:rPr>
      </w:pPr>
      <w:bookmarkStart w:id="15" w:name="_Toc81579821"/>
      <w:r>
        <w:rPr>
          <w:rFonts w:hint="default" w:ascii="Times New Roman" w:hAnsi="Times New Roman" w:cs="Times New Roman"/>
          <w:color w:val="auto"/>
        </w:rPr>
        <w:t>规范性引用文件</w:t>
      </w:r>
      <w:bookmarkEnd w:id="15"/>
    </w:p>
    <w:p w14:paraId="76989AA4">
      <w:pPr>
        <w:pStyle w:val="21"/>
        <w:rPr>
          <w:rFonts w:hint="default" w:ascii="Times New Roman" w:hAnsi="Times New Roman" w:cs="Times New Roman"/>
          <w:color w:val="auto"/>
        </w:rPr>
      </w:pPr>
      <w:r>
        <w:rPr>
          <w:rFonts w:hint="default" w:ascii="Times New Roman" w:hAnsi="Times New Roman" w:cs="Times New Roman"/>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9023F4F">
      <w:pPr>
        <w:pStyle w:val="21"/>
        <w:rPr>
          <w:rFonts w:hint="default" w:ascii="Times New Roman" w:hAnsi="Times New Roman" w:cs="Times New Roman"/>
          <w:color w:val="auto"/>
        </w:rPr>
      </w:pPr>
      <w:r>
        <w:rPr>
          <w:rFonts w:hint="default" w:ascii="Times New Roman" w:hAnsi="Times New Roman" w:cs="Times New Roman"/>
          <w:color w:val="auto"/>
        </w:rPr>
        <w:t>GB 3095 环境空气质量标准</w:t>
      </w:r>
    </w:p>
    <w:p w14:paraId="5173CA6E">
      <w:pPr>
        <w:pStyle w:val="21"/>
        <w:rPr>
          <w:rFonts w:hint="default" w:ascii="Times New Roman" w:hAnsi="Times New Roman" w:cs="Times New Roman"/>
          <w:color w:val="auto"/>
        </w:rPr>
      </w:pPr>
      <w:r>
        <w:rPr>
          <w:rFonts w:hint="default" w:ascii="Times New Roman" w:hAnsi="Times New Roman" w:cs="Times New Roman"/>
          <w:color w:val="auto"/>
        </w:rPr>
        <w:t>GB 5084 农田灌溉水质标准</w:t>
      </w:r>
    </w:p>
    <w:p w14:paraId="663FC6AF">
      <w:pPr>
        <w:pStyle w:val="21"/>
        <w:rPr>
          <w:rFonts w:hint="default" w:ascii="Times New Roman" w:hAnsi="Times New Roman" w:cs="Times New Roman"/>
          <w:color w:val="auto"/>
          <w:szCs w:val="21"/>
        </w:rPr>
      </w:pPr>
      <w:bookmarkStart w:id="16" w:name="OLE_LINK2"/>
      <w:bookmarkStart w:id="17" w:name="OLE_LINK1"/>
      <w:r>
        <w:rPr>
          <w:rFonts w:hint="default" w:ascii="Times New Roman" w:hAnsi="Times New Roman" w:cs="Times New Roman"/>
          <w:color w:val="auto"/>
          <w:szCs w:val="21"/>
        </w:rPr>
        <w:t>GB/T 8321 (所有部分) 农药合理使用准则</w:t>
      </w:r>
    </w:p>
    <w:p w14:paraId="4F318A89">
      <w:pPr>
        <w:pStyle w:val="21"/>
        <w:rPr>
          <w:rFonts w:hint="default" w:ascii="Times New Roman" w:hAnsi="Times New Roman" w:cs="Times New Roman"/>
          <w:color w:val="auto"/>
        </w:rPr>
      </w:pPr>
      <w:r>
        <w:rPr>
          <w:rFonts w:hint="default" w:ascii="Times New Roman" w:hAnsi="Times New Roman" w:cs="Times New Roman"/>
          <w:color w:val="auto"/>
        </w:rPr>
        <w:t>GB 15618</w:t>
      </w:r>
      <w:r>
        <w:rPr>
          <w:rFonts w:hint="eastAsia" w:ascii="Times New Roman" w:cs="Times New Roman"/>
          <w:color w:val="auto"/>
          <w:lang w:val="en-US" w:eastAsia="zh-CN"/>
        </w:rPr>
        <w:t>-2018</w:t>
      </w:r>
      <w:r>
        <w:rPr>
          <w:rFonts w:hint="default" w:ascii="Times New Roman" w:hAnsi="Times New Roman" w:cs="Times New Roman"/>
          <w:color w:val="auto"/>
        </w:rPr>
        <w:t xml:space="preserve"> 土壤环境质量 农用地土壤污染风险管控标准（试行）</w:t>
      </w:r>
    </w:p>
    <w:p w14:paraId="3A2CBB33">
      <w:pPr>
        <w:pStyle w:val="21"/>
        <w:rPr>
          <w:rFonts w:hint="default" w:ascii="Times New Roman" w:hAnsi="Times New Roman" w:cs="Times New Roman"/>
          <w:color w:val="auto"/>
          <w:szCs w:val="21"/>
        </w:rPr>
      </w:pPr>
      <w:r>
        <w:rPr>
          <w:rFonts w:hint="default" w:ascii="Times New Roman" w:hAnsi="Times New Roman" w:cs="Times New Roman"/>
          <w:color w:val="auto"/>
          <w:szCs w:val="21"/>
        </w:rPr>
        <w:t>NY/T 496 肥料合理使用准则 通则</w:t>
      </w:r>
    </w:p>
    <w:p w14:paraId="32A1F248">
      <w:pPr>
        <w:pStyle w:val="21"/>
        <w:rPr>
          <w:rFonts w:hint="default" w:ascii="Times New Roman" w:hAnsi="Times New Roman" w:cs="Times New Roman"/>
          <w:color w:val="auto"/>
          <w:szCs w:val="21"/>
        </w:rPr>
      </w:pPr>
      <w:r>
        <w:rPr>
          <w:rFonts w:hint="default" w:ascii="Times New Roman" w:hAnsi="Times New Roman" w:cs="Times New Roman"/>
          <w:color w:val="auto"/>
          <w:szCs w:val="21"/>
        </w:rPr>
        <w:t>NY 525 有机肥料</w:t>
      </w:r>
    </w:p>
    <w:p w14:paraId="318A649B">
      <w:pPr>
        <w:pStyle w:val="21"/>
        <w:rPr>
          <w:rFonts w:hint="default" w:ascii="Times New Roman" w:hAnsi="Times New Roman" w:cs="Times New Roman"/>
          <w:color w:val="auto"/>
          <w:szCs w:val="21"/>
        </w:rPr>
      </w:pPr>
      <w:r>
        <w:rPr>
          <w:rFonts w:hint="default" w:ascii="Times New Roman" w:hAnsi="Times New Roman" w:cs="Times New Roman"/>
          <w:color w:val="auto"/>
          <w:szCs w:val="21"/>
        </w:rPr>
        <w:t>NY/T 1276 农药安全使用规范总则</w:t>
      </w:r>
    </w:p>
    <w:p w14:paraId="4DEB9DBD">
      <w:pPr>
        <w:pStyle w:val="21"/>
        <w:rPr>
          <w:rFonts w:hint="default" w:ascii="Times New Roman" w:hAnsi="Times New Roman" w:cs="Times New Roman"/>
          <w:color w:val="auto"/>
          <w:szCs w:val="21"/>
        </w:rPr>
      </w:pPr>
      <w:r>
        <w:rPr>
          <w:rFonts w:hint="default" w:ascii="Times New Roman" w:hAnsi="Times New Roman" w:cs="Times New Roman"/>
          <w:color w:val="auto"/>
          <w:szCs w:val="21"/>
        </w:rPr>
        <w:t>DB43/T 2022—2021　玉竹林下栽培技术规程</w:t>
      </w:r>
    </w:p>
    <w:p w14:paraId="4331091D">
      <w:pPr>
        <w:pStyle w:val="21"/>
        <w:rPr>
          <w:rFonts w:hint="default" w:ascii="Times New Roman" w:hAnsi="Times New Roman" w:cs="Times New Roman"/>
          <w:color w:val="auto"/>
          <w:szCs w:val="21"/>
        </w:rPr>
      </w:pPr>
      <w:r>
        <w:rPr>
          <w:rFonts w:hint="default" w:ascii="Times New Roman" w:hAnsi="Times New Roman" w:cs="Times New Roman"/>
          <w:color w:val="auto"/>
          <w:szCs w:val="21"/>
        </w:rPr>
        <w:t>DB11/T 2283—2024　射干林下种植技术规范</w:t>
      </w:r>
    </w:p>
    <w:p w14:paraId="234C1A91">
      <w:pPr>
        <w:pStyle w:val="21"/>
        <w:rPr>
          <w:rFonts w:hint="default" w:ascii="Times New Roman" w:hAnsi="Times New Roman" w:cs="Times New Roman"/>
          <w:color w:val="auto"/>
          <w:szCs w:val="21"/>
        </w:rPr>
      </w:pPr>
      <w:r>
        <w:rPr>
          <w:rFonts w:hint="default" w:ascii="Times New Roman" w:hAnsi="Times New Roman" w:cs="Times New Roman"/>
          <w:color w:val="auto"/>
          <w:szCs w:val="21"/>
        </w:rPr>
        <w:t>DB44/T 2357—2022　林下栽培草珊瑚技术规程</w:t>
      </w:r>
    </w:p>
    <w:p w14:paraId="673917B0">
      <w:pPr>
        <w:pStyle w:val="21"/>
        <w:rPr>
          <w:rFonts w:hint="default" w:ascii="Times New Roman" w:hAnsi="Times New Roman" w:cs="Times New Roman"/>
          <w:color w:val="auto"/>
          <w:szCs w:val="21"/>
        </w:rPr>
      </w:pPr>
      <w:r>
        <w:rPr>
          <w:rFonts w:hint="default" w:ascii="Times New Roman" w:hAnsi="Times New Roman" w:cs="Times New Roman"/>
          <w:color w:val="auto"/>
          <w:szCs w:val="21"/>
        </w:rPr>
        <w:t>DB45/T 2539—2022　黄花倒水莲育苗技术规程</w:t>
      </w:r>
    </w:p>
    <w:p w14:paraId="0E7D0D7F">
      <w:pPr>
        <w:pStyle w:val="21"/>
        <w:rPr>
          <w:rFonts w:hint="default" w:ascii="Times New Roman" w:hAnsi="Times New Roman" w:cs="Times New Roman"/>
          <w:color w:val="auto"/>
          <w:szCs w:val="21"/>
        </w:rPr>
      </w:pPr>
      <w:r>
        <w:rPr>
          <w:rFonts w:hint="default" w:ascii="Times New Roman" w:hAnsi="Times New Roman" w:cs="Times New Roman"/>
          <w:color w:val="auto"/>
          <w:szCs w:val="21"/>
        </w:rPr>
        <w:t>DB45/T 2540—2022　黄花倒水莲栽培技术规程</w:t>
      </w:r>
    </w:p>
    <w:p w14:paraId="5522DE5C">
      <w:pPr>
        <w:pStyle w:val="21"/>
        <w:rPr>
          <w:rFonts w:hint="default" w:ascii="Times New Roman" w:hAnsi="Times New Roman" w:cs="Times New Roman"/>
          <w:color w:val="auto"/>
          <w:szCs w:val="21"/>
        </w:rPr>
      </w:pPr>
      <w:r>
        <w:rPr>
          <w:rFonts w:hint="default" w:ascii="Times New Roman" w:hAnsi="Times New Roman" w:cs="Times New Roman"/>
          <w:color w:val="auto"/>
          <w:szCs w:val="21"/>
        </w:rPr>
        <w:t>中华人民共和国药典（2020年版一部）</w:t>
      </w:r>
    </w:p>
    <w:p w14:paraId="5A5E097A">
      <w:pPr>
        <w:pStyle w:val="21"/>
        <w:rPr>
          <w:rFonts w:hint="default" w:ascii="Times New Roman" w:hAnsi="Times New Roman" w:cs="Times New Roman"/>
          <w:color w:val="auto"/>
          <w:szCs w:val="21"/>
        </w:rPr>
      </w:pPr>
      <w:r>
        <w:rPr>
          <w:rFonts w:hint="default" w:ascii="Times New Roman" w:hAnsi="Times New Roman" w:cs="Times New Roman"/>
          <w:color w:val="auto"/>
          <w:szCs w:val="21"/>
        </w:rPr>
        <w:t>中药材生产质量管理规范（2022）</w:t>
      </w:r>
    </w:p>
    <w:bookmarkEnd w:id="16"/>
    <w:bookmarkEnd w:id="17"/>
    <w:p w14:paraId="16808997">
      <w:pPr>
        <w:pStyle w:val="43"/>
        <w:rPr>
          <w:rFonts w:hint="default" w:ascii="Times New Roman" w:hAnsi="Times New Roman" w:cs="Times New Roman"/>
          <w:color w:val="auto"/>
        </w:rPr>
      </w:pPr>
      <w:bookmarkStart w:id="18" w:name="_Toc81579822"/>
      <w:r>
        <w:rPr>
          <w:rFonts w:hint="default" w:ascii="Times New Roman" w:hAnsi="Times New Roman" w:cs="Times New Roman"/>
          <w:color w:val="auto"/>
        </w:rPr>
        <w:t>术语与定义</w:t>
      </w:r>
      <w:bookmarkEnd w:id="18"/>
    </w:p>
    <w:p w14:paraId="6ED73328">
      <w:pPr>
        <w:pStyle w:val="21"/>
        <w:rPr>
          <w:rFonts w:hint="default" w:ascii="Times New Roman" w:hAnsi="Times New Roman" w:cs="Times New Roman"/>
          <w:color w:val="auto"/>
        </w:rPr>
      </w:pPr>
      <w:r>
        <w:rPr>
          <w:rFonts w:hint="default" w:ascii="Times New Roman" w:hAnsi="Times New Roman" w:cs="Times New Roman"/>
          <w:color w:val="auto"/>
        </w:rPr>
        <w:t>下列术语和定义适用于本文件。</w:t>
      </w:r>
    </w:p>
    <w:p w14:paraId="3A44DBEC">
      <w:pPr>
        <w:pStyle w:val="40"/>
        <w:rPr>
          <w:rFonts w:hint="default" w:ascii="Times New Roman" w:hAnsi="Times New Roman" w:cs="Times New Roman"/>
          <w:color w:val="auto"/>
        </w:rPr>
      </w:pPr>
      <w:bookmarkStart w:id="19" w:name="_Toc81579823"/>
      <w:bookmarkEnd w:id="19"/>
    </w:p>
    <w:p w14:paraId="22CCDA62">
      <w:pPr>
        <w:pStyle w:val="21"/>
        <w:rPr>
          <w:rFonts w:hint="default" w:ascii="Times New Roman" w:hAnsi="Times New Roman" w:eastAsia="黑体" w:cs="Times New Roman"/>
          <w:color w:val="auto"/>
          <w:sz w:val="21"/>
          <w:szCs w:val="21"/>
          <w:lang w:val="en-US" w:eastAsia="zh-CN" w:bidi="ar-SA"/>
        </w:rPr>
      </w:pPr>
      <w:r>
        <w:rPr>
          <w:rFonts w:hint="default" w:ascii="Times New Roman" w:hAnsi="Times New Roman" w:eastAsia="黑体" w:cs="Times New Roman"/>
          <w:color w:val="auto"/>
          <w:sz w:val="21"/>
          <w:szCs w:val="21"/>
          <w:lang w:val="en-US" w:eastAsia="zh-CN" w:bidi="ar-SA"/>
        </w:rPr>
        <w:t>林下药用植物轮作　Rotation of medicinal plants under forest</w:t>
      </w:r>
    </w:p>
    <w:p w14:paraId="120330C6">
      <w:pPr>
        <w:pStyle w:val="21"/>
        <w:rPr>
          <w:rFonts w:hint="default" w:ascii="Times New Roman" w:hAnsi="Times New Roman" w:eastAsia="黑体" w:cs="Times New Roman"/>
          <w:color w:val="auto"/>
          <w:sz w:val="21"/>
          <w:szCs w:val="21"/>
          <w:lang w:val="en-US" w:eastAsia="zh-CN" w:bidi="ar-SA"/>
        </w:rPr>
      </w:pPr>
      <w:r>
        <w:rPr>
          <w:rFonts w:hint="default" w:ascii="Times New Roman" w:hAnsi="Times New Roman" w:cs="Times New Roman"/>
          <w:color w:val="auto"/>
        </w:rPr>
        <w:t>在同一杉木林下经营单元内，按照预定顺序和年限，依次种植不同科属、不同根系类型或不同养分需求的药用植物，并在茬口转换时实施残体清理、土壤培肥和生态调控的生产方式。</w:t>
      </w:r>
      <w:r>
        <w:rPr>
          <w:rFonts w:hint="default" w:ascii="Times New Roman" w:hAnsi="Times New Roman" w:eastAsia="黑体" w:cs="Times New Roman"/>
          <w:color w:val="auto"/>
          <w:sz w:val="21"/>
          <w:szCs w:val="21"/>
          <w:lang w:val="en-US" w:eastAsia="zh-CN" w:bidi="ar-SA"/>
        </w:rPr>
        <w:t xml:space="preserve"> </w:t>
      </w:r>
    </w:p>
    <w:p w14:paraId="53334324">
      <w:pPr>
        <w:pStyle w:val="40"/>
        <w:rPr>
          <w:rFonts w:hint="default" w:ascii="Times New Roman" w:hAnsi="Times New Roman" w:cs="Times New Roman"/>
          <w:color w:val="auto"/>
        </w:rPr>
      </w:pPr>
    </w:p>
    <w:p w14:paraId="709820EE">
      <w:pPr>
        <w:pStyle w:val="40"/>
        <w:numPr>
          <w:ilvl w:val="1"/>
          <w:numId w:val="0"/>
        </w:numPr>
        <w:ind w:firstLine="420" w:firstLineChars="200"/>
        <w:rPr>
          <w:rFonts w:hint="default" w:ascii="Times New Roman" w:hAnsi="Times New Roman" w:cs="Times New Roman"/>
          <w:color w:val="auto"/>
        </w:rPr>
      </w:pPr>
      <w:r>
        <w:rPr>
          <w:rFonts w:hint="default" w:ascii="Times New Roman" w:hAnsi="Times New Roman" w:cs="Times New Roman"/>
          <w:color w:val="auto"/>
        </w:rPr>
        <w:t>轮作单元　</w:t>
      </w:r>
      <w:r>
        <w:rPr>
          <w:rFonts w:hint="default" w:ascii="Times New Roman" w:hAnsi="Times New Roman" w:cs="Times New Roman"/>
          <w:color w:val="auto"/>
          <w:lang w:val="en-US" w:eastAsia="zh-CN"/>
        </w:rPr>
        <w:t>R</w:t>
      </w:r>
      <w:r>
        <w:rPr>
          <w:rFonts w:hint="default" w:ascii="Times New Roman" w:hAnsi="Times New Roman" w:cs="Times New Roman"/>
          <w:color w:val="auto"/>
        </w:rPr>
        <w:t>otation unit</w:t>
      </w:r>
    </w:p>
    <w:p w14:paraId="404C6850">
      <w:pPr>
        <w:pStyle w:val="40"/>
        <w:numPr>
          <w:ilvl w:val="1"/>
          <w:numId w:val="0"/>
        </w:numPr>
        <w:ind w:firstLine="420" w:firstLineChars="200"/>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在同一杉木林分内，林分郁闭度变化不超过</w:t>
      </w:r>
      <w:r>
        <w:rPr>
          <w:rFonts w:hint="eastAsia" w:ascii="Times New Roman" w:eastAsia="宋体" w:cs="Times New Roman"/>
          <w:color w:val="auto"/>
          <w:sz w:val="21"/>
          <w:szCs w:val="20"/>
          <w:lang w:val="en-US" w:eastAsia="zh-CN" w:bidi="ar-SA"/>
        </w:rPr>
        <w:t>±</w:t>
      </w:r>
      <w:r>
        <w:rPr>
          <w:rFonts w:hint="default" w:ascii="Times New Roman" w:hAnsi="Times New Roman" w:eastAsia="宋体" w:cs="Times New Roman"/>
          <w:color w:val="auto"/>
          <w:sz w:val="21"/>
          <w:szCs w:val="20"/>
          <w:lang w:val="en-US" w:eastAsia="zh-CN" w:bidi="ar-SA"/>
        </w:rPr>
        <w:t>0.1、土壤类型和土层厚度基本一致、能够独立实施一种轮作模式的连续林地地块。</w:t>
      </w:r>
    </w:p>
    <w:p w14:paraId="5592C7CB">
      <w:pPr>
        <w:pStyle w:val="40"/>
        <w:rPr>
          <w:rFonts w:hint="default" w:ascii="Times New Roman" w:hAnsi="Times New Roman" w:cs="Times New Roman"/>
          <w:color w:val="auto"/>
        </w:rPr>
      </w:pPr>
      <w:bookmarkStart w:id="20" w:name="_Toc81579825"/>
      <w:bookmarkEnd w:id="20"/>
    </w:p>
    <w:p w14:paraId="7891F148">
      <w:pPr>
        <w:pStyle w:val="40"/>
        <w:numPr>
          <w:ilvl w:val="1"/>
          <w:numId w:val="0"/>
        </w:numPr>
        <w:ind w:firstLine="420" w:firstLineChars="200"/>
        <w:rPr>
          <w:rFonts w:hint="default" w:ascii="Times New Roman" w:hAnsi="Times New Roman" w:cs="Times New Roman"/>
          <w:color w:val="auto"/>
        </w:rPr>
      </w:pPr>
      <w:r>
        <w:rPr>
          <w:rFonts w:hint="default" w:ascii="Times New Roman" w:hAnsi="Times New Roman" w:cs="Times New Roman"/>
          <w:color w:val="auto"/>
        </w:rPr>
        <w:t>轮作转换期　</w:t>
      </w:r>
      <w:r>
        <w:rPr>
          <w:rFonts w:hint="default" w:ascii="Times New Roman" w:hAnsi="Times New Roman" w:cs="Times New Roman"/>
          <w:color w:val="auto"/>
          <w:lang w:val="en-US" w:eastAsia="zh-CN"/>
        </w:rPr>
        <w:t>R</w:t>
      </w:r>
      <w:r>
        <w:rPr>
          <w:rFonts w:hint="default" w:ascii="Times New Roman" w:hAnsi="Times New Roman" w:cs="Times New Roman"/>
          <w:color w:val="auto"/>
        </w:rPr>
        <w:t>otation transition period</w:t>
      </w:r>
    </w:p>
    <w:p w14:paraId="6FA6D304">
      <w:pPr>
        <w:pStyle w:val="21"/>
        <w:rPr>
          <w:rFonts w:hint="default" w:ascii="Times New Roman" w:hAnsi="Times New Roman" w:cs="Times New Roman"/>
          <w:color w:val="auto"/>
        </w:rPr>
      </w:pPr>
      <w:r>
        <w:rPr>
          <w:rFonts w:hint="default" w:ascii="Times New Roman" w:hAnsi="Times New Roman" w:cs="Times New Roman"/>
          <w:color w:val="auto"/>
        </w:rPr>
        <w:t>前茬药用植物采收结束至后茬药用植物栽植开始之间，用于清园、土壤检测、培肥、排灌设施修复和病虫源控制的时期。</w:t>
      </w:r>
    </w:p>
    <w:p w14:paraId="65636E31">
      <w:pPr>
        <w:pStyle w:val="40"/>
        <w:bidi w:val="0"/>
        <w:rPr>
          <w:rFonts w:hint="default" w:ascii="Times New Roman" w:hAnsi="Times New Roman" w:cs="Times New Roman"/>
          <w:color w:val="auto"/>
          <w:lang w:val="en-US" w:eastAsia="zh-CN"/>
        </w:rPr>
      </w:pPr>
    </w:p>
    <w:p w14:paraId="108537F7">
      <w:pPr>
        <w:pStyle w:val="40"/>
        <w:numPr>
          <w:ilvl w:val="1"/>
          <w:numId w:val="0"/>
        </w:numPr>
        <w:ind w:firstLine="420" w:firstLineChars="200"/>
        <w:rPr>
          <w:rFonts w:hint="default" w:ascii="Times New Roman" w:hAnsi="Times New Roman" w:cs="Times New Roman"/>
          <w:color w:val="auto"/>
        </w:rPr>
      </w:pPr>
      <w:bookmarkStart w:id="21" w:name="_Toc81579826"/>
      <w:r>
        <w:rPr>
          <w:rFonts w:hint="default" w:ascii="Times New Roman" w:hAnsi="Times New Roman" w:cs="Times New Roman"/>
          <w:color w:val="auto"/>
        </w:rPr>
        <w:t>郁闭度 Canopy density</w:t>
      </w:r>
      <w:bookmarkEnd w:id="21"/>
    </w:p>
    <w:p w14:paraId="17DD1913">
      <w:pPr>
        <w:pStyle w:val="21"/>
        <w:rPr>
          <w:rFonts w:hint="default" w:ascii="Times New Roman" w:hAnsi="Times New Roman" w:cs="Times New Roman"/>
          <w:color w:val="auto"/>
        </w:rPr>
      </w:pPr>
      <w:r>
        <w:rPr>
          <w:rFonts w:hint="default" w:ascii="Times New Roman" w:hAnsi="Times New Roman" w:cs="Times New Roman"/>
          <w:color w:val="auto"/>
        </w:rPr>
        <w:t>林分中树冠投影面积与林地面积之比。</w:t>
      </w:r>
    </w:p>
    <w:p w14:paraId="28B0874C">
      <w:pPr>
        <w:pStyle w:val="40"/>
        <w:bidi w:val="0"/>
        <w:rPr>
          <w:rFonts w:hint="default" w:ascii="Times New Roman" w:hAnsi="Times New Roman" w:cs="Times New Roman"/>
          <w:color w:val="auto"/>
        </w:rPr>
      </w:pPr>
    </w:p>
    <w:p w14:paraId="039FBB84">
      <w:pPr>
        <w:pStyle w:val="40"/>
        <w:numPr>
          <w:ilvl w:val="1"/>
          <w:numId w:val="0"/>
        </w:numPr>
        <w:ind w:firstLine="420" w:firstLineChars="200"/>
        <w:rPr>
          <w:rFonts w:hint="default" w:ascii="Times New Roman" w:hAnsi="Times New Roman" w:cs="Times New Roman"/>
          <w:color w:val="auto"/>
        </w:rPr>
      </w:pPr>
      <w:r>
        <w:rPr>
          <w:rFonts w:hint="default" w:ascii="Times New Roman" w:hAnsi="Times New Roman" w:cs="Times New Roman"/>
          <w:color w:val="auto"/>
        </w:rPr>
        <w:t>轮作回归间隔　</w:t>
      </w:r>
      <w:r>
        <w:rPr>
          <w:rFonts w:hint="default" w:ascii="Times New Roman" w:hAnsi="Times New Roman" w:cs="Times New Roman"/>
          <w:color w:val="auto"/>
          <w:lang w:val="en-US" w:eastAsia="zh-CN"/>
        </w:rPr>
        <w:t>R</w:t>
      </w:r>
      <w:r>
        <w:rPr>
          <w:rFonts w:hint="default" w:ascii="Times New Roman" w:hAnsi="Times New Roman" w:cs="Times New Roman"/>
          <w:color w:val="auto"/>
        </w:rPr>
        <w:t>eturn interval</w:t>
      </w:r>
    </w:p>
    <w:p w14:paraId="4B0E80B3">
      <w:pPr>
        <w:pStyle w:val="21"/>
        <w:rPr>
          <w:rFonts w:hint="default" w:ascii="Times New Roman" w:hAnsi="Times New Roman" w:cs="Times New Roman"/>
          <w:color w:val="auto"/>
        </w:rPr>
      </w:pPr>
      <w:r>
        <w:rPr>
          <w:rFonts w:hint="default" w:ascii="Times New Roman" w:hAnsi="Times New Roman" w:cs="Times New Roman"/>
          <w:color w:val="auto"/>
        </w:rPr>
        <w:t>同一种药用植物在同一轮作单元内两次栽植之间的时间间隔。</w:t>
      </w:r>
    </w:p>
    <w:p w14:paraId="5BA5D4CF">
      <w:pPr>
        <w:pStyle w:val="43"/>
        <w:ind w:left="0"/>
        <w:rPr>
          <w:rFonts w:hint="default" w:ascii="Times New Roman" w:hAnsi="Times New Roman" w:cs="Times New Roman"/>
          <w:color w:val="auto"/>
        </w:rPr>
      </w:pPr>
      <w:bookmarkStart w:id="22" w:name="_Toc81579827"/>
      <w:r>
        <w:rPr>
          <w:rFonts w:hint="default" w:ascii="Times New Roman" w:hAnsi="Times New Roman" w:cs="Times New Roman"/>
          <w:color w:val="auto"/>
        </w:rPr>
        <w:t>品种与种苗选择</w:t>
      </w:r>
      <w:bookmarkEnd w:id="22"/>
    </w:p>
    <w:p w14:paraId="1C1A5202">
      <w:pPr>
        <w:pStyle w:val="21"/>
        <w:rPr>
          <w:rFonts w:hint="default"/>
          <w:color w:val="auto"/>
        </w:rPr>
      </w:pPr>
      <w:r>
        <w:rPr>
          <w:rFonts w:hint="default"/>
          <w:color w:val="auto"/>
        </w:rPr>
        <w:t>所选药用植物的物种应符合《中华人民共和国药典》（2020年版一部）的规定。</w:t>
      </w:r>
    </w:p>
    <w:p w14:paraId="5A33E5D2">
      <w:pPr>
        <w:pStyle w:val="40"/>
        <w:rPr>
          <w:rFonts w:hint="default" w:ascii="Times New Roman" w:hAnsi="Times New Roman" w:cs="Times New Roman"/>
          <w:color w:val="auto"/>
          <w:lang w:val="en"/>
        </w:rPr>
      </w:pPr>
      <w:r>
        <w:rPr>
          <w:rFonts w:hint="default" w:ascii="Times New Roman" w:hAnsi="Times New Roman" w:cs="Times New Roman"/>
          <w:color w:val="auto"/>
          <w:lang w:val="en-US" w:eastAsia="zh-CN"/>
        </w:rPr>
        <w:t>玉竹</w:t>
      </w:r>
    </w:p>
    <w:p w14:paraId="27922920">
      <w:pPr>
        <w:ind w:firstLine="420" w:firstLineChars="200"/>
        <w:rPr>
          <w:rFonts w:hint="default" w:ascii="Times New Roman" w:hAnsi="Times New Roman" w:cs="Times New Roman"/>
          <w:color w:val="auto"/>
          <w:kern w:val="0"/>
        </w:rPr>
      </w:pPr>
      <w:r>
        <w:rPr>
          <w:rFonts w:hint="default" w:ascii="Times New Roman" w:hAnsi="Times New Roman" w:cs="Times New Roman"/>
          <w:color w:val="auto"/>
          <w:kern w:val="0"/>
        </w:rPr>
        <w:t>玉竹（</w:t>
      </w:r>
      <w:r>
        <w:rPr>
          <w:rFonts w:hint="default" w:ascii="Times New Roman" w:hAnsi="Times New Roman" w:cs="Times New Roman"/>
          <w:i/>
          <w:iCs/>
          <w:color w:val="auto"/>
          <w:kern w:val="0"/>
        </w:rPr>
        <w:t>Polygonatum odoratum</w:t>
      </w:r>
      <w:r>
        <w:rPr>
          <w:rFonts w:hint="default" w:ascii="Times New Roman" w:hAnsi="Times New Roman" w:cs="Times New Roman"/>
          <w:color w:val="auto"/>
          <w:kern w:val="0"/>
        </w:rPr>
        <w:t xml:space="preserve"> ）为天门冬科黄精属多年生草本植物。宜选择来源清楚、适宜</w:t>
      </w:r>
      <w:r>
        <w:rPr>
          <w:rFonts w:hint="eastAsia" w:cs="Times New Roman"/>
          <w:color w:val="auto"/>
          <w:kern w:val="0"/>
          <w:lang w:val="en-US" w:eastAsia="zh-CN"/>
        </w:rPr>
        <w:t>广西、江西杉木</w:t>
      </w:r>
      <w:r>
        <w:rPr>
          <w:rFonts w:hint="default" w:ascii="Times New Roman" w:hAnsi="Times New Roman" w:cs="Times New Roman"/>
          <w:color w:val="auto"/>
          <w:kern w:val="0"/>
        </w:rPr>
        <w:t>林下生态条件、产量和品质稳定的种源。种用根茎或种苗应生长健壮，无病虫害、无腐烂和无机械损伤。种源和繁殖材料质量宜符合DB43/T 2022—2021的规定。</w:t>
      </w:r>
    </w:p>
    <w:p w14:paraId="685D4319">
      <w:pPr>
        <w:pStyle w:val="40"/>
        <w:rPr>
          <w:rFonts w:hint="default" w:ascii="Times New Roman" w:hAnsi="Times New Roman" w:cs="Times New Roman"/>
          <w:color w:val="auto"/>
          <w:lang w:val="en"/>
        </w:rPr>
      </w:pPr>
      <w:r>
        <w:rPr>
          <w:rFonts w:hint="default" w:ascii="Times New Roman" w:hAnsi="Times New Roman" w:cs="Times New Roman"/>
          <w:color w:val="auto"/>
          <w:lang w:val="en-US" w:eastAsia="zh-CN"/>
        </w:rPr>
        <w:t>射干</w:t>
      </w:r>
    </w:p>
    <w:p w14:paraId="77A56180">
      <w:pPr>
        <w:ind w:firstLine="420" w:firstLineChars="200"/>
        <w:rPr>
          <w:rFonts w:hint="default" w:ascii="Times New Roman" w:hAnsi="Times New Roman" w:cs="Times New Roman"/>
          <w:color w:val="auto"/>
          <w:szCs w:val="21"/>
        </w:rPr>
      </w:pPr>
      <w:r>
        <w:rPr>
          <w:rFonts w:hint="default" w:ascii="Times New Roman" w:hAnsi="Times New Roman" w:cs="Times New Roman"/>
          <w:color w:val="auto"/>
          <w:szCs w:val="21"/>
        </w:rPr>
        <w:t>射干（</w:t>
      </w:r>
      <w:r>
        <w:rPr>
          <w:rFonts w:hint="default" w:ascii="Times New Roman" w:hAnsi="Times New Roman" w:cs="Times New Roman"/>
          <w:i/>
          <w:iCs/>
          <w:color w:val="auto"/>
          <w:szCs w:val="21"/>
        </w:rPr>
        <w:t>Belamcanda chinensis</w:t>
      </w:r>
      <w:r>
        <w:rPr>
          <w:rFonts w:hint="default" w:ascii="Times New Roman" w:hAnsi="Times New Roman" w:cs="Times New Roman"/>
          <w:color w:val="auto"/>
          <w:szCs w:val="21"/>
        </w:rPr>
        <w:t>）为鸢尾科射干属多年生草本植物。宜选择来源清楚、适宜</w:t>
      </w:r>
      <w:r>
        <w:rPr>
          <w:rFonts w:hint="eastAsia" w:cs="Times New Roman"/>
          <w:color w:val="auto"/>
          <w:kern w:val="0"/>
          <w:lang w:val="en-US" w:eastAsia="zh-CN"/>
        </w:rPr>
        <w:t>广西、江西</w:t>
      </w:r>
      <w:r>
        <w:rPr>
          <w:rFonts w:hint="default" w:ascii="Times New Roman" w:hAnsi="Times New Roman" w:cs="Times New Roman"/>
          <w:color w:val="auto"/>
          <w:szCs w:val="21"/>
        </w:rPr>
        <w:t>杉木林下生态条件、产量和品质稳定的种源。种苗或根茎繁殖材料应生长健壮，无病虫害、腐烂和机械损伤，其质量宜符合DB11/T 2283—2024的规定。</w:t>
      </w:r>
    </w:p>
    <w:p w14:paraId="109ABD1C">
      <w:pPr>
        <w:pStyle w:val="40"/>
        <w:rPr>
          <w:rFonts w:hint="default" w:ascii="Times New Roman" w:hAnsi="Times New Roman" w:cs="Times New Roman"/>
          <w:color w:val="auto"/>
          <w:lang w:val="en"/>
        </w:rPr>
      </w:pPr>
      <w:r>
        <w:rPr>
          <w:rFonts w:hint="default" w:ascii="Times New Roman" w:hAnsi="Times New Roman" w:cs="Times New Roman"/>
          <w:color w:val="auto"/>
          <w:lang w:val="en-US" w:eastAsia="zh-CN"/>
        </w:rPr>
        <w:t>草珊瑚</w:t>
      </w:r>
    </w:p>
    <w:p w14:paraId="3028FDAB">
      <w:pPr>
        <w:ind w:firstLine="420" w:firstLineChars="200"/>
        <w:rPr>
          <w:rFonts w:hint="default" w:ascii="Times New Roman" w:hAnsi="Times New Roman" w:cs="Times New Roman"/>
          <w:color w:val="auto"/>
        </w:rPr>
      </w:pPr>
      <w:r>
        <w:rPr>
          <w:rFonts w:hint="default" w:ascii="Times New Roman" w:hAnsi="Times New Roman" w:cs="Times New Roman"/>
          <w:color w:val="auto"/>
        </w:rPr>
        <w:t>草珊瑚（</w:t>
      </w:r>
      <w:r>
        <w:rPr>
          <w:rFonts w:hint="default" w:ascii="Times New Roman" w:hAnsi="Times New Roman" w:cs="Times New Roman"/>
          <w:i/>
          <w:iCs/>
          <w:color w:val="auto"/>
        </w:rPr>
        <w:t>Sarcandra glabra</w:t>
      </w:r>
      <w:r>
        <w:rPr>
          <w:rFonts w:hint="default" w:ascii="Times New Roman" w:hAnsi="Times New Roman" w:cs="Times New Roman"/>
          <w:color w:val="auto"/>
        </w:rPr>
        <w:t>）为金粟兰科多年生常绿亚灌木植物。宜选择本地种源或经试验验证适宜种植区域杉木林下生态条件的种源，采用播种繁育的1年～2年生苗木。苗木宜生长健壮、根系发达，苗高25 cm以上</w:t>
      </w:r>
      <w:r>
        <w:rPr>
          <w:rFonts w:hint="eastAsia" w:cs="Times New Roman"/>
          <w:color w:val="auto"/>
          <w:lang w:eastAsia="zh-CN"/>
        </w:rPr>
        <w:t>，</w:t>
      </w:r>
      <w:r>
        <w:rPr>
          <w:rFonts w:hint="default" w:ascii="Times New Roman" w:hAnsi="Times New Roman" w:cs="Times New Roman"/>
          <w:color w:val="auto"/>
        </w:rPr>
        <w:t>苗木质量宜符合DB44/T 2357—2022的规定。</w:t>
      </w:r>
    </w:p>
    <w:p w14:paraId="139C1E92">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黄花倒水莲</w:t>
      </w:r>
    </w:p>
    <w:p w14:paraId="10C57A64">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黄花倒水莲（</w:t>
      </w:r>
      <w:r>
        <w:rPr>
          <w:rFonts w:hint="default" w:ascii="Times New Roman" w:hAnsi="Times New Roman" w:cs="Times New Roman"/>
          <w:i/>
          <w:iCs/>
          <w:color w:val="auto"/>
          <w:lang w:val="en-US" w:eastAsia="zh-CN"/>
        </w:rPr>
        <w:t>Polygala fallax</w:t>
      </w:r>
      <w:r>
        <w:rPr>
          <w:rFonts w:hint="default" w:ascii="Times New Roman" w:hAnsi="Times New Roman" w:cs="Times New Roman"/>
          <w:color w:val="auto"/>
          <w:lang w:val="en-US" w:eastAsia="zh-CN"/>
        </w:rPr>
        <w:t>）为远志科远志属多年生灌木或小乔木。宜选择本地种源或经试验验证适宜</w:t>
      </w:r>
      <w:r>
        <w:rPr>
          <w:rFonts w:hint="default" w:ascii="Times New Roman" w:hAnsi="Times New Roman" w:cs="Times New Roman"/>
          <w:color w:val="auto"/>
        </w:rPr>
        <w:t>种植区域</w:t>
      </w:r>
      <w:r>
        <w:rPr>
          <w:rFonts w:hint="default" w:ascii="Times New Roman" w:hAnsi="Times New Roman" w:cs="Times New Roman"/>
          <w:color w:val="auto"/>
          <w:lang w:val="en-US" w:eastAsia="zh-CN"/>
        </w:rPr>
        <w:t>杉木林下生态条件的种源。宜采用1年～2年生实生苗，苗高30 cm以上</w:t>
      </w:r>
      <w:r>
        <w:rPr>
          <w:rFonts w:hint="eastAsia" w:ascii="Times New Roman" w:cs="Times New Roman"/>
          <w:color w:val="auto"/>
          <w:lang w:val="en-US" w:eastAsia="zh-CN"/>
        </w:rPr>
        <w:t>，根系完整，苗木质量宜符合DB45/T 2539—2022的规定</w:t>
      </w:r>
      <w:r>
        <w:rPr>
          <w:rFonts w:hint="default" w:ascii="Times New Roman" w:hAnsi="Times New Roman" w:cs="Times New Roman"/>
          <w:color w:val="auto"/>
          <w:lang w:val="en-US" w:eastAsia="zh-CN"/>
        </w:rPr>
        <w:t>。</w:t>
      </w:r>
    </w:p>
    <w:p w14:paraId="47F54F3E">
      <w:pPr>
        <w:pStyle w:val="43"/>
        <w:ind w:left="0"/>
        <w:rPr>
          <w:rFonts w:hint="default" w:ascii="Times New Roman" w:hAnsi="Times New Roman" w:cs="Times New Roman"/>
          <w:color w:val="auto"/>
        </w:rPr>
      </w:pPr>
      <w:r>
        <w:rPr>
          <w:rFonts w:hint="default" w:ascii="Times New Roman" w:hAnsi="Times New Roman" w:cs="Times New Roman"/>
          <w:color w:val="auto"/>
          <w:lang w:val="en-US" w:eastAsia="zh-CN"/>
        </w:rPr>
        <w:t>轮作模式与周期</w:t>
      </w:r>
    </w:p>
    <w:p w14:paraId="7B04EBA2">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轮作原则</w:t>
      </w:r>
    </w:p>
    <w:p w14:paraId="6F0B8E94">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a)　前后茬宜选择科属不同、根系分布深度不同且主要病虫害寄主范围差异较大的药用植物；</w:t>
      </w:r>
    </w:p>
    <w:p w14:paraId="45339E18">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b)　同一轮作单元不应连续种植同一种药用植物；</w:t>
      </w:r>
    </w:p>
    <w:p w14:paraId="219B8C44">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　轮作年限应兼顾药材适宜采收期、杉木林分生长阶段和林地土壤承载能力；</w:t>
      </w:r>
    </w:p>
    <w:p w14:paraId="59927AC1">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d)　前茬发生严重土传病害或土壤检测结果不适宜时，应延长转换期或调整轮作单元。</w:t>
      </w:r>
    </w:p>
    <w:p w14:paraId="46E084B4">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推荐模式</w:t>
      </w:r>
    </w:p>
    <w:p w14:paraId="6DEB11D1">
      <w:pPr>
        <w:pStyle w:val="139"/>
        <w:ind w:firstLine="420" w:firstLineChars="200"/>
        <w:jc w:val="both"/>
        <w:rPr>
          <w:rFonts w:hint="default" w:ascii="Times New Roman" w:hAnsi="Times New Roman" w:cs="Times New Roman"/>
          <w:color w:val="auto"/>
        </w:rPr>
      </w:pPr>
      <w:r>
        <w:rPr>
          <w:rFonts w:hint="default" w:ascii="Times New Roman" w:hAnsi="Times New Roman" w:eastAsia="Noto Serif CJK SC" w:cs="Times New Roman"/>
          <w:color w:val="auto"/>
          <w:sz w:val="21"/>
        </w:rPr>
        <w:t>推荐采用表1所列轮作模式。各作物具体在地年限可根据品种、种苗类型、产品用途和生长状况在表列范围内调整。</w:t>
      </w:r>
    </w:p>
    <w:p w14:paraId="2A3F7297">
      <w:pPr>
        <w:pStyle w:val="21"/>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表1 推荐模式</w:t>
      </w:r>
    </w:p>
    <w:tbl>
      <w:tblPr>
        <w:tblStyle w:val="31"/>
        <w:tblW w:w="93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1"/>
        <w:gridCol w:w="1432"/>
        <w:gridCol w:w="1432"/>
        <w:gridCol w:w="1432"/>
        <w:gridCol w:w="1432"/>
        <w:gridCol w:w="1432"/>
        <w:gridCol w:w="1437"/>
      </w:tblGrid>
      <w:tr w14:paraId="56BA3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771" w:type="dxa"/>
            <w:tcBorders>
              <w:tl2br w:val="nil"/>
            </w:tcBorders>
            <w:shd w:val="clear" w:color="auto" w:fill="FFFFFF"/>
            <w:tcMar>
              <w:top w:w="80" w:type="dxa"/>
              <w:left w:w="100" w:type="dxa"/>
              <w:bottom w:w="80" w:type="dxa"/>
              <w:right w:w="100" w:type="dxa"/>
            </w:tcMar>
            <w:vAlign w:val="center"/>
          </w:tcPr>
          <w:p w14:paraId="74E7FBBB">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模式</w:t>
            </w:r>
          </w:p>
        </w:tc>
        <w:tc>
          <w:tcPr>
            <w:tcW w:w="1432" w:type="dxa"/>
            <w:shd w:val="clear" w:color="auto" w:fill="FFFFFF"/>
            <w:tcMar>
              <w:top w:w="80" w:type="dxa"/>
              <w:left w:w="100" w:type="dxa"/>
              <w:bottom w:w="80" w:type="dxa"/>
              <w:right w:w="100" w:type="dxa"/>
            </w:tcMar>
            <w:vAlign w:val="center"/>
          </w:tcPr>
          <w:p w14:paraId="03658D47">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第一茬</w:t>
            </w:r>
          </w:p>
        </w:tc>
        <w:tc>
          <w:tcPr>
            <w:tcW w:w="1432" w:type="dxa"/>
            <w:shd w:val="clear" w:color="auto" w:fill="FFFFFF"/>
            <w:tcMar>
              <w:top w:w="80" w:type="dxa"/>
              <w:left w:w="100" w:type="dxa"/>
              <w:bottom w:w="80" w:type="dxa"/>
              <w:right w:w="100" w:type="dxa"/>
            </w:tcMar>
            <w:vAlign w:val="center"/>
          </w:tcPr>
          <w:p w14:paraId="62F23C60">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在地年限</w:t>
            </w:r>
          </w:p>
        </w:tc>
        <w:tc>
          <w:tcPr>
            <w:tcW w:w="1432" w:type="dxa"/>
            <w:shd w:val="clear" w:color="auto" w:fill="FFFFFF"/>
            <w:tcMar>
              <w:top w:w="80" w:type="dxa"/>
              <w:left w:w="100" w:type="dxa"/>
              <w:bottom w:w="80" w:type="dxa"/>
              <w:right w:w="100" w:type="dxa"/>
            </w:tcMar>
            <w:vAlign w:val="center"/>
          </w:tcPr>
          <w:p w14:paraId="6BE3A38B">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第二茬</w:t>
            </w:r>
          </w:p>
        </w:tc>
        <w:tc>
          <w:tcPr>
            <w:tcW w:w="1432" w:type="dxa"/>
            <w:shd w:val="clear" w:color="auto" w:fill="FFFFFF"/>
            <w:tcMar>
              <w:top w:w="80" w:type="dxa"/>
              <w:left w:w="100" w:type="dxa"/>
              <w:bottom w:w="80" w:type="dxa"/>
              <w:right w:w="100" w:type="dxa"/>
            </w:tcMar>
            <w:vAlign w:val="center"/>
          </w:tcPr>
          <w:p w14:paraId="1AA83EB0">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在地年限</w:t>
            </w:r>
          </w:p>
        </w:tc>
        <w:tc>
          <w:tcPr>
            <w:tcW w:w="1432" w:type="dxa"/>
            <w:shd w:val="clear" w:color="auto" w:fill="FFFFFF"/>
            <w:tcMar>
              <w:top w:w="80" w:type="dxa"/>
              <w:left w:w="100" w:type="dxa"/>
              <w:bottom w:w="80" w:type="dxa"/>
              <w:right w:w="100" w:type="dxa"/>
            </w:tcMar>
            <w:vAlign w:val="center"/>
          </w:tcPr>
          <w:p w14:paraId="02727A22">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第三茬</w:t>
            </w:r>
          </w:p>
        </w:tc>
        <w:tc>
          <w:tcPr>
            <w:tcW w:w="1437" w:type="dxa"/>
            <w:shd w:val="clear" w:color="auto" w:fill="FFFFFF"/>
            <w:tcMar>
              <w:top w:w="80" w:type="dxa"/>
              <w:left w:w="100" w:type="dxa"/>
              <w:bottom w:w="80" w:type="dxa"/>
              <w:right w:w="100" w:type="dxa"/>
            </w:tcMar>
            <w:vAlign w:val="center"/>
          </w:tcPr>
          <w:p w14:paraId="3A2D7C9F">
            <w:pPr>
              <w:spacing w:before="0" w:after="0" w:line="276" w:lineRule="auto"/>
              <w:jc w:val="center"/>
              <w:rPr>
                <w:rFonts w:hint="default" w:ascii="Times New Roman" w:hAnsi="Times New Roman" w:eastAsia="Noto Sans CJK SC" w:cs="Times New Roman"/>
                <w:b w:val="0"/>
                <w:color w:val="auto"/>
                <w:sz w:val="18"/>
              </w:rPr>
            </w:pPr>
            <w:r>
              <w:rPr>
                <w:rFonts w:hint="default" w:ascii="Times New Roman" w:hAnsi="Times New Roman" w:eastAsia="Noto Sans CJK SC" w:cs="Times New Roman"/>
                <w:b w:val="0"/>
                <w:color w:val="auto"/>
                <w:sz w:val="18"/>
              </w:rPr>
              <w:t>在地年限</w:t>
            </w:r>
          </w:p>
        </w:tc>
      </w:tr>
      <w:tr w14:paraId="6B317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71" w:type="dxa"/>
            <w:shd w:val="clear" w:color="auto" w:fill="FFFFFF"/>
            <w:tcMar>
              <w:top w:w="80" w:type="dxa"/>
              <w:left w:w="100" w:type="dxa"/>
              <w:bottom w:w="80" w:type="dxa"/>
              <w:right w:w="100" w:type="dxa"/>
            </w:tcMar>
            <w:vAlign w:val="center"/>
          </w:tcPr>
          <w:p w14:paraId="6FE39B01">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A</w:t>
            </w:r>
          </w:p>
        </w:tc>
        <w:tc>
          <w:tcPr>
            <w:tcW w:w="1432" w:type="dxa"/>
            <w:shd w:val="clear" w:color="auto" w:fill="FFFFFF"/>
            <w:tcMar>
              <w:top w:w="80" w:type="dxa"/>
              <w:left w:w="100" w:type="dxa"/>
              <w:bottom w:w="80" w:type="dxa"/>
              <w:right w:w="100" w:type="dxa"/>
            </w:tcMar>
            <w:vAlign w:val="center"/>
          </w:tcPr>
          <w:p w14:paraId="0BDE7AD9">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玉竹</w:t>
            </w:r>
          </w:p>
        </w:tc>
        <w:tc>
          <w:tcPr>
            <w:tcW w:w="1432" w:type="dxa"/>
            <w:shd w:val="clear" w:color="auto" w:fill="FFFFFF"/>
            <w:tcMar>
              <w:top w:w="80" w:type="dxa"/>
              <w:left w:w="100" w:type="dxa"/>
              <w:bottom w:w="80" w:type="dxa"/>
              <w:right w:w="100" w:type="dxa"/>
            </w:tcMar>
            <w:vAlign w:val="center"/>
          </w:tcPr>
          <w:p w14:paraId="0D948C41">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2年～3年</w:t>
            </w:r>
          </w:p>
        </w:tc>
        <w:tc>
          <w:tcPr>
            <w:tcW w:w="1432" w:type="dxa"/>
            <w:shd w:val="clear" w:color="auto" w:fill="FFFFFF"/>
            <w:tcMar>
              <w:top w:w="80" w:type="dxa"/>
              <w:left w:w="100" w:type="dxa"/>
              <w:bottom w:w="80" w:type="dxa"/>
              <w:right w:w="100" w:type="dxa"/>
            </w:tcMar>
            <w:vAlign w:val="center"/>
          </w:tcPr>
          <w:p w14:paraId="544855AA">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射干</w:t>
            </w:r>
          </w:p>
        </w:tc>
        <w:tc>
          <w:tcPr>
            <w:tcW w:w="1432" w:type="dxa"/>
            <w:shd w:val="clear" w:color="auto" w:fill="FFFFFF"/>
            <w:tcMar>
              <w:top w:w="80" w:type="dxa"/>
              <w:left w:w="100" w:type="dxa"/>
              <w:bottom w:w="80" w:type="dxa"/>
              <w:right w:w="100" w:type="dxa"/>
            </w:tcMar>
            <w:vAlign w:val="center"/>
          </w:tcPr>
          <w:p w14:paraId="7E91BFD8">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2年～3年</w:t>
            </w:r>
          </w:p>
        </w:tc>
        <w:tc>
          <w:tcPr>
            <w:tcW w:w="1432" w:type="dxa"/>
            <w:shd w:val="clear" w:color="auto" w:fill="FFFFFF"/>
            <w:tcMar>
              <w:top w:w="80" w:type="dxa"/>
              <w:left w:w="100" w:type="dxa"/>
              <w:bottom w:w="80" w:type="dxa"/>
              <w:right w:w="100" w:type="dxa"/>
            </w:tcMar>
            <w:vAlign w:val="center"/>
          </w:tcPr>
          <w:p w14:paraId="14D37497">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黄花倒水莲</w:t>
            </w:r>
          </w:p>
        </w:tc>
        <w:tc>
          <w:tcPr>
            <w:tcW w:w="1437" w:type="dxa"/>
            <w:shd w:val="clear" w:color="auto" w:fill="FFFFFF"/>
            <w:tcMar>
              <w:top w:w="80" w:type="dxa"/>
              <w:left w:w="100" w:type="dxa"/>
              <w:bottom w:w="80" w:type="dxa"/>
              <w:right w:w="100" w:type="dxa"/>
            </w:tcMar>
            <w:vAlign w:val="center"/>
          </w:tcPr>
          <w:p w14:paraId="1951031E">
            <w:pPr>
              <w:spacing w:before="0" w:after="0" w:line="276" w:lineRule="auto"/>
              <w:jc w:val="center"/>
              <w:rPr>
                <w:rFonts w:hint="default" w:ascii="Times New Roman" w:hAnsi="Times New Roman" w:eastAsia="Noto Serif CJK SC" w:cs="Times New Roman"/>
                <w:b w:val="0"/>
                <w:color w:val="auto"/>
                <w:sz w:val="18"/>
              </w:rPr>
            </w:pPr>
            <w:r>
              <w:rPr>
                <w:rFonts w:hint="default" w:ascii="Times New Roman" w:hAnsi="Times New Roman" w:eastAsia="Noto Serif CJK SC" w:cs="Times New Roman"/>
                <w:b w:val="0"/>
                <w:color w:val="auto"/>
                <w:sz w:val="18"/>
              </w:rPr>
              <w:t>3年～4年</w:t>
            </w:r>
          </w:p>
        </w:tc>
      </w:tr>
      <w:tr w14:paraId="60BA5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71" w:type="dxa"/>
            <w:shd w:val="clear" w:color="auto" w:fill="FFFFFF"/>
            <w:tcMar>
              <w:top w:w="80" w:type="dxa"/>
              <w:left w:w="100" w:type="dxa"/>
              <w:bottom w:w="80" w:type="dxa"/>
              <w:right w:w="100" w:type="dxa"/>
            </w:tcMar>
            <w:vAlign w:val="center"/>
          </w:tcPr>
          <w:p w14:paraId="659E9392">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B</w:t>
            </w:r>
          </w:p>
        </w:tc>
        <w:tc>
          <w:tcPr>
            <w:tcW w:w="1432" w:type="dxa"/>
            <w:shd w:val="clear" w:color="auto" w:fill="FFFFFF"/>
            <w:tcMar>
              <w:top w:w="80" w:type="dxa"/>
              <w:left w:w="100" w:type="dxa"/>
              <w:bottom w:w="80" w:type="dxa"/>
              <w:right w:w="100" w:type="dxa"/>
            </w:tcMar>
            <w:vAlign w:val="center"/>
          </w:tcPr>
          <w:p w14:paraId="7DE53A9C">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玉竹</w:t>
            </w:r>
          </w:p>
        </w:tc>
        <w:tc>
          <w:tcPr>
            <w:tcW w:w="1432" w:type="dxa"/>
            <w:shd w:val="clear" w:color="auto" w:fill="FFFFFF"/>
            <w:tcMar>
              <w:top w:w="80" w:type="dxa"/>
              <w:left w:w="100" w:type="dxa"/>
              <w:bottom w:w="80" w:type="dxa"/>
              <w:right w:w="100" w:type="dxa"/>
            </w:tcMar>
            <w:vAlign w:val="center"/>
          </w:tcPr>
          <w:p w14:paraId="5026D3C6">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2年～3年</w:t>
            </w:r>
          </w:p>
        </w:tc>
        <w:tc>
          <w:tcPr>
            <w:tcW w:w="1432" w:type="dxa"/>
            <w:shd w:val="clear" w:color="auto" w:fill="FFFFFF"/>
            <w:tcMar>
              <w:top w:w="80" w:type="dxa"/>
              <w:left w:w="100" w:type="dxa"/>
              <w:bottom w:w="80" w:type="dxa"/>
              <w:right w:w="100" w:type="dxa"/>
            </w:tcMar>
            <w:vAlign w:val="center"/>
          </w:tcPr>
          <w:p w14:paraId="53DCF1FE">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草珊瑚</w:t>
            </w:r>
          </w:p>
        </w:tc>
        <w:tc>
          <w:tcPr>
            <w:tcW w:w="1432" w:type="dxa"/>
            <w:shd w:val="clear" w:color="auto" w:fill="FFFFFF"/>
            <w:tcMar>
              <w:top w:w="80" w:type="dxa"/>
              <w:left w:w="100" w:type="dxa"/>
              <w:bottom w:w="80" w:type="dxa"/>
              <w:right w:w="100" w:type="dxa"/>
            </w:tcMar>
            <w:vAlign w:val="center"/>
          </w:tcPr>
          <w:p w14:paraId="7ADC23A0">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3年～4年</w:t>
            </w:r>
          </w:p>
        </w:tc>
        <w:tc>
          <w:tcPr>
            <w:tcW w:w="1432" w:type="dxa"/>
            <w:shd w:val="clear" w:color="auto" w:fill="FFFFFF"/>
            <w:tcMar>
              <w:top w:w="80" w:type="dxa"/>
              <w:left w:w="100" w:type="dxa"/>
              <w:bottom w:w="80" w:type="dxa"/>
              <w:right w:w="100" w:type="dxa"/>
            </w:tcMar>
            <w:vAlign w:val="center"/>
          </w:tcPr>
          <w:p w14:paraId="38FBA18B">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erif CJK SC" w:cs="Times New Roman"/>
                <w:b w:val="0"/>
                <w:color w:val="auto"/>
                <w:sz w:val="18"/>
              </w:rPr>
              <w:t>黄花倒水莲</w:t>
            </w:r>
          </w:p>
        </w:tc>
        <w:tc>
          <w:tcPr>
            <w:tcW w:w="1437" w:type="dxa"/>
            <w:shd w:val="clear" w:color="auto" w:fill="FFFFFF"/>
            <w:tcMar>
              <w:top w:w="80" w:type="dxa"/>
              <w:left w:w="100" w:type="dxa"/>
              <w:bottom w:w="80" w:type="dxa"/>
              <w:right w:w="100" w:type="dxa"/>
            </w:tcMar>
            <w:vAlign w:val="center"/>
          </w:tcPr>
          <w:p w14:paraId="21709EB6">
            <w:pPr>
              <w:spacing w:before="0" w:after="0" w:line="276" w:lineRule="auto"/>
              <w:jc w:val="center"/>
              <w:rPr>
                <w:rFonts w:hint="default" w:ascii="Times New Roman" w:hAnsi="Times New Roman" w:eastAsia="Noto Serif CJK SC" w:cs="Times New Roman"/>
                <w:b w:val="0"/>
                <w:color w:val="auto"/>
                <w:sz w:val="18"/>
              </w:rPr>
            </w:pPr>
            <w:r>
              <w:rPr>
                <w:rFonts w:hint="default" w:ascii="Times New Roman" w:hAnsi="Times New Roman" w:eastAsia="Noto Serif CJK SC" w:cs="Times New Roman"/>
                <w:b w:val="0"/>
                <w:color w:val="auto"/>
                <w:sz w:val="18"/>
              </w:rPr>
              <w:t>3年～4年</w:t>
            </w:r>
          </w:p>
        </w:tc>
      </w:tr>
    </w:tbl>
    <w:p w14:paraId="08E748DE">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茬口衔接</w:t>
      </w:r>
    </w:p>
    <w:p w14:paraId="1012B444">
      <w:pPr>
        <w:pStyle w:val="139"/>
        <w:jc w:val="both"/>
        <w:rPr>
          <w:rFonts w:hint="default" w:ascii="Times New Roman" w:hAnsi="Times New Roman" w:cs="Times New Roman"/>
          <w:color w:val="auto"/>
        </w:rPr>
      </w:pPr>
      <w:r>
        <w:rPr>
          <w:rFonts w:hint="default" w:ascii="Times New Roman" w:hAnsi="Times New Roman" w:eastAsia="Noto Serif CJK SC" w:cs="Times New Roman"/>
          <w:color w:val="auto"/>
          <w:sz w:val="21"/>
        </w:rPr>
        <w:t>前茬采收后应及时清除病残体和不能就地利用的根茎，修复排水沟，检测土壤pH、有机质及速效养分。正常地块宜设置不少于1个月的轮作转换期；发生根腐病、线虫等土传有害生物的地块，宜休耕或种植一季非寄主绿肥，经评估达到后茬栽植条件后再进行轮作。轮作转换的具体判定要求参见附录A。</w:t>
      </w:r>
    </w:p>
    <w:p w14:paraId="3FE7CC06">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轮作回归间隔</w:t>
      </w:r>
    </w:p>
    <w:p w14:paraId="10540C81">
      <w:pPr>
        <w:pStyle w:val="139"/>
        <w:jc w:val="both"/>
        <w:rPr>
          <w:rFonts w:hint="default" w:ascii="Times New Roman" w:hAnsi="Times New Roman" w:cs="Times New Roman"/>
          <w:color w:val="auto"/>
        </w:rPr>
      </w:pPr>
      <w:r>
        <w:rPr>
          <w:rFonts w:hint="default" w:ascii="Times New Roman" w:hAnsi="Times New Roman" w:eastAsia="Noto Serif CJK SC" w:cs="Times New Roman"/>
          <w:color w:val="auto"/>
          <w:sz w:val="21"/>
        </w:rPr>
        <w:t>射干采收后轮作或休耕间隔宜不少于2年；玉竹、草珊瑚和黄花倒水莲的回归间隔宜根据土传病虫害发生情况和地力恢复状况确定，原则上不少于3年。回归间隔内不应栽植与前茬主要土传病害寄主范围相同的作物。</w:t>
      </w:r>
    </w:p>
    <w:p w14:paraId="5EBECEC1">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轮作调整</w:t>
      </w:r>
    </w:p>
    <w:p w14:paraId="67EC3150">
      <w:pPr>
        <w:pStyle w:val="139"/>
        <w:jc w:val="both"/>
        <w:rPr>
          <w:rFonts w:hint="default" w:ascii="Times New Roman" w:hAnsi="Times New Roman" w:cs="Times New Roman"/>
          <w:color w:val="auto"/>
          <w:lang w:val="en-US" w:eastAsia="zh-CN"/>
        </w:rPr>
      </w:pPr>
      <w:r>
        <w:rPr>
          <w:rFonts w:hint="default" w:ascii="Times New Roman" w:hAnsi="Times New Roman" w:eastAsia="Noto Serif CJK SC" w:cs="Times New Roman"/>
          <w:color w:val="auto"/>
          <w:sz w:val="21"/>
        </w:rPr>
        <w:t>当杉木林分郁闭度、根系分布、土壤水分或生产目标发生明显变化时，应在不改变轮作基本原则的前提下调整作物顺序、缩短或延长在地年限，并记录调整原因和依据记入轮作单元档案。</w:t>
      </w:r>
    </w:p>
    <w:p w14:paraId="3D852CC7">
      <w:pPr>
        <w:pStyle w:val="43"/>
        <w:ind w:left="0"/>
        <w:rPr>
          <w:rFonts w:hint="default" w:ascii="Times New Roman" w:hAnsi="Times New Roman" w:cs="Times New Roman"/>
          <w:color w:val="auto"/>
        </w:rPr>
      </w:pPr>
      <w:bookmarkStart w:id="23" w:name="_Toc81579828"/>
      <w:r>
        <w:rPr>
          <w:rFonts w:hint="default" w:ascii="Times New Roman" w:hAnsi="Times New Roman" w:cs="Times New Roman"/>
          <w:color w:val="auto"/>
        </w:rPr>
        <w:t>栽培场所选择与处理</w:t>
      </w:r>
      <w:bookmarkEnd w:id="23"/>
    </w:p>
    <w:p w14:paraId="75C651E1">
      <w:pPr>
        <w:pStyle w:val="40"/>
        <w:rPr>
          <w:rFonts w:hint="default" w:ascii="Times New Roman" w:hAnsi="Times New Roman" w:cs="Times New Roman"/>
          <w:color w:val="auto"/>
          <w:lang w:val="en"/>
        </w:rPr>
      </w:pPr>
      <w:bookmarkStart w:id="24" w:name="_Toc81579829"/>
      <w:r>
        <w:rPr>
          <w:rFonts w:hint="default" w:ascii="Times New Roman" w:hAnsi="Times New Roman" w:cs="Times New Roman"/>
          <w:color w:val="auto"/>
          <w:lang w:val="en"/>
        </w:rPr>
        <w:t>环境质量要求</w:t>
      </w:r>
      <w:bookmarkEnd w:id="24"/>
    </w:p>
    <w:p w14:paraId="6F98B499">
      <w:pPr>
        <w:pStyle w:val="135"/>
        <w:ind w:firstLine="420" w:firstLineChars="200"/>
        <w:rPr>
          <w:rFonts w:hint="default" w:ascii="Times New Roman" w:hAnsi="Times New Roman" w:cs="Times New Roman"/>
          <w:color w:val="auto"/>
          <w:lang w:val="en"/>
        </w:rPr>
      </w:pPr>
      <w:r>
        <w:rPr>
          <w:rFonts w:hint="default" w:ascii="Times New Roman" w:hAnsi="Times New Roman" w:cs="Times New Roman"/>
          <w:color w:val="auto"/>
          <w:lang w:val="en"/>
        </w:rPr>
        <w:t>环境空气应符合GB 3095的二类区要求；土壤</w:t>
      </w:r>
      <w:r>
        <w:rPr>
          <w:rFonts w:hint="default" w:ascii="Times New Roman" w:hAnsi="Times New Roman" w:cs="Times New Roman"/>
          <w:color w:val="auto"/>
          <w:lang w:val="en-US" w:eastAsia="zh-CN"/>
        </w:rPr>
        <w:t>污染风险管控</w:t>
      </w:r>
      <w:r>
        <w:rPr>
          <w:rFonts w:hint="default" w:ascii="Times New Roman" w:hAnsi="Times New Roman" w:cs="Times New Roman"/>
          <w:color w:val="auto"/>
          <w:lang w:val="en"/>
        </w:rPr>
        <w:t>符合GB 15618的农用地土壤污染风险筛选值；</w:t>
      </w:r>
      <w:r>
        <w:rPr>
          <w:rFonts w:hint="default" w:ascii="Times New Roman" w:hAnsi="Times New Roman" w:cs="Times New Roman"/>
          <w:color w:val="auto"/>
        </w:rPr>
        <w:t>灌溉水质应符合GB 5084标准</w:t>
      </w:r>
      <w:r>
        <w:rPr>
          <w:rFonts w:hint="default" w:ascii="Times New Roman" w:hAnsi="Times New Roman" w:cs="Times New Roman"/>
          <w:color w:val="auto"/>
          <w:lang w:val="en"/>
        </w:rPr>
        <w:t>。</w:t>
      </w:r>
    </w:p>
    <w:p w14:paraId="16192341">
      <w:pPr>
        <w:pStyle w:val="40"/>
        <w:rPr>
          <w:rFonts w:hint="default" w:ascii="Times New Roman" w:hAnsi="Times New Roman" w:cs="Times New Roman"/>
          <w:color w:val="auto"/>
          <w:lang w:val="en"/>
        </w:rPr>
      </w:pPr>
      <w:r>
        <w:rPr>
          <w:rFonts w:hint="default" w:ascii="Times New Roman" w:hAnsi="Times New Roman" w:cs="Times New Roman"/>
          <w:color w:val="auto"/>
          <w:lang w:val="en-US" w:eastAsia="zh-CN"/>
        </w:rPr>
        <w:t>土壤条件</w:t>
      </w:r>
    </w:p>
    <w:p w14:paraId="5684A745">
      <w:pPr>
        <w:pStyle w:val="135"/>
        <w:ind w:firstLine="420" w:firstLineChars="200"/>
        <w:rPr>
          <w:rFonts w:hint="default" w:ascii="Times New Roman" w:hAnsi="Times New Roman" w:cs="Times New Roman"/>
          <w:color w:val="auto"/>
          <w:lang w:val="en"/>
        </w:rPr>
      </w:pPr>
      <w:r>
        <w:rPr>
          <w:rFonts w:hint="default" w:ascii="Times New Roman" w:hAnsi="Times New Roman" w:cs="Times New Roman"/>
          <w:color w:val="auto"/>
          <w:lang w:val="en"/>
        </w:rPr>
        <w:t>宜选择土层厚度不小于40 cm、疏松、富含腐殖质、排水良好的壤土或砂壤土，土壤pH宜为</w:t>
      </w:r>
      <w:r>
        <w:rPr>
          <w:rFonts w:hint="eastAsia" w:cs="Times New Roman"/>
          <w:color w:val="auto"/>
          <w:lang w:val="en-US" w:eastAsia="zh-CN"/>
        </w:rPr>
        <w:t>5.0</w:t>
      </w:r>
      <w:r>
        <w:rPr>
          <w:rFonts w:hint="default" w:ascii="Times New Roman" w:hAnsi="Times New Roman" w:cs="Times New Roman"/>
          <w:color w:val="auto"/>
          <w:lang w:val="en"/>
        </w:rPr>
        <w:t>～7.0。黏重板结、砾石含量过高或长期积水的地块应先采取掺沙、增施有机肥或开沟排水等措施改良后使用。</w:t>
      </w:r>
    </w:p>
    <w:p w14:paraId="07E52291">
      <w:pPr>
        <w:pStyle w:val="40"/>
        <w:rPr>
          <w:rFonts w:hint="default" w:ascii="Times New Roman" w:hAnsi="Times New Roman" w:cs="Times New Roman"/>
          <w:color w:val="auto"/>
          <w:lang w:val="en"/>
        </w:rPr>
      </w:pPr>
      <w:bookmarkStart w:id="25" w:name="_Toc81579830"/>
      <w:r>
        <w:rPr>
          <w:rFonts w:hint="default" w:ascii="Times New Roman" w:hAnsi="Times New Roman" w:cs="Times New Roman"/>
          <w:color w:val="auto"/>
          <w:lang w:val="en"/>
        </w:rPr>
        <w:t>杉木林地选择</w:t>
      </w:r>
      <w:bookmarkEnd w:id="25"/>
    </w:p>
    <w:p w14:paraId="068B6104">
      <w:pPr>
        <w:pStyle w:val="135"/>
        <w:ind w:firstLine="420" w:firstLineChars="200"/>
        <w:rPr>
          <w:rFonts w:hint="default" w:ascii="Times New Roman" w:hAnsi="Times New Roman" w:cs="Times New Roman"/>
          <w:color w:val="auto"/>
          <w:lang w:val="en" w:eastAsia="zh-CN"/>
        </w:rPr>
      </w:pPr>
      <w:r>
        <w:rPr>
          <w:rFonts w:hint="default" w:ascii="Times New Roman" w:hAnsi="Times New Roman" w:cs="Times New Roman"/>
          <w:color w:val="auto"/>
          <w:lang w:val="en"/>
        </w:rPr>
        <w:t>宜选择交通便利、具备灌排条件、坡度不大于25°的杉木人工林。宜选择杉木林龄8年～15年、生长正常、无严重病虫害的杉木林。林分郁闭度宜为0.4～0.7</w:t>
      </w:r>
      <w:r>
        <w:rPr>
          <w:rFonts w:hint="default" w:ascii="Times New Roman" w:hAnsi="Times New Roman" w:cs="Times New Roman"/>
          <w:color w:val="auto"/>
          <w:lang w:val="en" w:eastAsia="zh-CN"/>
        </w:rPr>
        <w:t>。</w:t>
      </w:r>
      <w:r>
        <w:rPr>
          <w:rFonts w:hint="default" w:ascii="Times New Roman" w:hAnsi="Times New Roman" w:cs="Times New Roman"/>
          <w:color w:val="auto"/>
          <w:lang w:val="en"/>
        </w:rPr>
        <w:t>山洪</w:t>
      </w:r>
      <w:r>
        <w:rPr>
          <w:rFonts w:hint="eastAsia" w:cs="Times New Roman"/>
          <w:color w:val="auto"/>
          <w:lang w:val="en-US" w:eastAsia="zh-CN"/>
        </w:rPr>
        <w:t>易发区</w:t>
      </w:r>
      <w:r>
        <w:rPr>
          <w:rFonts w:hint="default" w:ascii="Times New Roman" w:hAnsi="Times New Roman" w:cs="Times New Roman"/>
          <w:color w:val="auto"/>
          <w:lang w:val="en"/>
        </w:rPr>
        <w:t>、滑坡</w:t>
      </w:r>
      <w:r>
        <w:rPr>
          <w:rFonts w:hint="eastAsia" w:cs="Times New Roman"/>
          <w:color w:val="auto"/>
          <w:lang w:val="en-US" w:eastAsia="zh-CN"/>
        </w:rPr>
        <w:t>地带</w:t>
      </w:r>
      <w:r>
        <w:rPr>
          <w:rFonts w:hint="default" w:ascii="Times New Roman" w:hAnsi="Times New Roman" w:cs="Times New Roman"/>
          <w:color w:val="auto"/>
          <w:lang w:val="en"/>
        </w:rPr>
        <w:t>、长期渍水区域及机械作业可能造成严重水土流失的地块不</w:t>
      </w:r>
      <w:r>
        <w:rPr>
          <w:rFonts w:hint="eastAsia" w:cs="Times New Roman"/>
          <w:color w:val="auto"/>
          <w:lang w:val="en-US" w:eastAsia="zh-CN"/>
        </w:rPr>
        <w:t>应</w:t>
      </w:r>
      <w:r>
        <w:rPr>
          <w:rFonts w:hint="default" w:ascii="Times New Roman" w:hAnsi="Times New Roman" w:cs="Times New Roman"/>
          <w:color w:val="auto"/>
          <w:lang w:val="en"/>
        </w:rPr>
        <w:t>作为轮作单元。</w:t>
      </w:r>
    </w:p>
    <w:p w14:paraId="6A34312F">
      <w:pPr>
        <w:pStyle w:val="40"/>
        <w:rPr>
          <w:rFonts w:hint="default" w:ascii="Times New Roman" w:hAnsi="Times New Roman" w:cs="Times New Roman"/>
          <w:color w:val="auto"/>
          <w:lang w:val="en"/>
        </w:rPr>
      </w:pPr>
      <w:bookmarkStart w:id="26" w:name="_Toc81579831"/>
      <w:r>
        <w:rPr>
          <w:rFonts w:hint="default" w:ascii="Times New Roman" w:hAnsi="Times New Roman" w:cs="Times New Roman"/>
          <w:color w:val="auto"/>
          <w:lang w:val="en"/>
        </w:rPr>
        <w:t>栽培场地</w:t>
      </w:r>
      <w:bookmarkEnd w:id="26"/>
      <w:r>
        <w:rPr>
          <w:rFonts w:hint="default" w:ascii="Times New Roman" w:hAnsi="Times New Roman" w:cs="Times New Roman"/>
          <w:color w:val="auto"/>
          <w:lang w:val="en"/>
        </w:rPr>
        <w:t>清理</w:t>
      </w:r>
    </w:p>
    <w:p w14:paraId="405C7EF9">
      <w:pPr>
        <w:pStyle w:val="21"/>
        <w:rPr>
          <w:rFonts w:hint="default" w:ascii="Times New Roman" w:hAnsi="Times New Roman" w:cs="Times New Roman"/>
          <w:color w:val="auto"/>
        </w:rPr>
      </w:pPr>
      <w:r>
        <w:rPr>
          <w:rFonts w:hint="default" w:ascii="Times New Roman" w:hAnsi="Times New Roman" w:cs="Times New Roman"/>
          <w:color w:val="auto"/>
        </w:rPr>
        <w:t>保留有利于水土保持和生物多样性的乡土灌草，清除影响生产作业的藤本、恶性杂草、枯死木和病残体。清理物应分类处理，健康枝叶可粉碎覆盖或堆沤，病残体应移出生产区</w:t>
      </w:r>
      <w:r>
        <w:rPr>
          <w:rFonts w:hint="eastAsia" w:ascii="Times New Roman" w:cs="Times New Roman"/>
          <w:color w:val="auto"/>
          <w:lang w:val="en-US" w:eastAsia="zh-CN"/>
        </w:rPr>
        <w:t>进行集中烧毁或深埋</w:t>
      </w:r>
      <w:r>
        <w:rPr>
          <w:rFonts w:hint="default" w:ascii="Times New Roman" w:hAnsi="Times New Roman" w:cs="Times New Roman"/>
          <w:color w:val="auto"/>
        </w:rPr>
        <w:t>无害化处理。</w:t>
      </w:r>
    </w:p>
    <w:p w14:paraId="13129010">
      <w:pPr>
        <w:pStyle w:val="40"/>
        <w:rPr>
          <w:rFonts w:hint="default" w:ascii="Times New Roman" w:hAnsi="Times New Roman" w:cs="Times New Roman"/>
          <w:color w:val="auto"/>
          <w:lang w:val="en"/>
        </w:rPr>
      </w:pPr>
      <w:r>
        <w:rPr>
          <w:rFonts w:hint="default" w:ascii="Times New Roman" w:hAnsi="Times New Roman" w:cs="Times New Roman"/>
          <w:color w:val="auto"/>
          <w:lang w:val="en-US" w:eastAsia="zh-CN"/>
        </w:rPr>
        <w:t>整地</w:t>
      </w:r>
    </w:p>
    <w:p w14:paraId="1C387240">
      <w:pPr>
        <w:pStyle w:val="135"/>
        <w:ind w:firstLine="420" w:firstLineChars="200"/>
        <w:rPr>
          <w:rFonts w:hint="default" w:ascii="Times New Roman" w:hAnsi="Times New Roman" w:cs="Times New Roman"/>
          <w:color w:val="auto"/>
          <w:lang w:val="en" w:eastAsia="zh-CN"/>
        </w:rPr>
      </w:pPr>
      <w:r>
        <w:rPr>
          <w:rFonts w:hint="default" w:ascii="Times New Roman" w:hAnsi="Times New Roman" w:cs="Times New Roman"/>
          <w:color w:val="auto"/>
          <w:lang w:val="en" w:eastAsia="zh-CN"/>
        </w:rPr>
        <w:t>应沿等高线进行带状或穴状整地，不应在杉木树干基部1 m范围内翻耕。带状整地宽度宜为1.0 m～1.2 m，翻耕深度不宜超过25 cm；坡地应结合地形设置截水沟、纵向排水沟及竹节沟，形成完善的坡面排水系统：截水沟拦截上方径流，纵向排水沟顺坡导流，竹节沟分段拦蓄、逐级消能，有效防止水土流失。畦沟宽25 cm～35 cm、深20 cm～30 cm。</w:t>
      </w:r>
    </w:p>
    <w:p w14:paraId="1EF44610">
      <w:pPr>
        <w:pStyle w:val="40"/>
        <w:rPr>
          <w:rFonts w:hint="default" w:ascii="Times New Roman" w:hAnsi="Times New Roman" w:cs="Times New Roman"/>
          <w:color w:val="auto"/>
          <w:lang w:val="en" w:eastAsia="zh-CN"/>
        </w:rPr>
      </w:pPr>
      <w:r>
        <w:rPr>
          <w:rFonts w:hint="default" w:ascii="Times New Roman" w:hAnsi="Times New Roman" w:cs="Times New Roman"/>
          <w:color w:val="auto"/>
          <w:lang w:val="en-US" w:eastAsia="zh-CN"/>
        </w:rPr>
        <w:t>基肥</w:t>
      </w:r>
    </w:p>
    <w:p w14:paraId="54E940DC">
      <w:pPr>
        <w:pStyle w:val="21"/>
        <w:rPr>
          <w:rFonts w:hint="default" w:ascii="Times New Roman" w:hAnsi="Times New Roman" w:cs="Times New Roman"/>
          <w:color w:val="auto"/>
        </w:rPr>
      </w:pPr>
      <w:r>
        <w:rPr>
          <w:rFonts w:hint="default" w:ascii="Times New Roman" w:hAnsi="Times New Roman" w:cs="Times New Roman"/>
          <w:color w:val="auto"/>
        </w:rPr>
        <w:t>应依据土壤检测结果施肥。整地时一般每667 m²施充分腐熟有机肥1000 kg～2000 kg，并与表土混匀；有机肥质量应符合NY 525的规定。需要补充矿质肥料时，应符合NY/T 496的规定，不应使肥料直接接触种茎或苗木根系。</w:t>
      </w:r>
    </w:p>
    <w:p w14:paraId="3F37DF90">
      <w:pPr>
        <w:pStyle w:val="43"/>
        <w:ind w:left="0"/>
        <w:rPr>
          <w:rFonts w:hint="default" w:ascii="Times New Roman" w:hAnsi="Times New Roman" w:cs="Times New Roman"/>
          <w:color w:val="auto"/>
        </w:rPr>
      </w:pPr>
      <w:bookmarkStart w:id="27" w:name="_Toc81579832"/>
      <w:r>
        <w:rPr>
          <w:rFonts w:hint="default" w:ascii="Times New Roman" w:hAnsi="Times New Roman" w:cs="Times New Roman"/>
          <w:color w:val="auto"/>
        </w:rPr>
        <w:t>栽种</w:t>
      </w:r>
      <w:bookmarkEnd w:id="27"/>
    </w:p>
    <w:p w14:paraId="40EA9E5C">
      <w:pPr>
        <w:pStyle w:val="40"/>
        <w:rPr>
          <w:rFonts w:hint="default" w:ascii="Times New Roman" w:eastAsia="黑体"/>
          <w:color w:val="auto"/>
          <w:lang w:val="en-US" w:eastAsia="zh-CN"/>
        </w:rPr>
      </w:pPr>
      <w:r>
        <w:rPr>
          <w:rFonts w:hint="eastAsia" w:ascii="Times New Roman" w:cs="Times New Roman"/>
          <w:color w:val="auto"/>
          <w:lang w:val="en-US" w:eastAsia="zh-CN"/>
        </w:rPr>
        <w:t>栽种设计</w:t>
      </w:r>
    </w:p>
    <w:p w14:paraId="00DB4DB5">
      <w:pPr>
        <w:pStyle w:val="21"/>
        <w:rPr>
          <w:rFonts w:hint="default" w:eastAsia="宋体"/>
          <w:color w:val="auto"/>
          <w:lang w:val="en-US" w:eastAsia="zh-CN"/>
        </w:rPr>
      </w:pPr>
      <w:r>
        <w:rPr>
          <w:rFonts w:hint="eastAsia"/>
          <w:color w:val="auto"/>
        </w:rPr>
        <w:t>根据杉木行间空间、地形坡度、排水条件和药用植物生长周期划分轮作单元。同一轮作单元在一个栽培周期内原则上种植一种药用植物，宜按“玉竹—射干—黄花倒水莲”或“玉竹—草珊瑚—黄花倒水莲”的顺序轮作。种植带或栽植穴应沿杉木行间或坡地等高线布设，并避开杉木树干基部1 m范围。前茬采收后应完成残体清理、排水设施修复和土壤培肥，达到后茬栽植条件后方可轮作。</w:t>
      </w:r>
    </w:p>
    <w:p w14:paraId="35216664">
      <w:pPr>
        <w:pStyle w:val="40"/>
        <w:rPr>
          <w:rFonts w:hint="default" w:ascii="Times New Roman" w:hAnsi="Times New Roman" w:cs="Times New Roman"/>
          <w:color w:val="auto"/>
        </w:rPr>
      </w:pPr>
      <w:bookmarkStart w:id="28" w:name="_Toc81579834"/>
      <w:r>
        <w:rPr>
          <w:rFonts w:hint="default" w:ascii="Times New Roman" w:hAnsi="Times New Roman" w:cs="Times New Roman"/>
          <w:color w:val="auto"/>
          <w:lang w:val="en-US" w:eastAsia="zh-CN"/>
        </w:rPr>
        <w:t>玉竹</w:t>
      </w:r>
      <w:r>
        <w:rPr>
          <w:rFonts w:hint="default" w:ascii="Times New Roman" w:hAnsi="Times New Roman" w:cs="Times New Roman"/>
          <w:color w:val="auto"/>
        </w:rPr>
        <w:t>栽种</w:t>
      </w:r>
      <w:bookmarkEnd w:id="28"/>
    </w:p>
    <w:p w14:paraId="7683D19E">
      <w:pPr>
        <w:pStyle w:val="21"/>
        <w:bidi w:val="0"/>
        <w:rPr>
          <w:rFonts w:hint="default" w:ascii="Times New Roman" w:hAnsi="Times New Roman" w:cs="Times New Roman"/>
          <w:color w:val="auto"/>
        </w:rPr>
      </w:pPr>
      <w:r>
        <w:rPr>
          <w:rFonts w:hint="default" w:ascii="Times New Roman" w:hAnsi="Times New Roman" w:cs="Times New Roman"/>
          <w:color w:val="auto"/>
        </w:rPr>
        <w:t>宜在10月至翌年1月土壤湿润、气温较低时栽植，不应在持续强降雨或土壤过湿时作业。</w:t>
      </w:r>
      <w:r>
        <w:rPr>
          <w:rFonts w:hint="eastAsia" w:ascii="Times New Roman" w:cs="Times New Roman"/>
          <w:color w:val="auto"/>
          <w:lang w:val="en-US" w:eastAsia="zh-CN"/>
        </w:rPr>
        <w:t>按</w:t>
      </w:r>
      <w:r>
        <w:rPr>
          <w:rFonts w:hint="default" w:ascii="Times New Roman" w:hAnsi="Times New Roman" w:cs="Times New Roman"/>
          <w:color w:val="auto"/>
        </w:rPr>
        <w:t>行距25 cm～35 cm</w:t>
      </w:r>
      <w:r>
        <w:rPr>
          <w:rFonts w:hint="eastAsia" w:ascii="Times New Roman" w:cs="Times New Roman"/>
          <w:color w:val="auto"/>
          <w:lang w:val="en-US" w:eastAsia="zh-CN"/>
        </w:rPr>
        <w:t>开沟</w:t>
      </w:r>
      <w:r>
        <w:rPr>
          <w:rFonts w:hint="default" w:ascii="Times New Roman" w:hAnsi="Times New Roman" w:cs="Times New Roman"/>
          <w:color w:val="auto"/>
        </w:rPr>
        <w:t>，种茎平放</w:t>
      </w:r>
      <w:r>
        <w:rPr>
          <w:rFonts w:hint="eastAsia" w:ascii="Times New Roman" w:cs="Times New Roman"/>
          <w:color w:val="auto"/>
          <w:lang w:val="en-US" w:eastAsia="zh-CN"/>
        </w:rPr>
        <w:t>于沟内，</w:t>
      </w:r>
      <w:r>
        <w:rPr>
          <w:rFonts w:hint="default" w:ascii="Times New Roman" w:hAnsi="Times New Roman" w:cs="Times New Roman"/>
          <w:color w:val="auto"/>
        </w:rPr>
        <w:t>芽头略向上斜放</w:t>
      </w:r>
      <w:r>
        <w:rPr>
          <w:rFonts w:hint="eastAsia" w:ascii="Times New Roman" w:cs="Times New Roman"/>
          <w:color w:val="auto"/>
          <w:lang w:eastAsia="zh-CN"/>
        </w:rPr>
        <w:t>，</w:t>
      </w:r>
      <w:r>
        <w:rPr>
          <w:rFonts w:hint="eastAsia" w:ascii="Times New Roman" w:cs="Times New Roman"/>
          <w:color w:val="auto"/>
          <w:lang w:val="en-US" w:eastAsia="zh-CN"/>
        </w:rPr>
        <w:t>株</w:t>
      </w:r>
      <w:r>
        <w:rPr>
          <w:rFonts w:hint="default" w:ascii="Times New Roman" w:hAnsi="Times New Roman" w:cs="Times New Roman"/>
          <w:color w:val="auto"/>
        </w:rPr>
        <w:t>距宜为8 cm～12 cm，覆土厚度5 cm～8 cm。栽后宜覆盖3 cm～5 cm厚的洁净枯枝落叶、稻草或其他可降解材料。栽植技术可参照DB43/T 2022—2021执行。</w:t>
      </w:r>
    </w:p>
    <w:p w14:paraId="2042BC9A">
      <w:pPr>
        <w:pStyle w:val="40"/>
        <w:rPr>
          <w:rFonts w:hint="default" w:ascii="Times New Roman" w:hAnsi="Times New Roman" w:cs="Times New Roman"/>
          <w:color w:val="auto"/>
        </w:rPr>
      </w:pPr>
      <w:bookmarkStart w:id="29" w:name="_Toc81579835"/>
      <w:r>
        <w:rPr>
          <w:rFonts w:hint="default" w:ascii="Times New Roman" w:hAnsi="Times New Roman" w:cs="Times New Roman"/>
          <w:color w:val="auto"/>
          <w:lang w:val="en-US" w:eastAsia="zh-CN"/>
        </w:rPr>
        <w:t>射干</w:t>
      </w:r>
      <w:r>
        <w:rPr>
          <w:rFonts w:hint="default" w:ascii="Times New Roman" w:hAnsi="Times New Roman" w:cs="Times New Roman"/>
          <w:color w:val="auto"/>
        </w:rPr>
        <w:t>栽种</w:t>
      </w:r>
      <w:bookmarkEnd w:id="29"/>
    </w:p>
    <w:p w14:paraId="5A719661">
      <w:pPr>
        <w:pStyle w:val="21"/>
        <w:rPr>
          <w:rFonts w:hint="default" w:ascii="Times New Roman" w:hAnsi="Times New Roman" w:cs="Times New Roman"/>
          <w:color w:val="auto"/>
        </w:rPr>
      </w:pPr>
      <w:r>
        <w:rPr>
          <w:rFonts w:hint="default" w:ascii="Times New Roman" w:hAnsi="Times New Roman" w:cs="Times New Roman"/>
          <w:color w:val="auto"/>
        </w:rPr>
        <w:t>栽植宜在春季萌芽前（2—3月）或秋季地上部分枯萎后（10—11月）进行。选用1～2年生、芽头饱满、无病虫害及机械损伤的根状茎，切成5 cm～10 cm小段，每段保留2～3个健壮芽。栽植前用50%多菌灵可湿性粉剂500倍液浸种茎15 min～20 min，晾干后播种。栽植株行距宜为20 cm×25 cm，栽植深度10 cm～15 cm，芽头朝上，覆土压实，栽后浇透定根水。</w:t>
      </w:r>
    </w:p>
    <w:p w14:paraId="67FA3278">
      <w:pPr>
        <w:pStyle w:val="40"/>
        <w:rPr>
          <w:rFonts w:hint="default" w:ascii="Times New Roman" w:hAnsi="Times New Roman" w:cs="Times New Roman"/>
          <w:color w:val="auto"/>
        </w:rPr>
      </w:pPr>
      <w:bookmarkStart w:id="30" w:name="_Toc81579836"/>
      <w:r>
        <w:rPr>
          <w:rFonts w:hint="default" w:ascii="Times New Roman" w:hAnsi="Times New Roman" w:cs="Times New Roman"/>
          <w:color w:val="auto"/>
        </w:rPr>
        <w:t>草珊瑚栽</w:t>
      </w:r>
      <w:bookmarkEnd w:id="30"/>
      <w:r>
        <w:rPr>
          <w:rFonts w:hint="default" w:ascii="Times New Roman" w:hAnsi="Times New Roman" w:cs="Times New Roman"/>
          <w:color w:val="auto"/>
        </w:rPr>
        <w:t>种</w:t>
      </w:r>
    </w:p>
    <w:p w14:paraId="1FA7380E">
      <w:pPr>
        <w:pStyle w:val="21"/>
        <w:rPr>
          <w:rFonts w:hint="default" w:ascii="Times New Roman" w:hAnsi="Times New Roman" w:cs="Times New Roman"/>
          <w:color w:val="auto"/>
        </w:rPr>
      </w:pPr>
      <w:r>
        <w:rPr>
          <w:rFonts w:hint="default" w:ascii="Times New Roman" w:hAnsi="Times New Roman" w:cs="Times New Roman"/>
          <w:color w:val="auto"/>
        </w:rPr>
        <w:t>宜在11月至翌年4月</w:t>
      </w:r>
      <w:r>
        <w:rPr>
          <w:rFonts w:hint="eastAsia" w:ascii="Times New Roman" w:cs="Times New Roman"/>
          <w:color w:val="auto"/>
          <w:lang w:val="en-US" w:eastAsia="zh-CN"/>
        </w:rPr>
        <w:t>选择</w:t>
      </w:r>
      <w:r>
        <w:rPr>
          <w:rFonts w:hint="default" w:ascii="Times New Roman" w:hAnsi="Times New Roman" w:cs="Times New Roman"/>
          <w:color w:val="auto"/>
        </w:rPr>
        <w:t>阴天或小雨天气栽植。株行距宜为（30 cm～40 cm）×（40 cm～60 cm），立地条件或经营目标不同时，可在DB44/T 2357—2022规定范围内调整。栽植穴深度以根系自然舒展为宜。苗木根颈与地面齐平，回填</w:t>
      </w:r>
      <w:r>
        <w:rPr>
          <w:rFonts w:hint="eastAsia" w:ascii="Times New Roman" w:cs="Times New Roman"/>
          <w:color w:val="auto"/>
          <w:lang w:val="en-US" w:eastAsia="zh-CN"/>
        </w:rPr>
        <w:t>土壤</w:t>
      </w:r>
      <w:r>
        <w:rPr>
          <w:rFonts w:hint="default" w:ascii="Times New Roman" w:hAnsi="Times New Roman" w:cs="Times New Roman"/>
          <w:color w:val="auto"/>
        </w:rPr>
        <w:t>压实后浇透定根水。</w:t>
      </w:r>
    </w:p>
    <w:p w14:paraId="5A2BD3AD">
      <w:pPr>
        <w:pStyle w:val="40"/>
        <w:rPr>
          <w:rFonts w:hint="default" w:ascii="Times New Roman" w:hAnsi="Times New Roman" w:cs="Times New Roman"/>
          <w:color w:val="auto"/>
        </w:rPr>
      </w:pPr>
      <w:r>
        <w:rPr>
          <w:rFonts w:hint="default" w:ascii="Times New Roman" w:hAnsi="Times New Roman" w:cs="Times New Roman"/>
          <w:color w:val="auto"/>
          <w:lang w:val="en-US" w:eastAsia="zh-CN"/>
        </w:rPr>
        <w:t>黄花倒水莲栽植</w:t>
      </w:r>
    </w:p>
    <w:p w14:paraId="4A8310C7">
      <w:pPr>
        <w:pStyle w:val="21"/>
        <w:rPr>
          <w:rFonts w:hint="default" w:ascii="Times New Roman" w:hAnsi="Times New Roman" w:cs="Times New Roman"/>
          <w:color w:val="auto"/>
        </w:rPr>
      </w:pPr>
      <w:r>
        <w:rPr>
          <w:rFonts w:hint="default" w:ascii="Times New Roman" w:hAnsi="Times New Roman" w:cs="Times New Roman"/>
          <w:color w:val="auto"/>
        </w:rPr>
        <w:t>宜在11月至翌年3月栽植。栽植穴宜为40 cm×40 cm×30 cm，株行距宜为1.0 m×1.5 m；坡地应沿等高线布穴。每穴</w:t>
      </w:r>
      <w:r>
        <w:rPr>
          <w:rFonts w:hint="eastAsia" w:ascii="Times New Roman" w:cs="Times New Roman"/>
          <w:color w:val="auto"/>
          <w:lang w:val="en-US" w:eastAsia="zh-CN"/>
        </w:rPr>
        <w:t>宜</w:t>
      </w:r>
      <w:r>
        <w:rPr>
          <w:rFonts w:hint="default" w:ascii="Times New Roman" w:hAnsi="Times New Roman" w:cs="Times New Roman"/>
          <w:color w:val="auto"/>
        </w:rPr>
        <w:t>施充分腐熟有机肥2 kg～3 kg，与表土混匀后</w:t>
      </w:r>
      <w:r>
        <w:rPr>
          <w:rFonts w:hint="eastAsia" w:ascii="Times New Roman" w:cs="Times New Roman"/>
          <w:color w:val="auto"/>
          <w:lang w:val="en-US" w:eastAsia="zh-CN"/>
        </w:rPr>
        <w:t>部分</w:t>
      </w:r>
      <w:r>
        <w:rPr>
          <w:rFonts w:hint="default" w:ascii="Times New Roman" w:hAnsi="Times New Roman" w:cs="Times New Roman"/>
          <w:color w:val="auto"/>
        </w:rPr>
        <w:t>回填，将苗木置于穴中，根系舒展，再分层回填压实，栽后培土成盘并浇透定根水。具体栽植技术宜符合DB45/T 2540—2022的规定。</w:t>
      </w:r>
    </w:p>
    <w:p w14:paraId="34EBDCC6">
      <w:pPr>
        <w:pStyle w:val="43"/>
        <w:ind w:left="0"/>
        <w:rPr>
          <w:rFonts w:hint="default" w:ascii="Times New Roman" w:hAnsi="Times New Roman" w:cs="Times New Roman"/>
          <w:color w:val="auto"/>
        </w:rPr>
      </w:pPr>
      <w:bookmarkStart w:id="31" w:name="_Toc81579838"/>
      <w:r>
        <w:rPr>
          <w:rFonts w:hint="default" w:ascii="Times New Roman" w:hAnsi="Times New Roman" w:cs="Times New Roman"/>
          <w:color w:val="auto"/>
        </w:rPr>
        <w:t>管理</w:t>
      </w:r>
      <w:bookmarkEnd w:id="31"/>
    </w:p>
    <w:p w14:paraId="5C6F8A88">
      <w:pPr>
        <w:pStyle w:val="40"/>
        <w:rPr>
          <w:rFonts w:hint="default" w:ascii="Times New Roman" w:hAnsi="Times New Roman" w:cs="Times New Roman"/>
          <w:color w:val="auto"/>
        </w:rPr>
      </w:pPr>
      <w:r>
        <w:rPr>
          <w:rFonts w:hint="default" w:ascii="Times New Roman" w:hAnsi="Times New Roman" w:cs="Times New Roman"/>
          <w:color w:val="auto"/>
          <w:lang w:val="en-US" w:eastAsia="zh-CN"/>
        </w:rPr>
        <w:t>郁闭度</w:t>
      </w:r>
      <w:r>
        <w:rPr>
          <w:rFonts w:hint="default" w:ascii="Times New Roman" w:hAnsi="Times New Roman" w:cs="Times New Roman"/>
          <w:color w:val="auto"/>
        </w:rPr>
        <w:t>调控</w:t>
      </w:r>
    </w:p>
    <w:p w14:paraId="6BCD5358">
      <w:pPr>
        <w:widowControl/>
        <w:shd w:val="clear" w:color="auto" w:fill="FFFFFF"/>
        <w:ind w:firstLine="420" w:firstLineChars="200"/>
        <w:jc w:val="left"/>
        <w:rPr>
          <w:rFonts w:hint="default" w:ascii="Times New Roman" w:hAnsi="Times New Roman" w:cs="Times New Roman"/>
          <w:color w:val="auto"/>
        </w:rPr>
      </w:pPr>
      <w:r>
        <w:rPr>
          <w:rFonts w:hint="default" w:ascii="Times New Roman" w:hAnsi="Times New Roman" w:cs="Times New Roman"/>
          <w:color w:val="auto"/>
        </w:rPr>
        <w:t>应根据作物需光特性通过修枝、清除过密萌条和抚育间伐等措施调节林分郁闭度：玉竹宜为0.5～0.7，射干宜为0.3～0.6，草珊瑚宜为0.5～0.8，黄花倒水莲宜为0.4～0.7。间伐调整郁闭度时，</w:t>
      </w:r>
      <w:r>
        <w:rPr>
          <w:rFonts w:hint="eastAsia" w:ascii="宋体" w:hAnsi="Times New Roman" w:eastAsia="宋体" w:cs="Times New Roman"/>
          <w:color w:val="auto"/>
          <w:kern w:val="0"/>
          <w:szCs w:val="20"/>
          <w:lang w:val="en-US" w:eastAsia="zh-CN"/>
        </w:rPr>
        <w:t>单次疏伐株数强度不宜超过原林分株数的30%</w:t>
      </w:r>
      <w:r>
        <w:rPr>
          <w:rFonts w:hint="default" w:ascii="Times New Roman" w:hAnsi="Times New Roman" w:cs="Times New Roman"/>
          <w:color w:val="auto"/>
        </w:rPr>
        <w:t>，</w:t>
      </w:r>
      <w:r>
        <w:rPr>
          <w:rFonts w:hint="eastAsia" w:cs="Times New Roman"/>
          <w:color w:val="auto"/>
          <w:lang w:val="en-US" w:eastAsia="zh-CN"/>
        </w:rPr>
        <w:t>过密时</w:t>
      </w:r>
      <w:r>
        <w:rPr>
          <w:rFonts w:hint="default" w:ascii="Times New Roman" w:hAnsi="Times New Roman" w:cs="Times New Roman"/>
          <w:color w:val="auto"/>
        </w:rPr>
        <w:t>应分年度逐步实施。</w:t>
      </w:r>
    </w:p>
    <w:p w14:paraId="6E9ECAA4">
      <w:pPr>
        <w:pStyle w:val="40"/>
        <w:rPr>
          <w:rFonts w:hint="default" w:ascii="Times New Roman" w:hAnsi="Times New Roman" w:cs="Times New Roman"/>
          <w:color w:val="auto"/>
        </w:rPr>
      </w:pPr>
      <w:bookmarkStart w:id="32" w:name="_Toc81579840"/>
      <w:r>
        <w:rPr>
          <w:rFonts w:hint="default" w:ascii="Times New Roman" w:hAnsi="Times New Roman" w:cs="Times New Roman"/>
          <w:color w:val="auto"/>
        </w:rPr>
        <w:t>水</w:t>
      </w:r>
      <w:bookmarkEnd w:id="32"/>
      <w:r>
        <w:rPr>
          <w:rFonts w:hint="default" w:ascii="Times New Roman" w:hAnsi="Times New Roman" w:cs="Times New Roman"/>
          <w:color w:val="auto"/>
          <w:lang w:val="en-US" w:eastAsia="zh-CN"/>
        </w:rPr>
        <w:t>分管理</w:t>
      </w:r>
    </w:p>
    <w:p w14:paraId="2E8207A3">
      <w:pPr>
        <w:pStyle w:val="21"/>
        <w:rPr>
          <w:rFonts w:hint="default" w:ascii="Times New Roman" w:hAnsi="Times New Roman" w:cs="Times New Roman"/>
          <w:color w:val="auto"/>
        </w:rPr>
      </w:pPr>
      <w:r>
        <w:rPr>
          <w:rFonts w:hint="default" w:ascii="Times New Roman" w:hAnsi="Times New Roman" w:cs="Times New Roman"/>
          <w:color w:val="auto"/>
        </w:rPr>
        <w:t>应遵循</w:t>
      </w:r>
      <w:r>
        <w:rPr>
          <w:rFonts w:hint="eastAsia" w:ascii="Times New Roman" w:cs="Times New Roman"/>
          <w:color w:val="auto"/>
          <w:lang w:eastAsia="zh-CN"/>
        </w:rPr>
        <w:t>“</w:t>
      </w:r>
      <w:r>
        <w:rPr>
          <w:rFonts w:hint="default" w:ascii="Times New Roman" w:hAnsi="Times New Roman" w:cs="Times New Roman"/>
          <w:color w:val="auto"/>
        </w:rPr>
        <w:t>旱时保湿、雨季防涝</w:t>
      </w:r>
      <w:r>
        <w:rPr>
          <w:rFonts w:hint="eastAsia" w:ascii="Times New Roman" w:cs="Times New Roman"/>
          <w:color w:val="auto"/>
          <w:lang w:eastAsia="zh-CN"/>
        </w:rPr>
        <w:t>”</w:t>
      </w:r>
      <w:r>
        <w:rPr>
          <w:rFonts w:hint="default" w:ascii="Times New Roman" w:hAnsi="Times New Roman" w:cs="Times New Roman"/>
          <w:color w:val="auto"/>
        </w:rPr>
        <w:t>的原则。栽植后、返青期和持续干旱期应根据土壤墒情</w:t>
      </w:r>
      <w:r>
        <w:rPr>
          <w:rFonts w:hint="eastAsia" w:ascii="Times New Roman" w:cs="Times New Roman"/>
          <w:color w:val="auto"/>
          <w:lang w:val="en-US" w:eastAsia="zh-CN"/>
        </w:rPr>
        <w:t>及时</w:t>
      </w:r>
      <w:r>
        <w:rPr>
          <w:rFonts w:hint="default" w:ascii="Times New Roman" w:hAnsi="Times New Roman" w:cs="Times New Roman"/>
          <w:color w:val="auto"/>
        </w:rPr>
        <w:t>灌溉；暴雨后应</w:t>
      </w:r>
      <w:r>
        <w:rPr>
          <w:rFonts w:hint="eastAsia" w:ascii="Times New Roman" w:cs="Times New Roman"/>
          <w:color w:val="auto"/>
          <w:lang w:val="en-US" w:eastAsia="zh-CN"/>
        </w:rPr>
        <w:t>立即</w:t>
      </w:r>
      <w:r>
        <w:rPr>
          <w:rFonts w:hint="default" w:ascii="Times New Roman" w:hAnsi="Times New Roman" w:cs="Times New Roman"/>
          <w:color w:val="auto"/>
        </w:rPr>
        <w:t>疏通排水沟。采挖根茎类药材前20 d～30 d</w:t>
      </w:r>
      <w:r>
        <w:rPr>
          <w:rFonts w:hint="eastAsia" w:ascii="Times New Roman" w:cs="Times New Roman"/>
          <w:color w:val="auto"/>
          <w:lang w:val="en-US" w:eastAsia="zh-CN"/>
        </w:rPr>
        <w:t>应</w:t>
      </w:r>
      <w:r>
        <w:rPr>
          <w:rFonts w:hint="default" w:ascii="Times New Roman" w:hAnsi="Times New Roman" w:cs="Times New Roman"/>
          <w:color w:val="auto"/>
        </w:rPr>
        <w:t>停止灌溉。</w:t>
      </w:r>
    </w:p>
    <w:p w14:paraId="428C2480">
      <w:pPr>
        <w:pStyle w:val="40"/>
        <w:rPr>
          <w:rFonts w:hint="default" w:ascii="Times New Roman" w:hAnsi="Times New Roman" w:cs="Times New Roman"/>
          <w:color w:val="auto"/>
        </w:rPr>
      </w:pPr>
      <w:r>
        <w:rPr>
          <w:rFonts w:hint="default" w:ascii="Times New Roman" w:hAnsi="Times New Roman" w:cs="Times New Roman"/>
          <w:color w:val="auto"/>
          <w:lang w:val="en-US" w:eastAsia="zh-CN"/>
        </w:rPr>
        <w:t>施肥管理</w:t>
      </w:r>
    </w:p>
    <w:p w14:paraId="60A931EC">
      <w:pPr>
        <w:widowControl/>
        <w:shd w:val="clear" w:color="auto" w:fill="FFFFFF"/>
        <w:rPr>
          <w:rFonts w:hint="default" w:ascii="Times New Roman" w:hAnsi="Times New Roman" w:eastAsia="宋体" w:cs="Times New Roman"/>
          <w:color w:val="auto"/>
          <w:lang w:val="en-US" w:eastAsia="zh-CN"/>
        </w:rPr>
      </w:pPr>
      <w:r>
        <w:rPr>
          <w:rFonts w:hint="eastAsia" w:cs="Times New Roman"/>
          <w:color w:val="auto"/>
          <w:lang w:val="en-US" w:eastAsia="zh-CN"/>
        </w:rPr>
        <w:t>8</w:t>
      </w:r>
      <w:r>
        <w:rPr>
          <w:rFonts w:hint="default" w:ascii="Times New Roman" w:hAnsi="Times New Roman" w:cs="Times New Roman"/>
          <w:color w:val="auto"/>
        </w:rPr>
        <w:t>.</w:t>
      </w:r>
      <w:r>
        <w:rPr>
          <w:rFonts w:hint="default" w:ascii="Times New Roman" w:hAnsi="Times New Roman" w:cs="Times New Roman"/>
          <w:color w:val="auto"/>
          <w:lang w:val="en-US" w:eastAsia="zh-CN"/>
        </w:rPr>
        <w:t>3.1 原则</w:t>
      </w:r>
    </w:p>
    <w:p w14:paraId="3A48A0E1">
      <w:pPr>
        <w:pStyle w:val="21"/>
        <w:rPr>
          <w:rFonts w:hint="default" w:ascii="Times New Roman" w:hAnsi="Times New Roman" w:cs="Times New Roman"/>
          <w:color w:val="auto"/>
        </w:rPr>
      </w:pPr>
      <w:r>
        <w:rPr>
          <w:rFonts w:hint="default" w:ascii="Times New Roman" w:hAnsi="Times New Roman" w:cs="Times New Roman"/>
          <w:color w:val="auto"/>
        </w:rPr>
        <w:t>应实施测土配方施肥，以有机肥为主，</w:t>
      </w:r>
      <w:r>
        <w:rPr>
          <w:rFonts w:hint="eastAsia" w:ascii="Times New Roman" w:cs="Times New Roman"/>
          <w:color w:val="auto"/>
          <w:lang w:val="en-US" w:eastAsia="zh-CN"/>
        </w:rPr>
        <w:t>合理</w:t>
      </w:r>
      <w:r>
        <w:rPr>
          <w:rFonts w:hint="default" w:ascii="Times New Roman" w:hAnsi="Times New Roman" w:cs="Times New Roman"/>
          <w:color w:val="auto"/>
        </w:rPr>
        <w:t>控制氮肥用量，避免因过量施肥造成硝酸盐累积。肥料种类、用量和施用时间应符合NY/T 496的规定并完整记录。</w:t>
      </w:r>
    </w:p>
    <w:p w14:paraId="156366F3">
      <w:pPr>
        <w:widowControl/>
        <w:shd w:val="clear" w:color="auto" w:fill="FFFFFF"/>
        <w:rPr>
          <w:rFonts w:hint="default" w:ascii="Times New Roman" w:hAnsi="Times New Roman" w:eastAsia="宋体" w:cs="Times New Roman"/>
          <w:color w:val="auto"/>
          <w:lang w:val="en-US" w:eastAsia="zh-CN"/>
        </w:rPr>
      </w:pPr>
      <w:r>
        <w:rPr>
          <w:rFonts w:hint="eastAsia" w:cs="Times New Roman"/>
          <w:color w:val="auto"/>
          <w:lang w:val="en-US" w:eastAsia="zh-CN"/>
        </w:rPr>
        <w:t>8</w:t>
      </w:r>
      <w:r>
        <w:rPr>
          <w:rFonts w:hint="default" w:ascii="Times New Roman" w:hAnsi="Times New Roman" w:cs="Times New Roman"/>
          <w:color w:val="auto"/>
        </w:rPr>
        <w:t>.</w:t>
      </w:r>
      <w:r>
        <w:rPr>
          <w:rFonts w:hint="default" w:ascii="Times New Roman" w:hAnsi="Times New Roman" w:cs="Times New Roman"/>
          <w:color w:val="auto"/>
          <w:lang w:val="en-US" w:eastAsia="zh-CN"/>
        </w:rPr>
        <w:t>3</w:t>
      </w:r>
      <w:r>
        <w:rPr>
          <w:rFonts w:hint="default" w:ascii="Times New Roman" w:hAnsi="Times New Roman" w:cs="Times New Roman"/>
          <w:color w:val="auto"/>
        </w:rPr>
        <w:t>.</w:t>
      </w:r>
      <w:r>
        <w:rPr>
          <w:rFonts w:hint="default" w:ascii="Times New Roman" w:hAnsi="Times New Roman" w:cs="Times New Roman"/>
          <w:color w:val="auto"/>
          <w:lang w:val="en-US" w:eastAsia="zh-CN"/>
        </w:rPr>
        <w:t>2玉竹</w:t>
      </w:r>
    </w:p>
    <w:p w14:paraId="537719B4">
      <w:pPr>
        <w:widowControl/>
        <w:shd w:val="clear" w:color="auto" w:fill="FFFFFF"/>
        <w:ind w:firstLine="420" w:firstLineChars="200"/>
        <w:rPr>
          <w:rFonts w:hint="default" w:ascii="Times New Roman" w:hAnsi="Times New Roman" w:cs="Times New Roman"/>
          <w:color w:val="auto"/>
        </w:rPr>
      </w:pPr>
      <w:r>
        <w:rPr>
          <w:rFonts w:hint="eastAsia" w:cs="Times New Roman"/>
          <w:color w:val="auto"/>
          <w:lang w:val="en-US" w:eastAsia="zh-CN"/>
        </w:rPr>
        <w:t>栽植</w:t>
      </w:r>
      <w:r>
        <w:rPr>
          <w:rFonts w:hint="default" w:ascii="Times New Roman" w:hAnsi="Times New Roman" w:cs="Times New Roman"/>
          <w:color w:val="auto"/>
        </w:rPr>
        <w:t>第2年秋冬季宜结合</w:t>
      </w:r>
      <w:r>
        <w:rPr>
          <w:rFonts w:hint="eastAsia" w:cs="Times New Roman"/>
          <w:color w:val="auto"/>
          <w:lang w:val="en-US" w:eastAsia="zh-CN"/>
        </w:rPr>
        <w:t>培土</w:t>
      </w:r>
      <w:r>
        <w:rPr>
          <w:rFonts w:hint="default" w:ascii="Times New Roman" w:hAnsi="Times New Roman" w:cs="Times New Roman"/>
          <w:color w:val="auto"/>
        </w:rPr>
        <w:t>每667 m²追施腐熟有机肥500 kg～1000 kg；生长较弱时，可在春季</w:t>
      </w:r>
      <w:r>
        <w:rPr>
          <w:rFonts w:hint="eastAsia" w:cs="Times New Roman"/>
          <w:color w:val="auto"/>
          <w:lang w:val="en-US" w:eastAsia="zh-CN"/>
        </w:rPr>
        <w:t>追</w:t>
      </w:r>
      <w:r>
        <w:rPr>
          <w:rFonts w:hint="default" w:ascii="Times New Roman" w:hAnsi="Times New Roman" w:cs="Times New Roman"/>
          <w:color w:val="auto"/>
        </w:rPr>
        <w:t>施低氯复合肥20 kg～30 kg。</w:t>
      </w:r>
    </w:p>
    <w:p w14:paraId="4532E1D5">
      <w:pPr>
        <w:widowControl/>
        <w:shd w:val="clear" w:color="auto" w:fill="FFFFFF"/>
        <w:rPr>
          <w:rFonts w:hint="default" w:ascii="Times New Roman" w:hAnsi="Times New Roman" w:cs="Times New Roman"/>
          <w:color w:val="auto"/>
        </w:rPr>
      </w:pPr>
      <w:r>
        <w:rPr>
          <w:rFonts w:hint="eastAsia" w:cs="Times New Roman"/>
          <w:color w:val="auto"/>
          <w:lang w:val="en-US" w:eastAsia="zh-CN"/>
        </w:rPr>
        <w:t>8</w:t>
      </w:r>
      <w:r>
        <w:rPr>
          <w:rFonts w:hint="default" w:ascii="Times New Roman" w:hAnsi="Times New Roman" w:cs="Times New Roman"/>
          <w:color w:val="auto"/>
        </w:rPr>
        <w:t>.</w:t>
      </w:r>
      <w:r>
        <w:rPr>
          <w:rFonts w:hint="eastAsia" w:cs="Times New Roman"/>
          <w:color w:val="auto"/>
          <w:lang w:val="en-US" w:eastAsia="zh-CN"/>
        </w:rPr>
        <w:t>3</w:t>
      </w:r>
      <w:r>
        <w:rPr>
          <w:rFonts w:hint="default" w:ascii="Times New Roman" w:hAnsi="Times New Roman" w:cs="Times New Roman"/>
          <w:color w:val="auto"/>
        </w:rPr>
        <w:t>.</w:t>
      </w:r>
      <w:r>
        <w:rPr>
          <w:rFonts w:hint="default" w:ascii="Times New Roman" w:hAnsi="Times New Roman" w:cs="Times New Roman"/>
          <w:color w:val="auto"/>
          <w:lang w:val="en-US" w:eastAsia="zh-CN"/>
        </w:rPr>
        <w:t>3射干</w:t>
      </w:r>
      <w:r>
        <w:rPr>
          <w:rFonts w:hint="default" w:ascii="Times New Roman" w:hAnsi="Times New Roman" w:cs="Times New Roman"/>
          <w:color w:val="auto"/>
          <w:lang w:val="en"/>
        </w:rPr>
        <w:t xml:space="preserve"> </w:t>
      </w:r>
    </w:p>
    <w:p w14:paraId="54FE2865">
      <w:pPr>
        <w:widowControl/>
        <w:shd w:val="clear" w:color="auto" w:fill="FFFFFF"/>
        <w:ind w:firstLine="420" w:firstLineChars="200"/>
        <w:rPr>
          <w:rFonts w:hint="default" w:ascii="Times New Roman" w:hAnsi="Times New Roman" w:cs="Times New Roman"/>
          <w:color w:val="auto"/>
        </w:rPr>
      </w:pPr>
      <w:r>
        <w:rPr>
          <w:rFonts w:hint="eastAsia" w:cs="Times New Roman"/>
          <w:color w:val="auto"/>
          <w:lang w:val="en-US" w:eastAsia="zh-CN"/>
        </w:rPr>
        <w:t>栽植</w:t>
      </w:r>
      <w:r>
        <w:rPr>
          <w:rFonts w:hint="default" w:ascii="Times New Roman" w:hAnsi="Times New Roman" w:cs="Times New Roman"/>
          <w:color w:val="auto"/>
        </w:rPr>
        <w:t>第2年起宜于返青期和生长旺盛期各追肥1次，每次每667 m²施氮磷钾复合肥15 kg～25 kg；采收当年应减少氮肥施用。</w:t>
      </w:r>
    </w:p>
    <w:p w14:paraId="0E373322">
      <w:pPr>
        <w:widowControl/>
        <w:shd w:val="clear" w:color="auto" w:fill="FFFFFF"/>
        <w:rPr>
          <w:rFonts w:hint="default" w:ascii="Times New Roman" w:hAnsi="Times New Roman" w:eastAsia="宋体" w:cs="Times New Roman"/>
          <w:color w:val="auto"/>
          <w:lang w:val="en-US" w:eastAsia="zh-CN"/>
        </w:rPr>
      </w:pPr>
      <w:r>
        <w:rPr>
          <w:rFonts w:hint="eastAsia" w:cs="Times New Roman"/>
          <w:color w:val="auto"/>
          <w:lang w:val="en-US" w:eastAsia="zh-CN"/>
        </w:rPr>
        <w:t>8</w:t>
      </w:r>
      <w:r>
        <w:rPr>
          <w:rFonts w:hint="default" w:ascii="Times New Roman" w:hAnsi="Times New Roman" w:cs="Times New Roman"/>
          <w:color w:val="auto"/>
        </w:rPr>
        <w:t>.</w:t>
      </w:r>
      <w:r>
        <w:rPr>
          <w:rFonts w:hint="eastAsia" w:cs="Times New Roman"/>
          <w:color w:val="auto"/>
          <w:lang w:val="en-US" w:eastAsia="zh-CN"/>
        </w:rPr>
        <w:t>3</w:t>
      </w:r>
      <w:r>
        <w:rPr>
          <w:rFonts w:hint="default" w:ascii="Times New Roman" w:hAnsi="Times New Roman" w:cs="Times New Roman"/>
          <w:color w:val="auto"/>
        </w:rPr>
        <w:t>.</w:t>
      </w:r>
      <w:r>
        <w:rPr>
          <w:rFonts w:hint="default" w:ascii="Times New Roman" w:hAnsi="Times New Roman" w:cs="Times New Roman"/>
          <w:color w:val="auto"/>
          <w:lang w:val="en-US" w:eastAsia="zh-CN"/>
        </w:rPr>
        <w:t>4草珊瑚</w:t>
      </w:r>
    </w:p>
    <w:p w14:paraId="3883015A">
      <w:pPr>
        <w:widowControl/>
        <w:shd w:val="clear" w:color="auto" w:fill="FFFFFF"/>
        <w:ind w:firstLine="420" w:firstLineChars="200"/>
        <w:rPr>
          <w:rFonts w:hint="default" w:ascii="Times New Roman" w:hAnsi="Times New Roman" w:cs="Times New Roman"/>
          <w:color w:val="auto"/>
        </w:rPr>
      </w:pPr>
      <w:r>
        <w:rPr>
          <w:rFonts w:hint="default" w:ascii="Times New Roman" w:hAnsi="Times New Roman" w:cs="Times New Roman"/>
          <w:color w:val="auto"/>
        </w:rPr>
        <w:t>每年春季和夏季可各追肥1次，每次每667 m²施氮磷钾复合肥5 kg～10 kg；冬季结合培土每667 m²施腐熟有机肥500 kg～1000 kg。</w:t>
      </w:r>
    </w:p>
    <w:p w14:paraId="44DA8938">
      <w:pPr>
        <w:widowControl/>
        <w:shd w:val="clear" w:color="auto" w:fill="FFFFFF"/>
        <w:rPr>
          <w:rFonts w:hint="default" w:ascii="Times New Roman" w:hAnsi="Times New Roman" w:eastAsia="宋体" w:cs="Times New Roman"/>
          <w:color w:val="auto"/>
          <w:lang w:val="en-US" w:eastAsia="zh-CN"/>
        </w:rPr>
      </w:pPr>
      <w:r>
        <w:rPr>
          <w:rFonts w:hint="eastAsia" w:cs="Times New Roman"/>
          <w:color w:val="auto"/>
          <w:lang w:val="en-US" w:eastAsia="zh-CN"/>
        </w:rPr>
        <w:t>8</w:t>
      </w:r>
      <w:r>
        <w:rPr>
          <w:rFonts w:hint="default" w:ascii="Times New Roman" w:hAnsi="Times New Roman" w:cs="Times New Roman"/>
          <w:color w:val="auto"/>
        </w:rPr>
        <w:t>.</w:t>
      </w:r>
      <w:r>
        <w:rPr>
          <w:rFonts w:hint="eastAsia" w:cs="Times New Roman"/>
          <w:color w:val="auto"/>
          <w:lang w:val="en-US" w:eastAsia="zh-CN"/>
        </w:rPr>
        <w:t>3</w:t>
      </w:r>
      <w:r>
        <w:rPr>
          <w:rFonts w:hint="default" w:ascii="Times New Roman" w:hAnsi="Times New Roman" w:cs="Times New Roman"/>
          <w:color w:val="auto"/>
        </w:rPr>
        <w:t>.</w:t>
      </w:r>
      <w:r>
        <w:rPr>
          <w:rFonts w:hint="default" w:ascii="Times New Roman" w:hAnsi="Times New Roman" w:cs="Times New Roman"/>
          <w:color w:val="auto"/>
          <w:lang w:val="en-US" w:eastAsia="zh-CN"/>
        </w:rPr>
        <w:t>5黄花倒水莲</w:t>
      </w:r>
    </w:p>
    <w:p w14:paraId="1D7F414B">
      <w:pPr>
        <w:widowControl/>
        <w:shd w:val="clear" w:color="auto" w:fill="FFFFFF"/>
        <w:ind w:firstLine="420" w:firstLineChars="200"/>
        <w:rPr>
          <w:rFonts w:hint="default" w:ascii="Times New Roman" w:hAnsi="Times New Roman" w:cs="Times New Roman"/>
          <w:color w:val="auto"/>
        </w:rPr>
      </w:pPr>
      <w:r>
        <w:rPr>
          <w:rFonts w:hint="default" w:ascii="Times New Roman" w:hAnsi="Times New Roman" w:cs="Times New Roman"/>
          <w:color w:val="auto"/>
        </w:rPr>
        <w:t>栽植后前2年宜于春季和初夏各追肥1次，每株施腐熟有机肥0.5 kg～1.0 kg；</w:t>
      </w:r>
      <w:r>
        <w:rPr>
          <w:rFonts w:hint="eastAsia" w:cs="Times New Roman"/>
          <w:color w:val="auto"/>
          <w:lang w:val="en-US" w:eastAsia="zh-CN"/>
        </w:rPr>
        <w:t>栽植</w:t>
      </w:r>
      <w:r>
        <w:rPr>
          <w:rFonts w:hint="default" w:ascii="Times New Roman" w:hAnsi="Times New Roman" w:cs="Times New Roman"/>
          <w:color w:val="auto"/>
        </w:rPr>
        <w:t>第3年起宜于冬季每株</w:t>
      </w:r>
      <w:r>
        <w:rPr>
          <w:rFonts w:hint="eastAsia" w:cs="Times New Roman"/>
          <w:color w:val="auto"/>
          <w:lang w:val="en-US" w:eastAsia="zh-CN"/>
        </w:rPr>
        <w:t>开</w:t>
      </w:r>
      <w:r>
        <w:rPr>
          <w:rFonts w:hint="default" w:ascii="Times New Roman" w:hAnsi="Times New Roman" w:cs="Times New Roman"/>
          <w:color w:val="auto"/>
        </w:rPr>
        <w:t>沟施腐熟有机肥2 kg～3 kg。</w:t>
      </w:r>
    </w:p>
    <w:p w14:paraId="01E23F9A">
      <w:pPr>
        <w:pStyle w:val="40"/>
        <w:rPr>
          <w:rFonts w:hint="default" w:ascii="Times New Roman" w:hAnsi="Times New Roman" w:cs="Times New Roman"/>
          <w:color w:val="auto"/>
        </w:rPr>
      </w:pPr>
      <w:bookmarkStart w:id="33" w:name="_Toc81579841"/>
      <w:r>
        <w:rPr>
          <w:rFonts w:hint="default" w:ascii="Times New Roman" w:hAnsi="Times New Roman" w:cs="Times New Roman"/>
          <w:color w:val="auto"/>
          <w:lang w:val="en-US" w:eastAsia="zh-CN"/>
        </w:rPr>
        <w:t>杂</w:t>
      </w:r>
      <w:r>
        <w:rPr>
          <w:rFonts w:hint="default" w:ascii="Times New Roman" w:hAnsi="Times New Roman" w:cs="Times New Roman"/>
          <w:color w:val="auto"/>
        </w:rPr>
        <w:t>草</w:t>
      </w:r>
      <w:bookmarkEnd w:id="33"/>
      <w:r>
        <w:rPr>
          <w:rFonts w:hint="default" w:ascii="Times New Roman" w:hAnsi="Times New Roman" w:cs="Times New Roman"/>
          <w:color w:val="auto"/>
          <w:lang w:val="en-US" w:eastAsia="zh-CN"/>
        </w:rPr>
        <w:t>管理</w:t>
      </w:r>
    </w:p>
    <w:p w14:paraId="5866711C">
      <w:pPr>
        <w:widowControl/>
        <w:ind w:firstLine="420" w:firstLineChars="200"/>
        <w:jc w:val="left"/>
        <w:rPr>
          <w:rFonts w:hint="default" w:ascii="Times New Roman" w:hAnsi="Times New Roman" w:cs="Times New Roman"/>
          <w:color w:val="auto"/>
        </w:rPr>
      </w:pPr>
      <w:r>
        <w:rPr>
          <w:rFonts w:hint="default" w:ascii="Times New Roman" w:hAnsi="Times New Roman" w:cs="Times New Roman"/>
          <w:color w:val="auto"/>
        </w:rPr>
        <w:t>应采用人工拔除、浅锄、覆盖或</w:t>
      </w:r>
      <w:r>
        <w:rPr>
          <w:rFonts w:hint="eastAsia" w:cs="Times New Roman"/>
          <w:color w:val="auto"/>
          <w:lang w:val="en-US" w:eastAsia="zh-CN"/>
        </w:rPr>
        <w:t>机械</w:t>
      </w:r>
      <w:r>
        <w:rPr>
          <w:rFonts w:hint="default" w:ascii="Times New Roman" w:hAnsi="Times New Roman" w:cs="Times New Roman"/>
          <w:color w:val="auto"/>
        </w:rPr>
        <w:t>割草</w:t>
      </w:r>
      <w:r>
        <w:rPr>
          <w:rFonts w:hint="eastAsia" w:cs="Times New Roman"/>
          <w:color w:val="auto"/>
          <w:lang w:val="en-US" w:eastAsia="zh-CN"/>
        </w:rPr>
        <w:t>等方式</w:t>
      </w:r>
      <w:r>
        <w:rPr>
          <w:rFonts w:hint="default" w:ascii="Times New Roman" w:hAnsi="Times New Roman" w:cs="Times New Roman"/>
          <w:color w:val="auto"/>
        </w:rPr>
        <w:t>控草。根系分布浅的作物</w:t>
      </w:r>
      <w:r>
        <w:rPr>
          <w:rFonts w:hint="eastAsia" w:cs="Times New Roman"/>
          <w:color w:val="auto"/>
          <w:lang w:val="en-US" w:eastAsia="zh-CN"/>
        </w:rPr>
        <w:t>根际</w:t>
      </w:r>
      <w:r>
        <w:rPr>
          <w:rFonts w:hint="default" w:ascii="Times New Roman" w:hAnsi="Times New Roman" w:cs="Times New Roman"/>
          <w:color w:val="auto"/>
        </w:rPr>
        <w:t>周围不应深锄；杉木树干基部和坡面应保留适量低矮植被。药材生产区不</w:t>
      </w:r>
      <w:r>
        <w:rPr>
          <w:rFonts w:hint="eastAsia" w:cs="Times New Roman"/>
          <w:color w:val="auto"/>
          <w:lang w:val="en-US" w:eastAsia="zh-CN"/>
        </w:rPr>
        <w:t>应</w:t>
      </w:r>
      <w:r>
        <w:rPr>
          <w:rFonts w:hint="default" w:ascii="Times New Roman" w:hAnsi="Times New Roman" w:cs="Times New Roman"/>
          <w:color w:val="auto"/>
        </w:rPr>
        <w:t>使用化学除草剂。</w:t>
      </w:r>
    </w:p>
    <w:p w14:paraId="227FEBCA">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植株管理</w:t>
      </w:r>
    </w:p>
    <w:p w14:paraId="3E3298BA">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a)　玉竹出苗后及时破除板结</w:t>
      </w:r>
      <w:r>
        <w:rPr>
          <w:rFonts w:hint="eastAsia" w:ascii="Times New Roman" w:cs="Times New Roman"/>
          <w:color w:val="auto"/>
          <w:lang w:val="en-US" w:eastAsia="zh-CN"/>
        </w:rPr>
        <w:t>并</w:t>
      </w:r>
      <w:r>
        <w:rPr>
          <w:rFonts w:hint="default" w:ascii="Times New Roman" w:hAnsi="Times New Roman" w:cs="Times New Roman"/>
          <w:color w:val="auto"/>
          <w:lang w:val="en-US" w:eastAsia="zh-CN"/>
        </w:rPr>
        <w:t>补充覆盖物，倒伏植株可适当培土；</w:t>
      </w:r>
    </w:p>
    <w:p w14:paraId="7FAC41E3">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b)　射干以根状茎为产品时，宜在抽薹初期摘除花薹；</w:t>
      </w:r>
    </w:p>
    <w:p w14:paraId="231A7D1F">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　草珊瑚采收后应保留5 cm～10 cm茬口，清除枯弱枝并培土；</w:t>
      </w:r>
    </w:p>
    <w:p w14:paraId="41EF91B4">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d)　黄花倒水莲幼树期应培育1个～3个健壮主枝，及时去除基部萌蘖和交叉弱枝。</w:t>
      </w:r>
    </w:p>
    <w:p w14:paraId="2C422304">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防灾管理</w:t>
      </w:r>
    </w:p>
    <w:p w14:paraId="28DB5815">
      <w:pPr>
        <w:pStyle w:val="21"/>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台风、暴雨、持续高温或低温冻害发生前后，应检查排灌设施、覆盖物和苗木支撑，及时扶正、培土、排水、补水并清除受害组织。</w:t>
      </w:r>
    </w:p>
    <w:p w14:paraId="22F0E6A2">
      <w:pPr>
        <w:pStyle w:val="43"/>
        <w:ind w:left="0"/>
        <w:rPr>
          <w:rFonts w:hint="default" w:ascii="Times New Roman" w:hAnsi="Times New Roman" w:cs="Times New Roman"/>
          <w:color w:val="auto"/>
        </w:rPr>
      </w:pPr>
      <w:bookmarkStart w:id="34" w:name="_Toc81579842"/>
      <w:r>
        <w:rPr>
          <w:rFonts w:hint="default" w:ascii="Times New Roman" w:hAnsi="Times New Roman" w:cs="Times New Roman"/>
          <w:color w:val="auto"/>
        </w:rPr>
        <w:t>病虫害防治</w:t>
      </w:r>
      <w:bookmarkEnd w:id="34"/>
    </w:p>
    <w:p w14:paraId="41417959">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防治原则</w:t>
      </w:r>
    </w:p>
    <w:p w14:paraId="6B06B90A">
      <w:pPr>
        <w:pStyle w:val="21"/>
        <w:rPr>
          <w:rFonts w:hint="default" w:ascii="Times New Roman" w:hAnsi="Times New Roman" w:cs="Times New Roman"/>
          <w:color w:val="auto"/>
          <w:szCs w:val="21"/>
        </w:rPr>
      </w:pPr>
      <w:r>
        <w:rPr>
          <w:rFonts w:hint="eastAsia" w:ascii="Times New Roman" w:cs="Times New Roman"/>
          <w:color w:val="auto"/>
          <w:lang w:val="en-US" w:eastAsia="zh-CN"/>
        </w:rPr>
        <w:t>坚持“</w:t>
      </w:r>
      <w:r>
        <w:rPr>
          <w:rFonts w:hint="default" w:ascii="Times New Roman" w:hAnsi="Times New Roman" w:cs="Times New Roman"/>
          <w:color w:val="auto"/>
        </w:rPr>
        <w:t>预防为主、综合防治</w:t>
      </w:r>
      <w:r>
        <w:rPr>
          <w:rFonts w:hint="eastAsia" w:ascii="Times New Roman" w:cs="Times New Roman"/>
          <w:color w:val="auto"/>
          <w:lang w:val="en-US" w:eastAsia="zh-CN"/>
        </w:rPr>
        <w:t>”</w:t>
      </w:r>
      <w:r>
        <w:rPr>
          <w:rFonts w:hint="default" w:ascii="Times New Roman" w:hAnsi="Times New Roman" w:cs="Times New Roman"/>
          <w:color w:val="auto"/>
        </w:rPr>
        <w:t>的方针，优先采用农业防治、物理防治和生物防治，减少化学农药使用。主要病虫害及绿色防控措施见附</w:t>
      </w:r>
      <w:r>
        <w:rPr>
          <w:rFonts w:hint="eastAsia" w:ascii="Times New Roman" w:cs="Times New Roman"/>
          <w:color w:val="auto"/>
          <w:lang w:val="en-US" w:eastAsia="zh-CN"/>
        </w:rPr>
        <w:t>录B</w:t>
      </w:r>
      <w:r>
        <w:rPr>
          <w:rFonts w:hint="default" w:ascii="Times New Roman" w:hAnsi="Times New Roman" w:cs="Times New Roman"/>
          <w:color w:val="auto"/>
        </w:rPr>
        <w:t>。</w:t>
      </w:r>
    </w:p>
    <w:p w14:paraId="3D5B37B7">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农业防治</w:t>
      </w:r>
    </w:p>
    <w:p w14:paraId="659C1241">
      <w:pPr>
        <w:widowControl/>
        <w:ind w:firstLine="420" w:firstLineChars="200"/>
        <w:jc w:val="left"/>
        <w:rPr>
          <w:rFonts w:hint="default" w:ascii="Times New Roman" w:hAnsi="Times New Roman" w:cs="Times New Roman"/>
          <w:color w:val="auto"/>
        </w:rPr>
      </w:pPr>
      <w:r>
        <w:rPr>
          <w:rFonts w:hint="default" w:ascii="Times New Roman" w:hAnsi="Times New Roman" w:cs="Times New Roman"/>
          <w:color w:val="auto"/>
        </w:rPr>
        <w:t>a)　选用健康繁殖材料，栽植前剔除病、伤、腐烂种茎和苗木；</w:t>
      </w:r>
    </w:p>
    <w:p w14:paraId="5AA3F9F5">
      <w:pPr>
        <w:widowControl/>
        <w:ind w:firstLine="420" w:firstLineChars="200"/>
        <w:jc w:val="left"/>
        <w:rPr>
          <w:rFonts w:hint="default" w:ascii="Times New Roman" w:hAnsi="Times New Roman" w:cs="Times New Roman"/>
          <w:color w:val="auto"/>
        </w:rPr>
      </w:pPr>
      <w:r>
        <w:rPr>
          <w:rFonts w:hint="default" w:ascii="Times New Roman" w:hAnsi="Times New Roman" w:cs="Times New Roman"/>
          <w:color w:val="auto"/>
        </w:rPr>
        <w:t>b)　控制种植密度和郁闭度，保持通风透光；</w:t>
      </w:r>
    </w:p>
    <w:p w14:paraId="53DD8F84">
      <w:pPr>
        <w:widowControl/>
        <w:ind w:firstLine="420" w:firstLineChars="200"/>
        <w:jc w:val="left"/>
        <w:rPr>
          <w:rFonts w:hint="default" w:ascii="Times New Roman" w:hAnsi="Times New Roman" w:cs="Times New Roman"/>
          <w:color w:val="auto"/>
        </w:rPr>
      </w:pPr>
      <w:r>
        <w:rPr>
          <w:rFonts w:hint="default" w:ascii="Times New Roman" w:hAnsi="Times New Roman" w:cs="Times New Roman"/>
          <w:color w:val="auto"/>
        </w:rPr>
        <w:t>c)　雨季及时排水，避免偏施氮肥；</w:t>
      </w:r>
    </w:p>
    <w:p w14:paraId="164C712B">
      <w:pPr>
        <w:widowControl/>
        <w:ind w:firstLine="420" w:firstLineChars="200"/>
        <w:jc w:val="left"/>
        <w:rPr>
          <w:rFonts w:hint="default" w:ascii="Times New Roman" w:hAnsi="Times New Roman" w:cs="Times New Roman"/>
          <w:color w:val="auto"/>
        </w:rPr>
      </w:pPr>
      <w:r>
        <w:rPr>
          <w:rFonts w:hint="default" w:ascii="Times New Roman" w:hAnsi="Times New Roman" w:cs="Times New Roman"/>
          <w:color w:val="auto"/>
        </w:rPr>
        <w:t>d)　发现病株及时拔除，病穴及工具进行消毒处理；</w:t>
      </w:r>
    </w:p>
    <w:p w14:paraId="37965381">
      <w:pPr>
        <w:widowControl/>
        <w:ind w:firstLine="420" w:firstLineChars="200"/>
        <w:jc w:val="left"/>
        <w:rPr>
          <w:rFonts w:hint="default" w:ascii="Times New Roman" w:hAnsi="Times New Roman" w:cs="Times New Roman"/>
          <w:color w:val="auto"/>
        </w:rPr>
      </w:pPr>
      <w:r>
        <w:rPr>
          <w:rFonts w:hint="default" w:ascii="Times New Roman" w:hAnsi="Times New Roman" w:cs="Times New Roman"/>
          <w:color w:val="auto"/>
        </w:rPr>
        <w:t>e)　执行轮作回归间隔，前茬残体不应未经腐熟直接还田。</w:t>
      </w:r>
    </w:p>
    <w:p w14:paraId="36EA9433">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物理和生物防治</w:t>
      </w:r>
    </w:p>
    <w:p w14:paraId="49BEBD69">
      <w:pPr>
        <w:widowControl/>
        <w:ind w:firstLine="420" w:firstLineChars="20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可采用诱虫灯、色板、性诱剂、食诱剂、人工捕捉、草木灰阻隔以及保护和利用天敌等措施。适宜时可使用登记许可的微生物农药、植物源农药或生物菌剂。</w:t>
      </w:r>
    </w:p>
    <w:p w14:paraId="53E10BDA">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化学防治</w:t>
      </w:r>
    </w:p>
    <w:p w14:paraId="7E4807F5">
      <w:pPr>
        <w:widowControl/>
        <w:ind w:firstLine="420" w:firstLineChars="20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确需使用化学农药时，应选用在相应作物或相近登记范围内允许使用的低风险农药，严格按照标签规定的剂量、次数、安全间隔期和施用方法使用。化学农药的使用应符合GB/T 8321（所有部分）和NY/T 1276的规定。不</w:t>
      </w:r>
      <w:r>
        <w:rPr>
          <w:rFonts w:hint="eastAsia" w:cs="Times New Roman"/>
          <w:color w:val="auto"/>
          <w:lang w:val="en-US" w:eastAsia="zh-CN"/>
        </w:rPr>
        <w:t>应</w:t>
      </w:r>
      <w:r>
        <w:rPr>
          <w:rFonts w:hint="default" w:ascii="Times New Roman" w:hAnsi="Times New Roman" w:cs="Times New Roman"/>
          <w:color w:val="auto"/>
          <w:lang w:val="en-US" w:eastAsia="zh-CN"/>
        </w:rPr>
        <w:t>使用国家明令禁止或在中药材上限制使用的农药，不</w:t>
      </w:r>
      <w:r>
        <w:rPr>
          <w:rFonts w:hint="eastAsia" w:cs="Times New Roman"/>
          <w:color w:val="auto"/>
          <w:lang w:val="en-US" w:eastAsia="zh-CN"/>
        </w:rPr>
        <w:t>应</w:t>
      </w:r>
      <w:r>
        <w:rPr>
          <w:rFonts w:hint="default" w:ascii="Times New Roman" w:hAnsi="Times New Roman" w:cs="Times New Roman"/>
          <w:color w:val="auto"/>
          <w:lang w:val="en-US" w:eastAsia="zh-CN"/>
        </w:rPr>
        <w:t>使用未登记用途的农药。</w:t>
      </w:r>
    </w:p>
    <w:p w14:paraId="5EEF4FDA">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用药记录</w:t>
      </w:r>
    </w:p>
    <w:p w14:paraId="4A9C36EC">
      <w:pPr>
        <w:widowControl/>
        <w:ind w:firstLine="420" w:firstLineChars="20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农药名称、有效成分、登记证号、生产企业、施用对象、用量、时间、方法、施用人和安全间隔期等应如实记录。</w:t>
      </w:r>
    </w:p>
    <w:p w14:paraId="54BB4107">
      <w:pPr>
        <w:pStyle w:val="43"/>
        <w:ind w:left="0"/>
        <w:rPr>
          <w:rFonts w:hint="default" w:ascii="Times New Roman" w:hAnsi="Times New Roman" w:cs="Times New Roman"/>
          <w:color w:val="auto"/>
        </w:rPr>
      </w:pPr>
      <w:bookmarkStart w:id="35" w:name="_Toc81579848"/>
      <w:r>
        <w:rPr>
          <w:rFonts w:hint="default" w:ascii="Times New Roman" w:hAnsi="Times New Roman" w:cs="Times New Roman"/>
          <w:color w:val="auto"/>
        </w:rPr>
        <w:t>采收</w:t>
      </w:r>
      <w:bookmarkEnd w:id="35"/>
    </w:p>
    <w:p w14:paraId="229C0AB4">
      <w:pPr>
        <w:pStyle w:val="21"/>
        <w:rPr>
          <w:rFonts w:hint="default" w:ascii="Times New Roman" w:hAnsi="Times New Roman" w:cs="Times New Roman"/>
          <w:color w:val="auto"/>
        </w:rPr>
      </w:pPr>
      <w:r>
        <w:rPr>
          <w:rFonts w:hint="default" w:ascii="Times New Roman" w:hAnsi="Times New Roman" w:cs="Times New Roman"/>
          <w:color w:val="auto"/>
        </w:rPr>
        <w:t>应根据药用部位、成熟度、天气和购销要求适时采收。采收工具、容器和场地应清洁，不同品种、不同地块、不同采收批次应分别标识。病变、霉烂和混杂物应及时剔除。</w:t>
      </w:r>
    </w:p>
    <w:p w14:paraId="305DF959">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玉竹</w:t>
      </w:r>
    </w:p>
    <w:p w14:paraId="5553FA25">
      <w:pPr>
        <w:ind w:firstLine="420" w:firstLineChars="200"/>
        <w:rPr>
          <w:rFonts w:hint="default" w:ascii="Times New Roman" w:hAnsi="Times New Roman" w:cs="Times New Roman"/>
          <w:color w:val="auto"/>
        </w:rPr>
      </w:pPr>
      <w:r>
        <w:rPr>
          <w:rFonts w:hint="default" w:ascii="Times New Roman" w:hAnsi="Times New Roman" w:cs="Times New Roman"/>
          <w:color w:val="auto"/>
        </w:rPr>
        <w:t>栽植2年～3年后，宜于秋季地上部分枯萎后采挖根茎。采挖时</w:t>
      </w:r>
      <w:r>
        <w:rPr>
          <w:rFonts w:hint="eastAsia" w:cs="Times New Roman"/>
          <w:color w:val="auto"/>
          <w:lang w:val="en-US" w:eastAsia="zh-CN"/>
        </w:rPr>
        <w:t>应</w:t>
      </w:r>
      <w:r>
        <w:rPr>
          <w:rFonts w:hint="default" w:ascii="Times New Roman" w:hAnsi="Times New Roman" w:cs="Times New Roman"/>
          <w:color w:val="auto"/>
        </w:rPr>
        <w:t>减少机械损伤，去除泥土、须根和非药用部位，并按产品要求进行清洗、蒸制或干燥。采收和初加工可参照DB43/T 2022—2021执行。</w:t>
      </w:r>
    </w:p>
    <w:p w14:paraId="687CFA78">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射干</w:t>
      </w:r>
    </w:p>
    <w:p w14:paraId="33E63268">
      <w:pPr>
        <w:pStyle w:val="139"/>
        <w:jc w:val="both"/>
        <w:rPr>
          <w:rFonts w:hint="default" w:ascii="Times New Roman" w:hAnsi="Times New Roman" w:eastAsia="Noto Serif CJK SC" w:cs="Times New Roman"/>
          <w:color w:val="auto"/>
          <w:sz w:val="21"/>
        </w:rPr>
      </w:pPr>
      <w:r>
        <w:rPr>
          <w:rFonts w:hint="default" w:ascii="Times New Roman" w:hAnsi="Times New Roman" w:eastAsia="Noto Serif CJK SC" w:cs="Times New Roman"/>
          <w:color w:val="auto"/>
          <w:sz w:val="21"/>
        </w:rPr>
        <w:t>根状茎繁殖的射干宜栽植1年～2年后采收。宜在秋季地上部分枯萎后或春季萌芽前采挖，去除茎叶、须根和泥沙后，</w:t>
      </w:r>
      <w:r>
        <w:rPr>
          <w:rFonts w:hint="eastAsia" w:ascii="Times New Roman" w:hAnsi="Times New Roman" w:eastAsia="宋体" w:cs="Times New Roman"/>
          <w:color w:val="auto"/>
          <w:sz w:val="21"/>
          <w:lang w:val="en-US" w:eastAsia="zh-CN"/>
        </w:rPr>
        <w:t>切片，</w:t>
      </w:r>
      <w:r>
        <w:rPr>
          <w:rFonts w:hint="default" w:ascii="Times New Roman" w:hAnsi="Times New Roman" w:eastAsia="Noto Serif CJK SC" w:cs="Times New Roman"/>
          <w:color w:val="auto"/>
          <w:sz w:val="21"/>
        </w:rPr>
        <w:t>阴干或在</w:t>
      </w:r>
      <w:r>
        <w:rPr>
          <w:rFonts w:hint="eastAsia" w:ascii="Times New Roman" w:hAnsi="Times New Roman" w:eastAsia="宋体" w:cs="Times New Roman"/>
          <w:color w:val="auto"/>
          <w:sz w:val="21"/>
          <w:lang w:val="en-US" w:eastAsia="zh-CN"/>
        </w:rPr>
        <w:t>温度</w:t>
      </w:r>
      <w:r>
        <w:rPr>
          <w:rFonts w:hint="default" w:ascii="Times New Roman" w:hAnsi="Times New Roman" w:eastAsia="Noto Serif CJK SC" w:cs="Times New Roman"/>
          <w:color w:val="auto"/>
          <w:sz w:val="21"/>
        </w:rPr>
        <w:t>不高于60℃条件下干燥。采收技术应符合DB11/T 2283—2024的规定。</w:t>
      </w:r>
    </w:p>
    <w:p w14:paraId="5DCEA71E">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草珊瑚</w:t>
      </w:r>
    </w:p>
    <w:p w14:paraId="609399D4">
      <w:pPr>
        <w:pStyle w:val="139"/>
        <w:jc w:val="both"/>
        <w:rPr>
          <w:rFonts w:hint="default" w:ascii="Times New Roman" w:hAnsi="Times New Roman" w:eastAsia="Noto Serif CJK SC" w:cs="Times New Roman"/>
          <w:color w:val="auto"/>
          <w:sz w:val="21"/>
          <w:lang w:val="en-US" w:eastAsia="zh-CN"/>
        </w:rPr>
      </w:pPr>
      <w:r>
        <w:rPr>
          <w:rFonts w:hint="default" w:ascii="Times New Roman" w:hAnsi="Times New Roman" w:eastAsia="Noto Serif CJK SC" w:cs="Times New Roman"/>
          <w:color w:val="auto"/>
          <w:sz w:val="21"/>
          <w:lang w:val="en-US" w:eastAsia="zh-CN"/>
        </w:rPr>
        <w:t>栽植第2年起可在秋冬季采收地上部分，宜在离地面5 cm～10 cm处割取</w:t>
      </w:r>
      <w:r>
        <w:rPr>
          <w:rFonts w:hint="eastAsia" w:ascii="Times New Roman" w:hAnsi="Times New Roman" w:cs="Times New Roman"/>
          <w:color w:val="auto"/>
          <w:sz w:val="21"/>
          <w:lang w:val="en-US" w:eastAsia="zh-CN"/>
        </w:rPr>
        <w:t>，</w:t>
      </w:r>
      <w:r>
        <w:rPr>
          <w:rFonts w:hint="default" w:ascii="Times New Roman" w:hAnsi="Times New Roman" w:cs="Times New Roman"/>
          <w:color w:val="auto"/>
          <w:lang w:val="en-US" w:eastAsia="zh-CN"/>
        </w:rPr>
        <w:t>每丛选留2～3个健壮枝条（或种株）</w:t>
      </w:r>
      <w:r>
        <w:rPr>
          <w:rFonts w:hint="eastAsia" w:ascii="Times New Roman" w:hAnsi="Times New Roman" w:cs="Times New Roman"/>
          <w:color w:val="auto"/>
          <w:lang w:val="en-US" w:eastAsia="zh-CN"/>
        </w:rPr>
        <w:t>，其余枝条齐地或按茬口高度采收。采收后适当培土覆盖根系，促进休眠芽萌发和新生枝条生长</w:t>
      </w:r>
      <w:r>
        <w:rPr>
          <w:rFonts w:hint="default" w:ascii="Times New Roman" w:hAnsi="Times New Roman" w:eastAsia="Noto Serif CJK SC" w:cs="Times New Roman"/>
          <w:color w:val="auto"/>
          <w:sz w:val="21"/>
          <w:lang w:val="en-US" w:eastAsia="zh-CN"/>
        </w:rPr>
        <w:t>。轮作结束、需要转换茬口时，应在末次采收后清除老根和病残体。鲜用产品应及时运输，干品应在清洁通风条件下干燥。采收技术应符合DB11/T 2283—2024的规定。</w:t>
      </w:r>
    </w:p>
    <w:p w14:paraId="7F26A125">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黄花倒水莲</w:t>
      </w:r>
    </w:p>
    <w:p w14:paraId="0E37EC0B">
      <w:pPr>
        <w:pStyle w:val="139"/>
        <w:jc w:val="both"/>
        <w:rPr>
          <w:rFonts w:hint="default" w:ascii="Times New Roman" w:hAnsi="Times New Roman" w:eastAsia="Noto Serif CJK SC" w:cs="Times New Roman"/>
          <w:color w:val="auto"/>
          <w:sz w:val="21"/>
          <w:lang w:val="en-US" w:eastAsia="zh-CN"/>
        </w:rPr>
      </w:pPr>
      <w:r>
        <w:rPr>
          <w:rFonts w:hint="default" w:ascii="Times New Roman" w:hAnsi="Times New Roman" w:eastAsia="Noto Serif CJK SC" w:cs="Times New Roman"/>
          <w:color w:val="auto"/>
          <w:sz w:val="21"/>
          <w:lang w:val="en-US" w:eastAsia="zh-CN"/>
        </w:rPr>
        <w:t>以根为主要产品时，宜栽植3年以上，于秋冬季植株生长缓慢期采挖；以茎叶为产品时，可根据</w:t>
      </w:r>
      <w:r>
        <w:rPr>
          <w:rFonts w:hint="eastAsia" w:ascii="Times New Roman" w:hAnsi="Times New Roman" w:cs="Times New Roman"/>
          <w:color w:val="auto"/>
          <w:sz w:val="21"/>
          <w:lang w:val="en-US" w:eastAsia="zh-CN"/>
        </w:rPr>
        <w:t>加工</w:t>
      </w:r>
      <w:r>
        <w:rPr>
          <w:rFonts w:hint="default" w:ascii="Times New Roman" w:hAnsi="Times New Roman" w:eastAsia="Noto Serif CJK SC" w:cs="Times New Roman"/>
          <w:color w:val="auto"/>
          <w:sz w:val="21"/>
          <w:lang w:val="en-US" w:eastAsia="zh-CN"/>
        </w:rPr>
        <w:t>要求分批采收。采收和初加工宜符合DB45/T 2540—2022的规定。轮作转换时应清除残根，避免萌蘖形成下一茬杂株。</w:t>
      </w:r>
    </w:p>
    <w:p w14:paraId="0DCD27AB">
      <w:pPr>
        <w:pStyle w:val="4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贮存</w:t>
      </w:r>
    </w:p>
    <w:p w14:paraId="10042DF0">
      <w:pPr>
        <w:pStyle w:val="139"/>
        <w:jc w:val="both"/>
        <w:rPr>
          <w:rFonts w:hint="default" w:ascii="Times New Roman" w:hAnsi="Times New Roman" w:eastAsia="Noto Serif CJK SC" w:cs="Times New Roman"/>
          <w:color w:val="auto"/>
          <w:sz w:val="21"/>
          <w:lang w:val="en-US" w:eastAsia="zh-CN"/>
        </w:rPr>
      </w:pPr>
      <w:r>
        <w:rPr>
          <w:rFonts w:hint="default" w:ascii="Times New Roman" w:hAnsi="Times New Roman" w:eastAsia="Noto Serif CJK SC" w:cs="Times New Roman"/>
          <w:color w:val="auto"/>
          <w:sz w:val="21"/>
          <w:lang w:val="en-US" w:eastAsia="zh-CN"/>
        </w:rPr>
        <w:t>干燥产品应达到安全水分后分级包装，置于清洁、阴凉、干燥、通风、防虫、防鼠的场所贮存。不</w:t>
      </w:r>
      <w:r>
        <w:rPr>
          <w:rFonts w:hint="eastAsia" w:ascii="Times New Roman" w:hAnsi="Times New Roman" w:cs="Times New Roman"/>
          <w:color w:val="auto"/>
          <w:sz w:val="21"/>
          <w:lang w:val="en-US" w:eastAsia="zh-CN"/>
        </w:rPr>
        <w:t>应</w:t>
      </w:r>
      <w:r>
        <w:rPr>
          <w:rFonts w:hint="default" w:ascii="Times New Roman" w:hAnsi="Times New Roman" w:eastAsia="Noto Serif CJK SC" w:cs="Times New Roman"/>
          <w:color w:val="auto"/>
          <w:sz w:val="21"/>
          <w:lang w:val="en-US" w:eastAsia="zh-CN"/>
        </w:rPr>
        <w:t>与有毒、有异味或易污染物品混放。</w:t>
      </w:r>
    </w:p>
    <w:p w14:paraId="391C1A11">
      <w:pPr>
        <w:pStyle w:val="43"/>
        <w:ind w:left="0"/>
        <w:rPr>
          <w:rFonts w:hint="default" w:ascii="Times New Roman" w:hAnsi="Times New Roman" w:cs="Times New Roman"/>
          <w:color w:val="auto"/>
        </w:rPr>
      </w:pPr>
      <w:bookmarkStart w:id="36" w:name="_Toc81579851"/>
      <w:r>
        <w:rPr>
          <w:rFonts w:hint="default" w:ascii="Times New Roman" w:hAnsi="Times New Roman" w:cs="Times New Roman"/>
          <w:color w:val="auto"/>
        </w:rPr>
        <w:t>档案管理</w:t>
      </w:r>
      <w:bookmarkEnd w:id="36"/>
    </w:p>
    <w:p w14:paraId="586DAA96">
      <w:pPr>
        <w:keepNext w:val="0"/>
        <w:keepLines w:val="0"/>
        <w:pageBreakBefore w:val="0"/>
        <w:widowControl/>
        <w:kinsoku/>
        <w:wordWrap/>
        <w:overflowPunct/>
        <w:topLinePunct w:val="0"/>
        <w:autoSpaceDE/>
        <w:autoSpaceDN/>
        <w:bidi w:val="0"/>
        <w:adjustRightInd w:val="0"/>
        <w:snapToGrid w:val="0"/>
        <w:ind w:firstLine="525" w:firstLineChars="250"/>
        <w:jc w:val="left"/>
        <w:textAlignment w:val="auto"/>
        <w:rPr>
          <w:rFonts w:hint="default" w:ascii="Times New Roman" w:hAnsi="Times New Roman" w:eastAsia="Noto Serif CJK SC" w:cs="Times New Roman"/>
          <w:color w:val="auto"/>
          <w:kern w:val="0"/>
          <w:sz w:val="21"/>
          <w:szCs w:val="22"/>
          <w:lang w:val="en-US" w:eastAsia="zh-CN" w:bidi="ar-SA"/>
        </w:rPr>
      </w:pPr>
      <w:r>
        <w:rPr>
          <w:rFonts w:hint="default" w:ascii="Times New Roman" w:hAnsi="Times New Roman" w:eastAsia="Noto Serif CJK SC" w:cs="Times New Roman"/>
          <w:color w:val="auto"/>
          <w:kern w:val="0"/>
          <w:sz w:val="21"/>
          <w:szCs w:val="22"/>
          <w:lang w:val="en-US" w:eastAsia="zh-CN" w:bidi="ar-SA"/>
        </w:rPr>
        <w:t>应建立轮作单元基础信息、种源与种苗、土壤检测、栽植、施肥、灌溉、除草</w:t>
      </w:r>
      <w:r>
        <w:rPr>
          <w:rFonts w:hint="eastAsia" w:ascii="Times New Roman" w:hAnsi="Times New Roman" w:eastAsia="Noto Serif CJK SC" w:cs="Times New Roman"/>
          <w:color w:val="auto"/>
          <w:kern w:val="0"/>
          <w:sz w:val="21"/>
          <w:szCs w:val="22"/>
          <w:lang w:val="en-US" w:eastAsia="zh-CN" w:bidi="ar-SA"/>
        </w:rPr>
        <w:t>及</w:t>
      </w:r>
      <w:r>
        <w:rPr>
          <w:rFonts w:hint="default" w:ascii="Times New Roman" w:hAnsi="Times New Roman" w:eastAsia="Noto Serif CJK SC" w:cs="Times New Roman"/>
          <w:color w:val="auto"/>
          <w:kern w:val="0"/>
          <w:sz w:val="21"/>
          <w:szCs w:val="22"/>
          <w:lang w:val="en-US" w:eastAsia="zh-CN" w:bidi="ar-SA"/>
        </w:rPr>
        <w:t>病虫害防治、灾害处理、采收、初加工、贮存和轮作转换等全过程记录。应参照《中药材生产质量管理规范》建立文件管理系统，记录表样式见附录C。每一轮作单元和采收批次应设唯一编号，产品包装或交接单据应</w:t>
      </w:r>
      <w:r>
        <w:rPr>
          <w:rFonts w:hint="eastAsia" w:ascii="Times New Roman" w:hAnsi="Times New Roman" w:eastAsia="Noto Serif CJK SC" w:cs="Times New Roman"/>
          <w:color w:val="auto"/>
          <w:kern w:val="0"/>
          <w:sz w:val="21"/>
          <w:szCs w:val="22"/>
          <w:lang w:val="en-US" w:eastAsia="zh-CN" w:bidi="ar-SA"/>
        </w:rPr>
        <w:t>保证</w:t>
      </w:r>
      <w:r>
        <w:rPr>
          <w:rFonts w:hint="default" w:ascii="Times New Roman" w:hAnsi="Times New Roman" w:eastAsia="Noto Serif CJK SC" w:cs="Times New Roman"/>
          <w:color w:val="auto"/>
          <w:kern w:val="0"/>
          <w:sz w:val="21"/>
          <w:szCs w:val="22"/>
          <w:lang w:val="en-US" w:eastAsia="zh-CN" w:bidi="ar-SA"/>
        </w:rPr>
        <w:t>追溯至地块、种源、投入品和采收日期。纸质或电子档案应真实、完整、清晰，保存期限不应少于产品销售后3年；涉及种源、土壤环境质量和轮作周期的基础档案宜保存10年以上。</w:t>
      </w:r>
    </w:p>
    <w:p w14:paraId="7669B7CF">
      <w:pPr>
        <w:widowControl/>
        <w:ind w:firstLine="525" w:firstLineChars="250"/>
        <w:jc w:val="left"/>
        <w:rPr>
          <w:rFonts w:hint="eastAsia" w:ascii="宋体" w:hAnsi="宋体"/>
          <w:color w:val="auto"/>
        </w:rPr>
      </w:pPr>
    </w:p>
    <w:p w14:paraId="1DC7D0E6">
      <w:pPr>
        <w:ind w:firstLine="420" w:firstLineChars="200"/>
        <w:rPr>
          <w:rFonts w:hint="eastAsia" w:ascii="宋体" w:hAnsi="宋体"/>
          <w:color w:val="auto"/>
        </w:rPr>
        <w:sectPr>
          <w:pgSz w:w="11906" w:h="16838"/>
          <w:pgMar w:top="567" w:right="1134" w:bottom="1134" w:left="1418" w:header="1418" w:footer="1134" w:gutter="0"/>
          <w:pgNumType w:start="1"/>
          <w:cols w:space="720" w:num="1"/>
          <w:formProt w:val="0"/>
          <w:docGrid w:type="lines" w:linePitch="312" w:charSpace="0"/>
        </w:sectPr>
      </w:pPr>
    </w:p>
    <w:p w14:paraId="0152F85A">
      <w:pPr>
        <w:keepNext/>
        <w:keepLines/>
        <w:spacing w:before="200"/>
        <w:contextualSpacing/>
        <w:jc w:val="center"/>
        <w:outlineLvl w:val="0"/>
        <w:rPr>
          <w:rFonts w:eastAsia="黑体"/>
          <w:color w:val="auto"/>
          <w:kern w:val="0"/>
          <w:szCs w:val="21"/>
        </w:rPr>
      </w:pPr>
      <w:bookmarkStart w:id="37" w:name="_Toc26543935"/>
      <w:bookmarkStart w:id="38" w:name="_Toc25434647"/>
      <w:r>
        <w:rPr>
          <w:rFonts w:eastAsia="黑体"/>
          <w:color w:val="auto"/>
          <w:kern w:val="0"/>
          <w:szCs w:val="21"/>
        </w:rPr>
        <w:t>附 录 A</w:t>
      </w:r>
      <w:bookmarkEnd w:id="37"/>
      <w:bookmarkEnd w:id="38"/>
    </w:p>
    <w:p w14:paraId="4B971F72">
      <w:pPr>
        <w:jc w:val="center"/>
        <w:rPr>
          <w:rFonts w:eastAsia="黑体"/>
          <w:bCs/>
          <w:color w:val="auto"/>
        </w:rPr>
      </w:pPr>
      <w:r>
        <w:rPr>
          <w:rFonts w:eastAsia="黑体"/>
          <w:bCs/>
          <w:color w:val="auto"/>
        </w:rPr>
        <w:t>（</w:t>
      </w:r>
      <w:r>
        <w:rPr>
          <w:rFonts w:hint="eastAsia" w:eastAsia="黑体"/>
          <w:bCs/>
          <w:color w:val="auto"/>
          <w:lang w:val="en-US" w:eastAsia="zh-CN"/>
        </w:rPr>
        <w:t>资料</w:t>
      </w:r>
      <w:r>
        <w:rPr>
          <w:rFonts w:eastAsia="黑体"/>
          <w:bCs/>
          <w:color w:val="auto"/>
        </w:rPr>
        <w:t>性）</w:t>
      </w:r>
    </w:p>
    <w:p w14:paraId="3E168D30">
      <w:pPr>
        <w:spacing w:after="240"/>
        <w:jc w:val="center"/>
        <w:rPr>
          <w:rFonts w:hint="eastAsia" w:eastAsia="黑体"/>
          <w:bCs/>
          <w:color w:val="auto"/>
          <w:lang w:val="en-US" w:eastAsia="zh-CN"/>
        </w:rPr>
      </w:pPr>
      <w:r>
        <w:rPr>
          <w:rFonts w:hint="eastAsia" w:eastAsia="黑体"/>
          <w:bCs/>
          <w:color w:val="auto"/>
          <w:lang w:val="en-US" w:eastAsia="zh-CN"/>
        </w:rPr>
        <w:t>推荐轮作模式及转换要求</w:t>
      </w:r>
    </w:p>
    <w:p w14:paraId="2E48A640">
      <w:pPr>
        <w:pStyle w:val="140"/>
        <w:keepNext/>
        <w:spacing w:before="80" w:after="40"/>
        <w:jc w:val="center"/>
        <w:rPr>
          <w:rFonts w:hint="eastAsia" w:ascii="Times New Roman" w:hAnsi="Times New Roman" w:eastAsia="Noto Serif CJK SC" w:cs="Times New Roman"/>
          <w:color w:val="auto"/>
          <w:sz w:val="19"/>
          <w:lang w:val="en-US" w:eastAsia="zh-CN"/>
        </w:rPr>
      </w:pPr>
      <w:r>
        <w:rPr>
          <w:rFonts w:hint="eastAsia" w:ascii="Times New Roman" w:hAnsi="Times New Roman" w:eastAsia="Noto Serif CJK SC" w:cs="Times New Roman"/>
          <w:color w:val="auto"/>
          <w:sz w:val="19"/>
          <w:lang w:val="en-US" w:eastAsia="zh-CN"/>
        </w:rPr>
        <w:t>表A.</w:t>
      </w:r>
      <w:r>
        <w:rPr>
          <w:rFonts w:hint="eastAsia" w:ascii="Times New Roman" w:hAnsi="Times New Roman" w:cs="Times New Roman"/>
          <w:color w:val="auto"/>
          <w:sz w:val="19"/>
          <w:lang w:val="en-US" w:eastAsia="zh-CN"/>
        </w:rPr>
        <w:t>1</w:t>
      </w:r>
      <w:r>
        <w:rPr>
          <w:rFonts w:hint="eastAsia" w:ascii="Times New Roman" w:hAnsi="Times New Roman" w:eastAsia="Noto Serif CJK SC" w:cs="Times New Roman"/>
          <w:color w:val="auto"/>
          <w:sz w:val="19"/>
          <w:lang w:val="en-US" w:eastAsia="zh-CN"/>
        </w:rPr>
        <w:t xml:space="preserve"> 轮作转换判定要求</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8"/>
        <w:gridCol w:w="3118"/>
        <w:gridCol w:w="3118"/>
      </w:tblGrid>
      <w:tr w14:paraId="63F08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2608" w:type="dxa"/>
            <w:tcBorders>
              <w:tl2br w:val="nil"/>
            </w:tcBorders>
            <w:shd w:val="clear" w:color="auto" w:fill="FFFFFF"/>
            <w:tcMar>
              <w:top w:w="80" w:type="dxa"/>
              <w:left w:w="100" w:type="dxa"/>
              <w:bottom w:w="80" w:type="dxa"/>
              <w:right w:w="100" w:type="dxa"/>
            </w:tcMar>
            <w:vAlign w:val="center"/>
          </w:tcPr>
          <w:p w14:paraId="374DD640">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检查项目</w:t>
            </w:r>
          </w:p>
        </w:tc>
        <w:tc>
          <w:tcPr>
            <w:tcW w:w="4082" w:type="dxa"/>
            <w:shd w:val="clear" w:color="auto" w:fill="FFFFFF"/>
            <w:tcMar>
              <w:top w:w="80" w:type="dxa"/>
              <w:left w:w="100" w:type="dxa"/>
              <w:bottom w:w="80" w:type="dxa"/>
              <w:right w:w="100" w:type="dxa"/>
            </w:tcMar>
            <w:vAlign w:val="center"/>
          </w:tcPr>
          <w:p w14:paraId="549CDAF3">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可进入下一茬的条件</w:t>
            </w:r>
          </w:p>
        </w:tc>
        <w:tc>
          <w:tcPr>
            <w:tcW w:w="2721" w:type="dxa"/>
            <w:shd w:val="clear" w:color="auto" w:fill="FFFFFF"/>
            <w:tcMar>
              <w:top w:w="80" w:type="dxa"/>
              <w:left w:w="100" w:type="dxa"/>
              <w:bottom w:w="80" w:type="dxa"/>
              <w:right w:w="100" w:type="dxa"/>
            </w:tcMar>
            <w:vAlign w:val="center"/>
          </w:tcPr>
          <w:p w14:paraId="61D139B1">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不符合时的处理</w:t>
            </w:r>
          </w:p>
        </w:tc>
      </w:tr>
      <w:tr w14:paraId="795BA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3118" w:type="dxa"/>
            <w:shd w:val="clear" w:color="auto" w:fill="FFFFFF"/>
            <w:tcMar>
              <w:top w:w="80" w:type="dxa"/>
              <w:left w:w="100" w:type="dxa"/>
              <w:bottom w:w="80" w:type="dxa"/>
              <w:right w:w="100" w:type="dxa"/>
            </w:tcMar>
            <w:vAlign w:val="center"/>
          </w:tcPr>
          <w:p w14:paraId="43346568">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排水设施</w:t>
            </w:r>
          </w:p>
        </w:tc>
        <w:tc>
          <w:tcPr>
            <w:tcW w:w="3118" w:type="dxa"/>
            <w:shd w:val="clear" w:color="auto" w:fill="FFFFFF"/>
            <w:tcMar>
              <w:top w:w="80" w:type="dxa"/>
              <w:left w:w="100" w:type="dxa"/>
              <w:bottom w:w="80" w:type="dxa"/>
              <w:right w:w="100" w:type="dxa"/>
            </w:tcMar>
            <w:vAlign w:val="center"/>
          </w:tcPr>
          <w:p w14:paraId="4CA9EDA0">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沟渠通畅、畦面无长期积水</w:t>
            </w:r>
          </w:p>
        </w:tc>
        <w:tc>
          <w:tcPr>
            <w:tcW w:w="3118" w:type="dxa"/>
            <w:shd w:val="clear" w:color="auto" w:fill="FFFFFF"/>
            <w:tcMar>
              <w:top w:w="80" w:type="dxa"/>
              <w:left w:w="100" w:type="dxa"/>
              <w:bottom w:w="80" w:type="dxa"/>
              <w:right w:w="100" w:type="dxa"/>
            </w:tcMar>
            <w:vAlign w:val="center"/>
          </w:tcPr>
          <w:p w14:paraId="157145E1">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修沟、起垄或调整种植带</w:t>
            </w:r>
          </w:p>
        </w:tc>
      </w:tr>
      <w:tr w14:paraId="7FAD9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3118" w:type="dxa"/>
            <w:shd w:val="clear" w:color="auto" w:fill="FFFFFF"/>
            <w:tcMar>
              <w:top w:w="80" w:type="dxa"/>
              <w:left w:w="100" w:type="dxa"/>
              <w:bottom w:w="80" w:type="dxa"/>
              <w:right w:w="100" w:type="dxa"/>
            </w:tcMar>
            <w:vAlign w:val="center"/>
          </w:tcPr>
          <w:p w14:paraId="58F7D30D">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土壤pH</w:t>
            </w:r>
          </w:p>
        </w:tc>
        <w:tc>
          <w:tcPr>
            <w:tcW w:w="3118" w:type="dxa"/>
            <w:shd w:val="clear" w:color="auto" w:fill="FFFFFF"/>
            <w:tcMar>
              <w:top w:w="80" w:type="dxa"/>
              <w:left w:w="100" w:type="dxa"/>
              <w:bottom w:w="80" w:type="dxa"/>
              <w:right w:w="100" w:type="dxa"/>
            </w:tcMar>
            <w:vAlign w:val="center"/>
          </w:tcPr>
          <w:p w14:paraId="45561E7D">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4.5～7.0，或满足后茬作物要求</w:t>
            </w:r>
          </w:p>
        </w:tc>
        <w:tc>
          <w:tcPr>
            <w:tcW w:w="3118" w:type="dxa"/>
            <w:shd w:val="clear" w:color="auto" w:fill="FFFFFF"/>
            <w:tcMar>
              <w:top w:w="80" w:type="dxa"/>
              <w:left w:w="100" w:type="dxa"/>
              <w:bottom w:w="80" w:type="dxa"/>
              <w:right w:w="100" w:type="dxa"/>
            </w:tcMar>
            <w:vAlign w:val="center"/>
          </w:tcPr>
          <w:p w14:paraId="4F0A1952">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依据检测结果实施酸碱调理</w:t>
            </w:r>
          </w:p>
        </w:tc>
      </w:tr>
      <w:tr w14:paraId="45E75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3118" w:type="dxa"/>
            <w:shd w:val="clear" w:color="auto" w:fill="FFFFFF"/>
            <w:tcMar>
              <w:top w:w="80" w:type="dxa"/>
              <w:left w:w="100" w:type="dxa"/>
              <w:bottom w:w="80" w:type="dxa"/>
              <w:right w:w="100" w:type="dxa"/>
            </w:tcMar>
            <w:vAlign w:val="center"/>
          </w:tcPr>
          <w:p w14:paraId="5FF37DB6">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有机质与养分</w:t>
            </w:r>
          </w:p>
        </w:tc>
        <w:tc>
          <w:tcPr>
            <w:tcW w:w="3118" w:type="dxa"/>
            <w:shd w:val="clear" w:color="auto" w:fill="FFFFFF"/>
            <w:tcMar>
              <w:top w:w="80" w:type="dxa"/>
              <w:left w:w="100" w:type="dxa"/>
              <w:bottom w:w="80" w:type="dxa"/>
              <w:right w:w="100" w:type="dxa"/>
            </w:tcMar>
            <w:vAlign w:val="center"/>
          </w:tcPr>
          <w:p w14:paraId="1F9CE579">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不低于该轮作单元建立时的基准水平，或经施肥方案校正</w:t>
            </w:r>
          </w:p>
        </w:tc>
        <w:tc>
          <w:tcPr>
            <w:tcW w:w="3118" w:type="dxa"/>
            <w:shd w:val="clear" w:color="auto" w:fill="FFFFFF"/>
            <w:tcMar>
              <w:top w:w="80" w:type="dxa"/>
              <w:left w:w="100" w:type="dxa"/>
              <w:bottom w:w="80" w:type="dxa"/>
              <w:right w:w="100" w:type="dxa"/>
            </w:tcMar>
            <w:vAlign w:val="center"/>
          </w:tcPr>
          <w:p w14:paraId="723E1F4B">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施用腐熟有机肥、绿肥或配方肥</w:t>
            </w:r>
          </w:p>
        </w:tc>
      </w:tr>
      <w:tr w14:paraId="61A69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3118" w:type="dxa"/>
            <w:shd w:val="clear" w:color="auto" w:fill="FFFFFF"/>
            <w:tcMar>
              <w:top w:w="80" w:type="dxa"/>
              <w:left w:w="100" w:type="dxa"/>
              <w:bottom w:w="80" w:type="dxa"/>
              <w:right w:w="100" w:type="dxa"/>
            </w:tcMar>
            <w:vAlign w:val="center"/>
          </w:tcPr>
          <w:p w14:paraId="41209C0F">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病残体</w:t>
            </w:r>
          </w:p>
        </w:tc>
        <w:tc>
          <w:tcPr>
            <w:tcW w:w="3118" w:type="dxa"/>
            <w:shd w:val="clear" w:color="auto" w:fill="FFFFFF"/>
            <w:tcMar>
              <w:top w:w="80" w:type="dxa"/>
              <w:left w:w="100" w:type="dxa"/>
              <w:bottom w:w="80" w:type="dxa"/>
              <w:right w:w="100" w:type="dxa"/>
            </w:tcMar>
            <w:vAlign w:val="center"/>
          </w:tcPr>
          <w:p w14:paraId="01FEE741">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地表和土层内无明显病残根茎</w:t>
            </w:r>
          </w:p>
        </w:tc>
        <w:tc>
          <w:tcPr>
            <w:tcW w:w="3118" w:type="dxa"/>
            <w:shd w:val="clear" w:color="auto" w:fill="FFFFFF"/>
            <w:tcMar>
              <w:top w:w="80" w:type="dxa"/>
              <w:left w:w="100" w:type="dxa"/>
              <w:bottom w:w="80" w:type="dxa"/>
              <w:right w:w="100" w:type="dxa"/>
            </w:tcMar>
            <w:vAlign w:val="center"/>
          </w:tcPr>
          <w:p w14:paraId="3AC27794">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人工清除、无害化处理并延长转换期</w:t>
            </w:r>
          </w:p>
        </w:tc>
      </w:tr>
      <w:tr w14:paraId="0CD9A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3118" w:type="dxa"/>
            <w:shd w:val="clear" w:color="auto" w:fill="FFFFFF"/>
            <w:tcMar>
              <w:top w:w="80" w:type="dxa"/>
              <w:left w:w="100" w:type="dxa"/>
              <w:bottom w:w="80" w:type="dxa"/>
              <w:right w:w="100" w:type="dxa"/>
            </w:tcMar>
            <w:vAlign w:val="center"/>
          </w:tcPr>
          <w:p w14:paraId="5D583F62">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土传病虫</w:t>
            </w:r>
          </w:p>
        </w:tc>
        <w:tc>
          <w:tcPr>
            <w:tcW w:w="3118" w:type="dxa"/>
            <w:shd w:val="clear" w:color="auto" w:fill="FFFFFF"/>
            <w:tcMar>
              <w:top w:w="80" w:type="dxa"/>
              <w:left w:w="100" w:type="dxa"/>
              <w:bottom w:w="80" w:type="dxa"/>
              <w:right w:w="100" w:type="dxa"/>
            </w:tcMar>
            <w:vAlign w:val="center"/>
          </w:tcPr>
          <w:p w14:paraId="028C211E">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无明显扩展性病株，监测风险可控</w:t>
            </w:r>
          </w:p>
        </w:tc>
        <w:tc>
          <w:tcPr>
            <w:tcW w:w="3118" w:type="dxa"/>
            <w:shd w:val="clear" w:color="auto" w:fill="FFFFFF"/>
            <w:tcMar>
              <w:top w:w="80" w:type="dxa"/>
              <w:left w:w="100" w:type="dxa"/>
              <w:bottom w:w="80" w:type="dxa"/>
              <w:right w:w="100" w:type="dxa"/>
            </w:tcMar>
            <w:vAlign w:val="center"/>
          </w:tcPr>
          <w:p w14:paraId="0D2CF2AA">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轮作非寄主绿肥、采用生物防控并重新评估</w:t>
            </w:r>
          </w:p>
        </w:tc>
      </w:tr>
      <w:tr w14:paraId="6438A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3118" w:type="dxa"/>
            <w:shd w:val="clear" w:color="auto" w:fill="FFFFFF"/>
            <w:tcMar>
              <w:top w:w="80" w:type="dxa"/>
              <w:left w:w="100" w:type="dxa"/>
              <w:bottom w:w="80" w:type="dxa"/>
              <w:right w:w="100" w:type="dxa"/>
            </w:tcMar>
            <w:vAlign w:val="center"/>
          </w:tcPr>
          <w:p w14:paraId="0BFA4AD1">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杉木根系与林分</w:t>
            </w:r>
          </w:p>
        </w:tc>
        <w:tc>
          <w:tcPr>
            <w:tcW w:w="3118" w:type="dxa"/>
            <w:shd w:val="clear" w:color="auto" w:fill="FFFFFF"/>
            <w:tcMar>
              <w:top w:w="80" w:type="dxa"/>
              <w:left w:w="100" w:type="dxa"/>
              <w:bottom w:w="80" w:type="dxa"/>
              <w:right w:w="100" w:type="dxa"/>
            </w:tcMar>
            <w:vAlign w:val="center"/>
          </w:tcPr>
          <w:p w14:paraId="5EC2971F">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无新增机械损伤，郁闭度适宜</w:t>
            </w:r>
          </w:p>
        </w:tc>
        <w:tc>
          <w:tcPr>
            <w:tcW w:w="3118" w:type="dxa"/>
            <w:shd w:val="clear" w:color="auto" w:fill="FFFFFF"/>
            <w:tcMar>
              <w:top w:w="80" w:type="dxa"/>
              <w:left w:w="100" w:type="dxa"/>
              <w:bottom w:w="80" w:type="dxa"/>
              <w:right w:w="100" w:type="dxa"/>
            </w:tcMar>
            <w:vAlign w:val="center"/>
          </w:tcPr>
          <w:p w14:paraId="7FF7C2ED">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停止深翻，修复根区，调整种植范围</w:t>
            </w:r>
          </w:p>
        </w:tc>
      </w:tr>
    </w:tbl>
    <w:p w14:paraId="3901A878">
      <w:pPr>
        <w:rPr>
          <w:rFonts w:hint="eastAsia" w:eastAsia="黑体"/>
          <w:color w:val="auto"/>
          <w:kern w:val="0"/>
          <w:szCs w:val="21"/>
          <w:lang w:val="en-US" w:eastAsia="zh-CN"/>
        </w:rPr>
      </w:pPr>
      <w:r>
        <w:rPr>
          <w:rFonts w:hint="eastAsia" w:eastAsia="黑体"/>
          <w:color w:val="auto"/>
          <w:kern w:val="0"/>
          <w:szCs w:val="21"/>
          <w:lang w:val="en-US" w:eastAsia="zh-CN"/>
        </w:rPr>
        <w:br w:type="page"/>
      </w:r>
    </w:p>
    <w:p w14:paraId="5280712A">
      <w:pPr>
        <w:keepNext/>
        <w:keepLines/>
        <w:spacing w:before="200"/>
        <w:contextualSpacing/>
        <w:jc w:val="center"/>
        <w:outlineLvl w:val="0"/>
        <w:rPr>
          <w:rFonts w:hint="eastAsia" w:eastAsia="黑体"/>
          <w:color w:val="auto"/>
          <w:kern w:val="0"/>
          <w:szCs w:val="21"/>
          <w:lang w:val="en-US" w:eastAsia="zh-CN"/>
        </w:rPr>
      </w:pPr>
    </w:p>
    <w:p w14:paraId="6790AE55">
      <w:pPr>
        <w:keepNext/>
        <w:keepLines/>
        <w:spacing w:before="200"/>
        <w:contextualSpacing/>
        <w:jc w:val="center"/>
        <w:outlineLvl w:val="0"/>
        <w:rPr>
          <w:rFonts w:hint="eastAsia" w:eastAsia="黑体"/>
          <w:color w:val="auto"/>
          <w:kern w:val="0"/>
          <w:szCs w:val="21"/>
          <w:lang w:val="en-US" w:eastAsia="zh-CN"/>
        </w:rPr>
      </w:pPr>
      <w:r>
        <w:rPr>
          <w:rFonts w:hint="eastAsia" w:eastAsia="黑体"/>
          <w:color w:val="auto"/>
          <w:kern w:val="0"/>
          <w:szCs w:val="21"/>
          <w:lang w:val="en-US" w:eastAsia="zh-CN"/>
        </w:rPr>
        <w:t>附录B</w:t>
      </w:r>
    </w:p>
    <w:p w14:paraId="3FCC509F">
      <w:pPr>
        <w:keepNext/>
        <w:keepLines/>
        <w:spacing w:before="200"/>
        <w:contextualSpacing/>
        <w:jc w:val="center"/>
        <w:outlineLvl w:val="0"/>
        <w:rPr>
          <w:rFonts w:hint="eastAsia" w:eastAsia="黑体"/>
          <w:color w:val="auto"/>
          <w:kern w:val="0"/>
          <w:szCs w:val="21"/>
          <w:lang w:val="en-US" w:eastAsia="zh-CN"/>
        </w:rPr>
      </w:pPr>
      <w:r>
        <w:rPr>
          <w:rFonts w:hint="eastAsia" w:eastAsia="黑体"/>
          <w:color w:val="auto"/>
          <w:kern w:val="0"/>
          <w:szCs w:val="21"/>
          <w:lang w:val="en-US" w:eastAsia="zh-CN"/>
        </w:rPr>
        <w:t>（资料性）</w:t>
      </w:r>
    </w:p>
    <w:p w14:paraId="698FFC37">
      <w:pPr>
        <w:keepNext/>
        <w:keepLines/>
        <w:spacing w:before="200"/>
        <w:contextualSpacing/>
        <w:jc w:val="center"/>
        <w:outlineLvl w:val="0"/>
        <w:rPr>
          <w:rFonts w:hint="eastAsia" w:eastAsia="黑体"/>
          <w:color w:val="auto"/>
          <w:kern w:val="0"/>
          <w:szCs w:val="21"/>
          <w:lang w:val="en-US" w:eastAsia="zh-CN"/>
        </w:rPr>
      </w:pPr>
      <w:r>
        <w:rPr>
          <w:rFonts w:hint="eastAsia" w:eastAsia="黑体"/>
          <w:color w:val="auto"/>
          <w:kern w:val="0"/>
          <w:szCs w:val="21"/>
          <w:lang w:val="en-US" w:eastAsia="zh-CN"/>
        </w:rPr>
        <w:t>主要病虫害及绿色防控措施</w:t>
      </w:r>
    </w:p>
    <w:p w14:paraId="6FAB1530">
      <w:pPr>
        <w:pStyle w:val="140"/>
        <w:keepNext/>
        <w:spacing w:before="80" w:after="40"/>
        <w:jc w:val="center"/>
        <w:rPr>
          <w:rFonts w:hint="default" w:ascii="Times New Roman" w:hAnsi="Times New Roman" w:cs="Times New Roman"/>
          <w:color w:val="auto"/>
        </w:rPr>
      </w:pPr>
      <w:r>
        <w:rPr>
          <w:rFonts w:hint="default" w:ascii="Times New Roman" w:hAnsi="Times New Roman" w:eastAsia="Noto Serif CJK SC" w:cs="Times New Roman"/>
          <w:color w:val="auto"/>
          <w:sz w:val="19"/>
        </w:rPr>
        <w:t>表B.1　主要病虫害及绿色防控措施</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39"/>
        <w:gridCol w:w="2339"/>
        <w:gridCol w:w="2339"/>
        <w:gridCol w:w="2339"/>
      </w:tblGrid>
      <w:tr w14:paraId="2FB3D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417" w:type="dxa"/>
            <w:tcBorders>
              <w:tl2br w:val="nil"/>
            </w:tcBorders>
            <w:shd w:val="clear" w:color="auto" w:fill="FFFFFF"/>
            <w:tcMar>
              <w:top w:w="80" w:type="dxa"/>
              <w:left w:w="100" w:type="dxa"/>
              <w:bottom w:w="80" w:type="dxa"/>
              <w:right w:w="100" w:type="dxa"/>
            </w:tcMar>
            <w:vAlign w:val="center"/>
          </w:tcPr>
          <w:p w14:paraId="1FFB1D2C">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7"/>
              </w:rPr>
              <w:t>作物</w:t>
            </w:r>
          </w:p>
        </w:tc>
        <w:tc>
          <w:tcPr>
            <w:tcW w:w="2041" w:type="dxa"/>
            <w:shd w:val="clear" w:color="auto" w:fill="FFFFFF"/>
            <w:tcMar>
              <w:top w:w="80" w:type="dxa"/>
              <w:left w:w="100" w:type="dxa"/>
              <w:bottom w:w="80" w:type="dxa"/>
              <w:right w:w="100" w:type="dxa"/>
            </w:tcMar>
            <w:vAlign w:val="center"/>
          </w:tcPr>
          <w:p w14:paraId="24CCEE8B">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7"/>
              </w:rPr>
              <w:t>主要病虫害</w:t>
            </w:r>
          </w:p>
        </w:tc>
        <w:tc>
          <w:tcPr>
            <w:tcW w:w="2608" w:type="dxa"/>
            <w:shd w:val="clear" w:color="auto" w:fill="FFFFFF"/>
            <w:tcMar>
              <w:top w:w="80" w:type="dxa"/>
              <w:left w:w="100" w:type="dxa"/>
              <w:bottom w:w="80" w:type="dxa"/>
              <w:right w:w="100" w:type="dxa"/>
            </w:tcMar>
            <w:vAlign w:val="center"/>
          </w:tcPr>
          <w:p w14:paraId="7F6375EF">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7"/>
              </w:rPr>
              <w:t>易发条件或时期</w:t>
            </w:r>
          </w:p>
        </w:tc>
        <w:tc>
          <w:tcPr>
            <w:tcW w:w="3345" w:type="dxa"/>
            <w:shd w:val="clear" w:color="auto" w:fill="FFFFFF"/>
            <w:tcMar>
              <w:top w:w="80" w:type="dxa"/>
              <w:left w:w="100" w:type="dxa"/>
              <w:bottom w:w="80" w:type="dxa"/>
              <w:right w:w="100" w:type="dxa"/>
            </w:tcMar>
            <w:vAlign w:val="center"/>
          </w:tcPr>
          <w:p w14:paraId="2C57FC4A">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7"/>
              </w:rPr>
              <w:t>绿色防控措施</w:t>
            </w:r>
          </w:p>
        </w:tc>
      </w:tr>
      <w:tr w14:paraId="0B9F6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23DC6077">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玉竹</w:t>
            </w:r>
          </w:p>
        </w:tc>
        <w:tc>
          <w:tcPr>
            <w:tcW w:w="2339" w:type="dxa"/>
            <w:shd w:val="clear" w:color="auto" w:fill="FFFFFF"/>
            <w:tcMar>
              <w:top w:w="80" w:type="dxa"/>
              <w:left w:w="100" w:type="dxa"/>
              <w:bottom w:w="80" w:type="dxa"/>
              <w:right w:w="100" w:type="dxa"/>
            </w:tcMar>
            <w:vAlign w:val="center"/>
          </w:tcPr>
          <w:p w14:paraId="7EA237D2">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根腐病、叶斑病、锈病、蛴螬、蛞蝓</w:t>
            </w:r>
          </w:p>
        </w:tc>
        <w:tc>
          <w:tcPr>
            <w:tcW w:w="2339" w:type="dxa"/>
            <w:shd w:val="clear" w:color="auto" w:fill="FFFFFF"/>
            <w:tcMar>
              <w:top w:w="80" w:type="dxa"/>
              <w:left w:w="100" w:type="dxa"/>
              <w:bottom w:w="80" w:type="dxa"/>
              <w:right w:w="100" w:type="dxa"/>
            </w:tcMar>
            <w:vAlign w:val="center"/>
          </w:tcPr>
          <w:p w14:paraId="55E952AA">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连阴雨、排水不良、种茎带病或覆盖层过厚</w:t>
            </w:r>
          </w:p>
        </w:tc>
        <w:tc>
          <w:tcPr>
            <w:tcW w:w="2339" w:type="dxa"/>
            <w:shd w:val="clear" w:color="auto" w:fill="FFFFFF"/>
            <w:tcMar>
              <w:top w:w="80" w:type="dxa"/>
              <w:left w:w="100" w:type="dxa"/>
              <w:bottom w:w="80" w:type="dxa"/>
              <w:right w:w="100" w:type="dxa"/>
            </w:tcMar>
            <w:vAlign w:val="center"/>
          </w:tcPr>
          <w:p w14:paraId="2F3EBE17">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选用健康种茎；高畦排水；清除病株；控制覆盖厚度；诱捕蛞蝓；保护天敌</w:t>
            </w:r>
          </w:p>
        </w:tc>
      </w:tr>
      <w:tr w14:paraId="04F47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084CCA57">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射干</w:t>
            </w:r>
          </w:p>
        </w:tc>
        <w:tc>
          <w:tcPr>
            <w:tcW w:w="2339" w:type="dxa"/>
            <w:shd w:val="clear" w:color="auto" w:fill="FFFFFF"/>
            <w:tcMar>
              <w:top w:w="80" w:type="dxa"/>
              <w:left w:w="100" w:type="dxa"/>
              <w:bottom w:w="80" w:type="dxa"/>
              <w:right w:w="100" w:type="dxa"/>
            </w:tcMar>
            <w:vAlign w:val="center"/>
          </w:tcPr>
          <w:p w14:paraId="35A93609">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锈病、叶枯病、根腐病、钻心虫、蛴螬</w:t>
            </w:r>
          </w:p>
        </w:tc>
        <w:tc>
          <w:tcPr>
            <w:tcW w:w="2339" w:type="dxa"/>
            <w:shd w:val="clear" w:color="auto" w:fill="FFFFFF"/>
            <w:tcMar>
              <w:top w:w="80" w:type="dxa"/>
              <w:left w:w="100" w:type="dxa"/>
              <w:bottom w:w="80" w:type="dxa"/>
              <w:right w:w="100" w:type="dxa"/>
            </w:tcMar>
            <w:vAlign w:val="center"/>
          </w:tcPr>
          <w:p w14:paraId="74A8F7BD">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高温高湿、偏施氮肥、地下害虫基数高</w:t>
            </w:r>
          </w:p>
        </w:tc>
        <w:tc>
          <w:tcPr>
            <w:tcW w:w="2339" w:type="dxa"/>
            <w:shd w:val="clear" w:color="auto" w:fill="FFFFFF"/>
            <w:tcMar>
              <w:top w:w="80" w:type="dxa"/>
              <w:left w:w="100" w:type="dxa"/>
              <w:bottom w:w="80" w:type="dxa"/>
              <w:right w:w="100" w:type="dxa"/>
            </w:tcMar>
            <w:vAlign w:val="center"/>
          </w:tcPr>
          <w:p w14:paraId="3BEFEA25">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适度通风；摘除病叶；雨季排水；性诱或灯诱；使用微生物菌剂处理土壤</w:t>
            </w:r>
          </w:p>
        </w:tc>
      </w:tr>
      <w:tr w14:paraId="3A82C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jc w:val="center"/>
        </w:trPr>
        <w:tc>
          <w:tcPr>
            <w:tcW w:w="2339" w:type="dxa"/>
            <w:shd w:val="clear" w:color="auto" w:fill="FFFFFF"/>
            <w:tcMar>
              <w:top w:w="80" w:type="dxa"/>
              <w:left w:w="100" w:type="dxa"/>
              <w:bottom w:w="80" w:type="dxa"/>
              <w:right w:w="100" w:type="dxa"/>
            </w:tcMar>
            <w:vAlign w:val="center"/>
          </w:tcPr>
          <w:p w14:paraId="4E6BE6E9">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草珊瑚</w:t>
            </w:r>
          </w:p>
        </w:tc>
        <w:tc>
          <w:tcPr>
            <w:tcW w:w="2339" w:type="dxa"/>
            <w:shd w:val="clear" w:color="auto" w:fill="FFFFFF"/>
            <w:tcMar>
              <w:top w:w="80" w:type="dxa"/>
              <w:left w:w="100" w:type="dxa"/>
              <w:bottom w:w="80" w:type="dxa"/>
              <w:right w:w="100" w:type="dxa"/>
            </w:tcMar>
            <w:vAlign w:val="center"/>
          </w:tcPr>
          <w:p w14:paraId="73F67E32">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叶斑病、根腐病、蚜虫、介壳虫</w:t>
            </w:r>
          </w:p>
        </w:tc>
        <w:tc>
          <w:tcPr>
            <w:tcW w:w="2339" w:type="dxa"/>
            <w:shd w:val="clear" w:color="auto" w:fill="FFFFFF"/>
            <w:tcMar>
              <w:top w:w="80" w:type="dxa"/>
              <w:left w:w="100" w:type="dxa"/>
              <w:bottom w:w="80" w:type="dxa"/>
              <w:right w:w="100" w:type="dxa"/>
            </w:tcMar>
            <w:vAlign w:val="center"/>
          </w:tcPr>
          <w:p w14:paraId="59CF5000">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林分过密、通风差、长期积水</w:t>
            </w:r>
          </w:p>
        </w:tc>
        <w:tc>
          <w:tcPr>
            <w:tcW w:w="2339" w:type="dxa"/>
            <w:shd w:val="clear" w:color="auto" w:fill="FFFFFF"/>
            <w:tcMar>
              <w:top w:w="80" w:type="dxa"/>
              <w:left w:w="100" w:type="dxa"/>
              <w:bottom w:w="80" w:type="dxa"/>
              <w:right w:w="100" w:type="dxa"/>
            </w:tcMar>
            <w:vAlign w:val="center"/>
          </w:tcPr>
          <w:p w14:paraId="6E58940C">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调节郁闭度；疏除过密枝；清园；黄板诱蚜；保护瓢虫、草蛉等天敌</w:t>
            </w:r>
          </w:p>
        </w:tc>
      </w:tr>
      <w:tr w14:paraId="0B5BA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5604640F">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黄花倒水莲</w:t>
            </w:r>
          </w:p>
        </w:tc>
        <w:tc>
          <w:tcPr>
            <w:tcW w:w="2339" w:type="dxa"/>
            <w:shd w:val="clear" w:color="auto" w:fill="FFFFFF"/>
            <w:tcMar>
              <w:top w:w="80" w:type="dxa"/>
              <w:left w:w="100" w:type="dxa"/>
              <w:bottom w:w="80" w:type="dxa"/>
              <w:right w:w="100" w:type="dxa"/>
            </w:tcMar>
            <w:vAlign w:val="center"/>
          </w:tcPr>
          <w:p w14:paraId="7B453D90">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炭疽病、叶斑病、根腐病、白蚁、蛴螬</w:t>
            </w:r>
          </w:p>
        </w:tc>
        <w:tc>
          <w:tcPr>
            <w:tcW w:w="2339" w:type="dxa"/>
            <w:shd w:val="clear" w:color="auto" w:fill="FFFFFF"/>
            <w:tcMar>
              <w:top w:w="80" w:type="dxa"/>
              <w:left w:w="100" w:type="dxa"/>
              <w:bottom w:w="80" w:type="dxa"/>
              <w:right w:w="100" w:type="dxa"/>
            </w:tcMar>
            <w:vAlign w:val="center"/>
          </w:tcPr>
          <w:p w14:paraId="7FCBD8E0">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苗木伤口多、土壤黏重积水、枯枝残体积累</w:t>
            </w:r>
          </w:p>
        </w:tc>
        <w:tc>
          <w:tcPr>
            <w:tcW w:w="2339" w:type="dxa"/>
            <w:shd w:val="clear" w:color="auto" w:fill="FFFFFF"/>
            <w:tcMar>
              <w:top w:w="80" w:type="dxa"/>
              <w:left w:w="100" w:type="dxa"/>
              <w:bottom w:w="80" w:type="dxa"/>
              <w:right w:w="100" w:type="dxa"/>
            </w:tcMar>
            <w:vAlign w:val="center"/>
          </w:tcPr>
          <w:p w14:paraId="08ACE088">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erif CJK SC" w:cs="Times New Roman"/>
                <w:b w:val="0"/>
                <w:color w:val="auto"/>
                <w:sz w:val="17"/>
              </w:rPr>
              <w:t>健苗栽植；伤口保护；清沟排水；清除病枝；诱杀地下害虫；避免未腐熟有机肥</w:t>
            </w:r>
          </w:p>
        </w:tc>
      </w:tr>
    </w:tbl>
    <w:p w14:paraId="1B7BC2BB">
      <w:pPr>
        <w:pStyle w:val="140"/>
        <w:ind w:firstLine="0"/>
        <w:jc w:val="both"/>
        <w:rPr>
          <w:rFonts w:hint="default" w:ascii="Times New Roman" w:hAnsi="Times New Roman" w:cs="Times New Roman"/>
          <w:color w:val="auto"/>
        </w:rPr>
      </w:pPr>
      <w:r>
        <w:rPr>
          <w:rFonts w:hint="default" w:ascii="Times New Roman" w:hAnsi="Times New Roman" w:eastAsia="Noto Serif CJK SC" w:cs="Times New Roman"/>
          <w:color w:val="auto"/>
          <w:sz w:val="21"/>
        </w:rPr>
        <w:t>注：化学防治药剂及其使用方法应以施用时有效的农药登记和产品标签为准。本表不作为具体农药品种和剂量的推荐依据。</w:t>
      </w:r>
    </w:p>
    <w:p w14:paraId="6ACC54A3">
      <w:pPr>
        <w:keepNext/>
        <w:keepLines/>
        <w:spacing w:before="200"/>
        <w:contextualSpacing/>
        <w:jc w:val="center"/>
        <w:outlineLvl w:val="0"/>
        <w:rPr>
          <w:rFonts w:hint="eastAsia" w:eastAsia="黑体"/>
          <w:color w:val="auto"/>
          <w:kern w:val="0"/>
          <w:szCs w:val="21"/>
          <w:lang w:val="en-US" w:eastAsia="zh-CN"/>
        </w:rPr>
      </w:pPr>
      <w:r>
        <w:rPr>
          <w:rFonts w:hint="eastAsia" w:eastAsia="黑体"/>
          <w:color w:val="auto"/>
          <w:kern w:val="0"/>
          <w:szCs w:val="21"/>
          <w:lang w:val="en-US" w:eastAsia="zh-CN"/>
        </w:rPr>
        <w:t>附录C</w:t>
      </w:r>
    </w:p>
    <w:p w14:paraId="0397DCF8">
      <w:pPr>
        <w:keepNext/>
        <w:keepLines/>
        <w:spacing w:before="200"/>
        <w:contextualSpacing/>
        <w:jc w:val="center"/>
        <w:outlineLvl w:val="0"/>
        <w:rPr>
          <w:rFonts w:hint="eastAsia" w:eastAsia="黑体"/>
          <w:color w:val="auto"/>
          <w:kern w:val="0"/>
          <w:szCs w:val="21"/>
          <w:lang w:val="en-US" w:eastAsia="zh-CN"/>
        </w:rPr>
      </w:pPr>
      <w:r>
        <w:rPr>
          <w:rFonts w:hint="eastAsia" w:eastAsia="黑体"/>
          <w:color w:val="auto"/>
          <w:kern w:val="0"/>
          <w:szCs w:val="21"/>
          <w:lang w:val="en-US" w:eastAsia="zh-CN"/>
        </w:rPr>
        <w:t>（资料性）</w:t>
      </w:r>
    </w:p>
    <w:p w14:paraId="7D450F01">
      <w:pPr>
        <w:keepNext/>
        <w:keepLines/>
        <w:spacing w:before="200"/>
        <w:contextualSpacing/>
        <w:jc w:val="center"/>
        <w:outlineLvl w:val="0"/>
        <w:rPr>
          <w:rFonts w:hint="default" w:eastAsia="黑体"/>
          <w:bCs/>
          <w:color w:val="auto"/>
          <w:szCs w:val="21"/>
          <w:lang w:val="en-US" w:eastAsia="zh-CN"/>
        </w:rPr>
      </w:pPr>
      <w:r>
        <w:rPr>
          <w:rFonts w:hint="eastAsia" w:eastAsia="黑体"/>
          <w:bCs/>
          <w:color w:val="auto"/>
          <w:szCs w:val="21"/>
          <w:lang w:val="en-US" w:eastAsia="zh-CN"/>
        </w:rPr>
        <w:t>生产管理记录表</w:t>
      </w:r>
    </w:p>
    <w:p w14:paraId="497610FB">
      <w:pPr>
        <w:pStyle w:val="140"/>
        <w:keepNext/>
        <w:spacing w:before="80" w:after="40"/>
        <w:jc w:val="center"/>
        <w:rPr>
          <w:rFonts w:hint="default" w:ascii="Times New Roman" w:hAnsi="Times New Roman" w:eastAsia="Noto Serif CJK SC" w:cs="Times New Roman"/>
          <w:color w:val="auto"/>
          <w:sz w:val="19"/>
          <w:lang w:val="en-US" w:eastAsia="zh-CN"/>
        </w:rPr>
      </w:pPr>
      <w:r>
        <w:rPr>
          <w:rFonts w:hint="eastAsia" w:ascii="Times New Roman" w:hAnsi="Times New Roman" w:eastAsia="Noto Serif CJK SC" w:cs="Times New Roman"/>
          <w:color w:val="auto"/>
          <w:sz w:val="19"/>
          <w:lang w:val="en-US" w:eastAsia="zh-CN"/>
        </w:rPr>
        <w:t>表C.1轮作单元基础信息表</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39"/>
        <w:gridCol w:w="2339"/>
        <w:gridCol w:w="2339"/>
        <w:gridCol w:w="2339"/>
      </w:tblGrid>
      <w:tr w14:paraId="69C12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984" w:type="dxa"/>
            <w:tcBorders>
              <w:tl2br w:val="nil"/>
            </w:tcBorders>
            <w:shd w:val="clear" w:color="auto" w:fill="FFFFFF"/>
            <w:tcMar>
              <w:top w:w="80" w:type="dxa"/>
              <w:left w:w="100" w:type="dxa"/>
              <w:bottom w:w="80" w:type="dxa"/>
              <w:right w:w="100" w:type="dxa"/>
            </w:tcMar>
            <w:vAlign w:val="center"/>
          </w:tcPr>
          <w:p w14:paraId="61944A15">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轮作单元编号</w:t>
            </w:r>
          </w:p>
        </w:tc>
        <w:tc>
          <w:tcPr>
            <w:tcW w:w="2721" w:type="dxa"/>
            <w:shd w:val="clear" w:color="auto" w:fill="FFFFFF"/>
            <w:tcMar>
              <w:top w:w="80" w:type="dxa"/>
              <w:left w:w="100" w:type="dxa"/>
              <w:bottom w:w="80" w:type="dxa"/>
              <w:right w:w="100" w:type="dxa"/>
            </w:tcMar>
            <w:vAlign w:val="center"/>
          </w:tcPr>
          <w:p w14:paraId="1723D67F">
            <w:pPr>
              <w:spacing w:before="0" w:after="0" w:line="276" w:lineRule="auto"/>
              <w:jc w:val="left"/>
              <w:rPr>
                <w:rFonts w:hint="default" w:ascii="Times New Roman" w:hAnsi="Times New Roman" w:cs="Times New Roman"/>
                <w:b w:val="0"/>
                <w:color w:val="auto"/>
              </w:rPr>
            </w:pPr>
          </w:p>
        </w:tc>
        <w:tc>
          <w:tcPr>
            <w:tcW w:w="1984" w:type="dxa"/>
            <w:shd w:val="clear" w:color="auto" w:fill="FFFFFF"/>
            <w:tcMar>
              <w:top w:w="80" w:type="dxa"/>
              <w:left w:w="100" w:type="dxa"/>
              <w:bottom w:w="80" w:type="dxa"/>
              <w:right w:w="100" w:type="dxa"/>
            </w:tcMar>
            <w:vAlign w:val="center"/>
          </w:tcPr>
          <w:p w14:paraId="6BF606FF">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面积（667 m²）</w:t>
            </w:r>
          </w:p>
        </w:tc>
        <w:tc>
          <w:tcPr>
            <w:tcW w:w="2721" w:type="dxa"/>
            <w:shd w:val="clear" w:color="auto" w:fill="FFFFFF"/>
            <w:tcMar>
              <w:top w:w="80" w:type="dxa"/>
              <w:left w:w="100" w:type="dxa"/>
              <w:bottom w:w="80" w:type="dxa"/>
              <w:right w:w="100" w:type="dxa"/>
            </w:tcMar>
            <w:vAlign w:val="center"/>
          </w:tcPr>
          <w:p w14:paraId="6F260B7E">
            <w:pPr>
              <w:spacing w:before="0" w:after="0" w:line="276" w:lineRule="auto"/>
              <w:jc w:val="left"/>
              <w:rPr>
                <w:rFonts w:hint="default" w:ascii="Times New Roman" w:hAnsi="Times New Roman" w:cs="Times New Roman"/>
                <w:b w:val="0"/>
                <w:color w:val="auto"/>
              </w:rPr>
            </w:pPr>
          </w:p>
        </w:tc>
      </w:tr>
      <w:tr w14:paraId="27887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5DF550B4">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基地名称</w:t>
            </w:r>
          </w:p>
        </w:tc>
        <w:tc>
          <w:tcPr>
            <w:tcW w:w="2339" w:type="dxa"/>
            <w:shd w:val="clear" w:color="auto" w:fill="FFFFFF"/>
            <w:tcMar>
              <w:top w:w="80" w:type="dxa"/>
              <w:left w:w="100" w:type="dxa"/>
              <w:bottom w:w="80" w:type="dxa"/>
              <w:right w:w="100" w:type="dxa"/>
            </w:tcMar>
            <w:vAlign w:val="center"/>
          </w:tcPr>
          <w:p w14:paraId="283CEF35">
            <w:pPr>
              <w:spacing w:before="0" w:after="0" w:line="276" w:lineRule="auto"/>
              <w:jc w:val="left"/>
              <w:rPr>
                <w:rFonts w:hint="default" w:ascii="Times New Roman" w:hAnsi="Times New Roman" w:cs="Times New Roman"/>
                <w:b w:val="0"/>
                <w:color w:val="auto"/>
              </w:rPr>
            </w:pPr>
          </w:p>
        </w:tc>
        <w:tc>
          <w:tcPr>
            <w:tcW w:w="2339" w:type="dxa"/>
            <w:shd w:val="clear" w:color="auto" w:fill="FFFFFF"/>
            <w:tcMar>
              <w:top w:w="80" w:type="dxa"/>
              <w:left w:w="100" w:type="dxa"/>
              <w:bottom w:w="80" w:type="dxa"/>
              <w:right w:w="100" w:type="dxa"/>
            </w:tcMar>
            <w:vAlign w:val="center"/>
          </w:tcPr>
          <w:p w14:paraId="713EED36">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所在位置</w:t>
            </w:r>
          </w:p>
        </w:tc>
        <w:tc>
          <w:tcPr>
            <w:tcW w:w="2339" w:type="dxa"/>
            <w:shd w:val="clear" w:color="auto" w:fill="FFFFFF"/>
            <w:tcMar>
              <w:top w:w="80" w:type="dxa"/>
              <w:left w:w="100" w:type="dxa"/>
              <w:bottom w:w="80" w:type="dxa"/>
              <w:right w:w="100" w:type="dxa"/>
            </w:tcMar>
            <w:vAlign w:val="center"/>
          </w:tcPr>
          <w:p w14:paraId="2E0FD2F2">
            <w:pPr>
              <w:spacing w:before="0" w:after="0" w:line="276" w:lineRule="auto"/>
              <w:jc w:val="left"/>
              <w:rPr>
                <w:rFonts w:hint="default" w:ascii="Times New Roman" w:hAnsi="Times New Roman" w:cs="Times New Roman"/>
                <w:b w:val="0"/>
                <w:color w:val="auto"/>
              </w:rPr>
            </w:pPr>
          </w:p>
        </w:tc>
      </w:tr>
      <w:tr w14:paraId="75EC5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072BC0F4">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杉木林龄</w:t>
            </w:r>
          </w:p>
        </w:tc>
        <w:tc>
          <w:tcPr>
            <w:tcW w:w="2339" w:type="dxa"/>
            <w:shd w:val="clear" w:color="auto" w:fill="FFFFFF"/>
            <w:tcMar>
              <w:top w:w="80" w:type="dxa"/>
              <w:left w:w="100" w:type="dxa"/>
              <w:bottom w:w="80" w:type="dxa"/>
              <w:right w:w="100" w:type="dxa"/>
            </w:tcMar>
            <w:vAlign w:val="center"/>
          </w:tcPr>
          <w:p w14:paraId="732EE101">
            <w:pPr>
              <w:spacing w:before="0" w:after="0" w:line="276" w:lineRule="auto"/>
              <w:jc w:val="left"/>
              <w:rPr>
                <w:rFonts w:hint="default" w:ascii="Times New Roman" w:hAnsi="Times New Roman" w:cs="Times New Roman"/>
                <w:b w:val="0"/>
                <w:color w:val="auto"/>
              </w:rPr>
            </w:pPr>
          </w:p>
        </w:tc>
        <w:tc>
          <w:tcPr>
            <w:tcW w:w="2339" w:type="dxa"/>
            <w:shd w:val="clear" w:color="auto" w:fill="FFFFFF"/>
            <w:tcMar>
              <w:top w:w="80" w:type="dxa"/>
              <w:left w:w="100" w:type="dxa"/>
              <w:bottom w:w="80" w:type="dxa"/>
              <w:right w:w="100" w:type="dxa"/>
            </w:tcMar>
            <w:vAlign w:val="center"/>
          </w:tcPr>
          <w:p w14:paraId="4FA4D2A0">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平均郁闭度</w:t>
            </w:r>
          </w:p>
        </w:tc>
        <w:tc>
          <w:tcPr>
            <w:tcW w:w="2339" w:type="dxa"/>
            <w:shd w:val="clear" w:color="auto" w:fill="FFFFFF"/>
            <w:tcMar>
              <w:top w:w="80" w:type="dxa"/>
              <w:left w:w="100" w:type="dxa"/>
              <w:bottom w:w="80" w:type="dxa"/>
              <w:right w:w="100" w:type="dxa"/>
            </w:tcMar>
            <w:vAlign w:val="center"/>
          </w:tcPr>
          <w:p w14:paraId="049D2D9C">
            <w:pPr>
              <w:spacing w:before="0" w:after="0" w:line="276" w:lineRule="auto"/>
              <w:jc w:val="left"/>
              <w:rPr>
                <w:rFonts w:hint="default" w:ascii="Times New Roman" w:hAnsi="Times New Roman" w:cs="Times New Roman"/>
                <w:b w:val="0"/>
                <w:color w:val="auto"/>
              </w:rPr>
            </w:pPr>
          </w:p>
        </w:tc>
      </w:tr>
      <w:tr w14:paraId="4FA1A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jc w:val="center"/>
        </w:trPr>
        <w:tc>
          <w:tcPr>
            <w:tcW w:w="2339" w:type="dxa"/>
            <w:shd w:val="clear" w:color="auto" w:fill="FFFFFF"/>
            <w:tcMar>
              <w:top w:w="80" w:type="dxa"/>
              <w:left w:w="100" w:type="dxa"/>
              <w:bottom w:w="80" w:type="dxa"/>
              <w:right w:w="100" w:type="dxa"/>
            </w:tcMar>
            <w:vAlign w:val="center"/>
          </w:tcPr>
          <w:p w14:paraId="5710A0CA">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坡度/坡向</w:t>
            </w:r>
          </w:p>
        </w:tc>
        <w:tc>
          <w:tcPr>
            <w:tcW w:w="2339" w:type="dxa"/>
            <w:shd w:val="clear" w:color="auto" w:fill="FFFFFF"/>
            <w:tcMar>
              <w:top w:w="80" w:type="dxa"/>
              <w:left w:w="100" w:type="dxa"/>
              <w:bottom w:w="80" w:type="dxa"/>
              <w:right w:w="100" w:type="dxa"/>
            </w:tcMar>
            <w:vAlign w:val="center"/>
          </w:tcPr>
          <w:p w14:paraId="3CE451CA">
            <w:pPr>
              <w:spacing w:before="0" w:after="0" w:line="276" w:lineRule="auto"/>
              <w:jc w:val="left"/>
              <w:rPr>
                <w:rFonts w:hint="default" w:ascii="Times New Roman" w:hAnsi="Times New Roman" w:cs="Times New Roman"/>
                <w:b w:val="0"/>
                <w:color w:val="auto"/>
              </w:rPr>
            </w:pPr>
          </w:p>
        </w:tc>
        <w:tc>
          <w:tcPr>
            <w:tcW w:w="2339" w:type="dxa"/>
            <w:shd w:val="clear" w:color="auto" w:fill="FFFFFF"/>
            <w:tcMar>
              <w:top w:w="80" w:type="dxa"/>
              <w:left w:w="100" w:type="dxa"/>
              <w:bottom w:w="80" w:type="dxa"/>
              <w:right w:w="100" w:type="dxa"/>
            </w:tcMar>
            <w:vAlign w:val="center"/>
          </w:tcPr>
          <w:p w14:paraId="2C979D73">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土壤类型</w:t>
            </w:r>
          </w:p>
        </w:tc>
        <w:tc>
          <w:tcPr>
            <w:tcW w:w="2339" w:type="dxa"/>
            <w:shd w:val="clear" w:color="auto" w:fill="FFFFFF"/>
            <w:tcMar>
              <w:top w:w="80" w:type="dxa"/>
              <w:left w:w="100" w:type="dxa"/>
              <w:bottom w:w="80" w:type="dxa"/>
              <w:right w:w="100" w:type="dxa"/>
            </w:tcMar>
            <w:vAlign w:val="center"/>
          </w:tcPr>
          <w:p w14:paraId="72621F54">
            <w:pPr>
              <w:spacing w:before="0" w:after="0" w:line="276" w:lineRule="auto"/>
              <w:jc w:val="left"/>
              <w:rPr>
                <w:rFonts w:hint="default" w:ascii="Times New Roman" w:hAnsi="Times New Roman" w:cs="Times New Roman"/>
                <w:b w:val="0"/>
                <w:color w:val="auto"/>
              </w:rPr>
            </w:pPr>
          </w:p>
        </w:tc>
      </w:tr>
      <w:tr w14:paraId="4502E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4080E9AB">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土壤pH</w:t>
            </w:r>
          </w:p>
        </w:tc>
        <w:tc>
          <w:tcPr>
            <w:tcW w:w="2339" w:type="dxa"/>
            <w:shd w:val="clear" w:color="auto" w:fill="FFFFFF"/>
            <w:tcMar>
              <w:top w:w="80" w:type="dxa"/>
              <w:left w:w="100" w:type="dxa"/>
              <w:bottom w:w="80" w:type="dxa"/>
              <w:right w:w="100" w:type="dxa"/>
            </w:tcMar>
            <w:vAlign w:val="center"/>
          </w:tcPr>
          <w:p w14:paraId="5235D5D9">
            <w:pPr>
              <w:spacing w:before="0" w:after="0" w:line="276" w:lineRule="auto"/>
              <w:jc w:val="left"/>
              <w:rPr>
                <w:rFonts w:hint="default" w:ascii="Times New Roman" w:hAnsi="Times New Roman" w:cs="Times New Roman"/>
                <w:b w:val="0"/>
                <w:color w:val="auto"/>
              </w:rPr>
            </w:pPr>
          </w:p>
        </w:tc>
        <w:tc>
          <w:tcPr>
            <w:tcW w:w="2339" w:type="dxa"/>
            <w:shd w:val="clear" w:color="auto" w:fill="FFFFFF"/>
            <w:tcMar>
              <w:top w:w="80" w:type="dxa"/>
              <w:left w:w="100" w:type="dxa"/>
              <w:bottom w:w="80" w:type="dxa"/>
              <w:right w:w="100" w:type="dxa"/>
            </w:tcMar>
            <w:vAlign w:val="center"/>
          </w:tcPr>
          <w:p w14:paraId="47BB3B88">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土层厚度（cm）</w:t>
            </w:r>
          </w:p>
        </w:tc>
        <w:tc>
          <w:tcPr>
            <w:tcW w:w="2339" w:type="dxa"/>
            <w:shd w:val="clear" w:color="auto" w:fill="FFFFFF"/>
            <w:tcMar>
              <w:top w:w="80" w:type="dxa"/>
              <w:left w:w="100" w:type="dxa"/>
              <w:bottom w:w="80" w:type="dxa"/>
              <w:right w:w="100" w:type="dxa"/>
            </w:tcMar>
            <w:vAlign w:val="center"/>
          </w:tcPr>
          <w:p w14:paraId="28E247F9">
            <w:pPr>
              <w:spacing w:before="0" w:after="0" w:line="276" w:lineRule="auto"/>
              <w:jc w:val="left"/>
              <w:rPr>
                <w:rFonts w:hint="default" w:ascii="Times New Roman" w:hAnsi="Times New Roman" w:cs="Times New Roman"/>
                <w:b w:val="0"/>
                <w:color w:val="auto"/>
              </w:rPr>
            </w:pPr>
          </w:p>
        </w:tc>
      </w:tr>
      <w:tr w14:paraId="4D130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0ADA35E9">
            <w:pPr>
              <w:spacing w:before="0" w:after="0" w:line="276" w:lineRule="auto"/>
              <w:jc w:val="left"/>
              <w:rPr>
                <w:rFonts w:hint="eastAsia" w:ascii="Times New Roman" w:hAnsi="Times New Roman" w:eastAsia="宋体" w:cs="Times New Roman"/>
                <w:b w:val="0"/>
                <w:color w:val="auto"/>
                <w:sz w:val="18"/>
                <w:lang w:val="en-US" w:eastAsia="zh-CN"/>
              </w:rPr>
            </w:pPr>
            <w:r>
              <w:rPr>
                <w:rFonts w:hint="eastAsia" w:cs="Times New Roman"/>
                <w:b w:val="0"/>
                <w:color w:val="auto"/>
                <w:sz w:val="18"/>
                <w:lang w:val="en-US" w:eastAsia="zh-CN"/>
              </w:rPr>
              <w:t>前茬作物</w:t>
            </w:r>
          </w:p>
        </w:tc>
        <w:tc>
          <w:tcPr>
            <w:tcW w:w="2339" w:type="dxa"/>
            <w:shd w:val="clear" w:color="auto" w:fill="FFFFFF"/>
            <w:tcMar>
              <w:top w:w="80" w:type="dxa"/>
              <w:left w:w="100" w:type="dxa"/>
              <w:bottom w:w="80" w:type="dxa"/>
              <w:right w:w="100" w:type="dxa"/>
            </w:tcMar>
            <w:vAlign w:val="center"/>
          </w:tcPr>
          <w:p w14:paraId="33E0463D">
            <w:pPr>
              <w:spacing w:before="0" w:after="0" w:line="276" w:lineRule="auto"/>
              <w:jc w:val="left"/>
              <w:rPr>
                <w:rFonts w:hint="default" w:ascii="Times New Roman" w:hAnsi="Times New Roman" w:cs="Times New Roman"/>
                <w:b w:val="0"/>
                <w:color w:val="auto"/>
              </w:rPr>
            </w:pPr>
          </w:p>
        </w:tc>
        <w:tc>
          <w:tcPr>
            <w:tcW w:w="2339" w:type="dxa"/>
            <w:shd w:val="clear" w:color="auto" w:fill="FFFFFF"/>
            <w:tcMar>
              <w:top w:w="80" w:type="dxa"/>
              <w:left w:w="100" w:type="dxa"/>
              <w:bottom w:w="80" w:type="dxa"/>
              <w:right w:w="100" w:type="dxa"/>
            </w:tcMar>
            <w:vAlign w:val="center"/>
          </w:tcPr>
          <w:p w14:paraId="6877907B">
            <w:pPr>
              <w:spacing w:before="0" w:after="0" w:line="276" w:lineRule="auto"/>
              <w:jc w:val="left"/>
              <w:rPr>
                <w:rFonts w:hint="default" w:ascii="Times New Roman" w:hAnsi="Times New Roman" w:eastAsia="宋体" w:cs="Times New Roman"/>
                <w:b w:val="0"/>
                <w:color w:val="auto"/>
                <w:sz w:val="18"/>
                <w:lang w:val="en-US" w:eastAsia="zh-CN"/>
              </w:rPr>
            </w:pPr>
            <w:r>
              <w:rPr>
                <w:rFonts w:hint="eastAsia" w:cs="Times New Roman"/>
                <w:b w:val="0"/>
                <w:color w:val="auto"/>
                <w:sz w:val="18"/>
                <w:lang w:val="en-US" w:eastAsia="zh-CN"/>
              </w:rPr>
              <w:t>轮作模式编号</w:t>
            </w:r>
          </w:p>
        </w:tc>
        <w:tc>
          <w:tcPr>
            <w:tcW w:w="2339" w:type="dxa"/>
            <w:shd w:val="clear" w:color="auto" w:fill="FFFFFF"/>
            <w:tcMar>
              <w:top w:w="80" w:type="dxa"/>
              <w:left w:w="100" w:type="dxa"/>
              <w:bottom w:w="80" w:type="dxa"/>
              <w:right w:w="100" w:type="dxa"/>
            </w:tcMar>
            <w:vAlign w:val="center"/>
          </w:tcPr>
          <w:p w14:paraId="2F2926E6">
            <w:pPr>
              <w:spacing w:before="0" w:after="0" w:line="276" w:lineRule="auto"/>
              <w:jc w:val="left"/>
              <w:rPr>
                <w:rFonts w:hint="default" w:ascii="Times New Roman" w:hAnsi="Times New Roman" w:cs="Times New Roman"/>
                <w:b w:val="0"/>
                <w:color w:val="auto"/>
              </w:rPr>
            </w:pPr>
          </w:p>
        </w:tc>
      </w:tr>
      <w:tr w14:paraId="24366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9" w:type="dxa"/>
            <w:shd w:val="clear" w:color="auto" w:fill="FFFFFF"/>
            <w:tcMar>
              <w:top w:w="80" w:type="dxa"/>
              <w:left w:w="100" w:type="dxa"/>
              <w:bottom w:w="80" w:type="dxa"/>
              <w:right w:w="100" w:type="dxa"/>
            </w:tcMar>
            <w:vAlign w:val="center"/>
          </w:tcPr>
          <w:p w14:paraId="7E826ACB">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空气/水/土壤检测报告编号</w:t>
            </w:r>
          </w:p>
        </w:tc>
        <w:tc>
          <w:tcPr>
            <w:tcW w:w="2339" w:type="dxa"/>
            <w:shd w:val="clear" w:color="auto" w:fill="FFFFFF"/>
            <w:tcMar>
              <w:top w:w="80" w:type="dxa"/>
              <w:left w:w="100" w:type="dxa"/>
              <w:bottom w:w="80" w:type="dxa"/>
              <w:right w:w="100" w:type="dxa"/>
            </w:tcMar>
            <w:vAlign w:val="center"/>
          </w:tcPr>
          <w:p w14:paraId="4FAF698D">
            <w:pPr>
              <w:spacing w:before="0" w:after="0" w:line="276" w:lineRule="auto"/>
              <w:jc w:val="left"/>
              <w:rPr>
                <w:rFonts w:hint="default" w:ascii="Times New Roman" w:hAnsi="Times New Roman" w:cs="Times New Roman"/>
                <w:b w:val="0"/>
                <w:color w:val="auto"/>
              </w:rPr>
            </w:pPr>
          </w:p>
        </w:tc>
        <w:tc>
          <w:tcPr>
            <w:tcW w:w="2339" w:type="dxa"/>
            <w:shd w:val="clear" w:color="auto" w:fill="FFFFFF"/>
            <w:tcMar>
              <w:top w:w="80" w:type="dxa"/>
              <w:left w:w="100" w:type="dxa"/>
              <w:bottom w:w="80" w:type="dxa"/>
              <w:right w:w="100" w:type="dxa"/>
            </w:tcMar>
            <w:vAlign w:val="center"/>
          </w:tcPr>
          <w:p w14:paraId="72A856B1">
            <w:pPr>
              <w:spacing w:before="0" w:after="0" w:line="276" w:lineRule="auto"/>
              <w:jc w:val="left"/>
              <w:rPr>
                <w:rFonts w:hint="default" w:ascii="Times New Roman" w:hAnsi="Times New Roman" w:cs="Times New Roman"/>
                <w:b w:val="0"/>
                <w:color w:val="auto"/>
              </w:rPr>
            </w:pPr>
            <w:r>
              <w:rPr>
                <w:rFonts w:hint="default" w:ascii="Times New Roman" w:hAnsi="Times New Roman" w:eastAsia="Noto Sans CJK SC" w:cs="Times New Roman"/>
                <w:b w:val="0"/>
                <w:color w:val="auto"/>
                <w:sz w:val="18"/>
              </w:rPr>
              <w:t>建档日期</w:t>
            </w:r>
          </w:p>
        </w:tc>
        <w:tc>
          <w:tcPr>
            <w:tcW w:w="2339" w:type="dxa"/>
            <w:shd w:val="clear" w:color="auto" w:fill="FFFFFF"/>
            <w:tcMar>
              <w:top w:w="80" w:type="dxa"/>
              <w:left w:w="100" w:type="dxa"/>
              <w:bottom w:w="80" w:type="dxa"/>
              <w:right w:w="100" w:type="dxa"/>
            </w:tcMar>
            <w:vAlign w:val="center"/>
          </w:tcPr>
          <w:p w14:paraId="5F206983">
            <w:pPr>
              <w:spacing w:before="0" w:after="0" w:line="276" w:lineRule="auto"/>
              <w:jc w:val="left"/>
              <w:rPr>
                <w:rFonts w:hint="default" w:ascii="Times New Roman" w:hAnsi="Times New Roman" w:cs="Times New Roman"/>
                <w:b w:val="0"/>
                <w:color w:val="auto"/>
              </w:rPr>
            </w:pPr>
          </w:p>
        </w:tc>
      </w:tr>
    </w:tbl>
    <w:p w14:paraId="395DD4E2">
      <w:pPr>
        <w:pStyle w:val="140"/>
        <w:keepNext/>
        <w:spacing w:before="80" w:after="40"/>
        <w:jc w:val="center"/>
        <w:rPr>
          <w:rFonts w:hint="default" w:ascii="Times New Roman" w:hAnsi="Times New Roman" w:eastAsia="Noto Serif CJK SC" w:cs="Times New Roman"/>
          <w:color w:val="auto"/>
          <w:sz w:val="19"/>
          <w:lang w:val="en-US" w:eastAsia="zh-CN"/>
        </w:rPr>
      </w:pPr>
      <w:r>
        <w:rPr>
          <w:rFonts w:hint="eastAsia" w:ascii="Times New Roman" w:hAnsi="Times New Roman" w:eastAsia="Noto Serif CJK SC" w:cs="Times New Roman"/>
          <w:color w:val="auto"/>
          <w:sz w:val="19"/>
          <w:lang w:val="en-US" w:eastAsia="zh-CN"/>
        </w:rPr>
        <w:t>表C.2</w:t>
      </w:r>
      <w:r>
        <w:rPr>
          <w:rFonts w:hint="default" w:ascii="Times New Roman" w:hAnsi="Times New Roman" w:eastAsia="Noto Serif CJK SC" w:cs="Times New Roman"/>
          <w:color w:val="auto"/>
          <w:sz w:val="19"/>
          <w:lang w:val="en-US" w:eastAsia="zh-CN"/>
        </w:rPr>
        <w:t>栽植与田间管理记录表</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6"/>
        <w:gridCol w:w="1336"/>
        <w:gridCol w:w="1336"/>
        <w:gridCol w:w="1336"/>
        <w:gridCol w:w="1336"/>
        <w:gridCol w:w="1336"/>
        <w:gridCol w:w="1336"/>
      </w:tblGrid>
      <w:tr w14:paraId="0185B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336" w:type="dxa"/>
            <w:tcBorders>
              <w:tl2br w:val="nil"/>
            </w:tcBorders>
            <w:shd w:val="clear" w:color="auto" w:fill="FFFFFF"/>
            <w:tcMar>
              <w:top w:w="80" w:type="dxa"/>
              <w:left w:w="100" w:type="dxa"/>
              <w:bottom w:w="80" w:type="dxa"/>
              <w:right w:w="100" w:type="dxa"/>
            </w:tcMar>
            <w:vAlign w:val="center"/>
          </w:tcPr>
          <w:p w14:paraId="16C832BE">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6"/>
              </w:rPr>
              <w:t>日期</w:t>
            </w:r>
          </w:p>
        </w:tc>
        <w:tc>
          <w:tcPr>
            <w:tcW w:w="1336" w:type="dxa"/>
            <w:shd w:val="clear" w:color="auto" w:fill="FFFFFF"/>
            <w:tcMar>
              <w:top w:w="80" w:type="dxa"/>
              <w:left w:w="100" w:type="dxa"/>
              <w:bottom w:w="80" w:type="dxa"/>
              <w:right w:w="100" w:type="dxa"/>
            </w:tcMar>
            <w:vAlign w:val="center"/>
          </w:tcPr>
          <w:p w14:paraId="33AC28DF">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6"/>
              </w:rPr>
              <w:t>作物/品种</w:t>
            </w:r>
          </w:p>
        </w:tc>
        <w:tc>
          <w:tcPr>
            <w:tcW w:w="1336" w:type="dxa"/>
            <w:shd w:val="clear" w:color="auto" w:fill="FFFFFF"/>
            <w:tcMar>
              <w:top w:w="80" w:type="dxa"/>
              <w:left w:w="100" w:type="dxa"/>
              <w:bottom w:w="80" w:type="dxa"/>
              <w:right w:w="100" w:type="dxa"/>
            </w:tcMar>
            <w:vAlign w:val="center"/>
          </w:tcPr>
          <w:p w14:paraId="4EDC8FAE">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6"/>
              </w:rPr>
              <w:t>农事操作</w:t>
            </w:r>
          </w:p>
        </w:tc>
        <w:tc>
          <w:tcPr>
            <w:tcW w:w="1336" w:type="dxa"/>
            <w:shd w:val="clear" w:color="auto" w:fill="FFFFFF"/>
            <w:tcMar>
              <w:top w:w="80" w:type="dxa"/>
              <w:left w:w="100" w:type="dxa"/>
              <w:bottom w:w="80" w:type="dxa"/>
              <w:right w:w="100" w:type="dxa"/>
            </w:tcMar>
            <w:vAlign w:val="center"/>
          </w:tcPr>
          <w:p w14:paraId="361952CD">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6"/>
              </w:rPr>
              <w:t>投入品名称</w:t>
            </w:r>
          </w:p>
        </w:tc>
        <w:tc>
          <w:tcPr>
            <w:tcW w:w="1336" w:type="dxa"/>
            <w:shd w:val="clear" w:color="auto" w:fill="FFFFFF"/>
            <w:tcMar>
              <w:top w:w="80" w:type="dxa"/>
              <w:left w:w="100" w:type="dxa"/>
              <w:bottom w:w="80" w:type="dxa"/>
              <w:right w:w="100" w:type="dxa"/>
            </w:tcMar>
            <w:vAlign w:val="center"/>
          </w:tcPr>
          <w:p w14:paraId="1A7F7BA3">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6"/>
              </w:rPr>
              <w:t>用量</w:t>
            </w:r>
          </w:p>
        </w:tc>
        <w:tc>
          <w:tcPr>
            <w:tcW w:w="1336" w:type="dxa"/>
            <w:shd w:val="clear" w:color="auto" w:fill="FFFFFF"/>
            <w:tcMar>
              <w:top w:w="80" w:type="dxa"/>
              <w:left w:w="100" w:type="dxa"/>
              <w:bottom w:w="80" w:type="dxa"/>
              <w:right w:w="100" w:type="dxa"/>
            </w:tcMar>
            <w:vAlign w:val="center"/>
          </w:tcPr>
          <w:p w14:paraId="73E326AA">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6"/>
              </w:rPr>
              <w:t>操作人员</w:t>
            </w:r>
          </w:p>
        </w:tc>
        <w:tc>
          <w:tcPr>
            <w:tcW w:w="1336" w:type="dxa"/>
            <w:shd w:val="clear" w:color="auto" w:fill="FFFFFF"/>
            <w:tcMar>
              <w:top w:w="80" w:type="dxa"/>
              <w:left w:w="100" w:type="dxa"/>
              <w:bottom w:w="80" w:type="dxa"/>
              <w:right w:w="100" w:type="dxa"/>
            </w:tcMar>
            <w:vAlign w:val="center"/>
          </w:tcPr>
          <w:p w14:paraId="06D4C283">
            <w:pPr>
              <w:spacing w:before="0" w:after="0" w:line="276" w:lineRule="auto"/>
              <w:jc w:val="center"/>
              <w:rPr>
                <w:rFonts w:hint="default" w:ascii="Times New Roman" w:hAnsi="Times New Roman" w:cs="Times New Roman"/>
                <w:b w:val="0"/>
                <w:color w:val="auto"/>
              </w:rPr>
            </w:pPr>
            <w:r>
              <w:rPr>
                <w:rFonts w:hint="default" w:ascii="Times New Roman" w:hAnsi="Times New Roman" w:eastAsia="Noto Sans CJK SC" w:cs="Times New Roman"/>
                <w:b w:val="0"/>
                <w:color w:val="auto"/>
                <w:sz w:val="16"/>
              </w:rPr>
              <w:t>备注</w:t>
            </w:r>
          </w:p>
        </w:tc>
      </w:tr>
      <w:tr w14:paraId="565CC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379697E2">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6A46822C">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16F5C225">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74DA24A">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4A7F78BF">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518155E">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69F7FF21">
            <w:pPr>
              <w:spacing w:before="0" w:after="0" w:line="276" w:lineRule="auto"/>
              <w:jc w:val="left"/>
              <w:rPr>
                <w:rFonts w:hint="default" w:ascii="Times New Roman" w:hAnsi="Times New Roman" w:cs="Times New Roman"/>
                <w:b w:val="0"/>
                <w:color w:val="auto"/>
              </w:rPr>
            </w:pPr>
          </w:p>
        </w:tc>
      </w:tr>
      <w:tr w14:paraId="6E6A4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250F1FE5">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CA90CAA">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472989F5">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5F20784">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0F520BF6">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F16505E">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ADF55C4">
            <w:pPr>
              <w:spacing w:before="0" w:after="0" w:line="276" w:lineRule="auto"/>
              <w:jc w:val="left"/>
              <w:rPr>
                <w:rFonts w:hint="default" w:ascii="Times New Roman" w:hAnsi="Times New Roman" w:cs="Times New Roman"/>
                <w:b w:val="0"/>
                <w:color w:val="auto"/>
              </w:rPr>
            </w:pPr>
          </w:p>
        </w:tc>
      </w:tr>
      <w:tr w14:paraId="3C354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47306F75">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255F1E8">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21B507D">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17A09C10">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6913453">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589C17D">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BFF2C93">
            <w:pPr>
              <w:spacing w:before="0" w:after="0" w:line="276" w:lineRule="auto"/>
              <w:jc w:val="left"/>
              <w:rPr>
                <w:rFonts w:hint="default" w:ascii="Times New Roman" w:hAnsi="Times New Roman" w:cs="Times New Roman"/>
                <w:b w:val="0"/>
                <w:color w:val="auto"/>
              </w:rPr>
            </w:pPr>
          </w:p>
        </w:tc>
      </w:tr>
      <w:tr w14:paraId="1FA84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5EE52743">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B2F2008">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3C1AB68">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049D5405">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E021372">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1EC3AD64">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70B0824">
            <w:pPr>
              <w:spacing w:before="0" w:after="0" w:line="276" w:lineRule="auto"/>
              <w:jc w:val="left"/>
              <w:rPr>
                <w:rFonts w:hint="default" w:ascii="Times New Roman" w:hAnsi="Times New Roman" w:cs="Times New Roman"/>
                <w:b w:val="0"/>
                <w:color w:val="auto"/>
              </w:rPr>
            </w:pPr>
          </w:p>
        </w:tc>
      </w:tr>
      <w:tr w14:paraId="226BC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79A4573B">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50C9C27E">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04D558D4">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5250573F">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18E7B537">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6128E7F3">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FA21B5F">
            <w:pPr>
              <w:spacing w:before="0" w:after="0" w:line="276" w:lineRule="auto"/>
              <w:jc w:val="left"/>
              <w:rPr>
                <w:rFonts w:hint="default" w:ascii="Times New Roman" w:hAnsi="Times New Roman" w:cs="Times New Roman"/>
                <w:b w:val="0"/>
                <w:color w:val="auto"/>
              </w:rPr>
            </w:pPr>
          </w:p>
        </w:tc>
      </w:tr>
      <w:tr w14:paraId="31A50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10F0C4FB">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4197AD33">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10CE589C">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5F0041BA">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1F0DA3AD">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5371A0AD">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69CDE928">
            <w:pPr>
              <w:spacing w:before="0" w:after="0" w:line="276" w:lineRule="auto"/>
              <w:jc w:val="left"/>
              <w:rPr>
                <w:rFonts w:hint="default" w:ascii="Times New Roman" w:hAnsi="Times New Roman" w:cs="Times New Roman"/>
                <w:b w:val="0"/>
                <w:color w:val="auto"/>
              </w:rPr>
            </w:pPr>
          </w:p>
        </w:tc>
      </w:tr>
      <w:tr w14:paraId="7E3EE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1B978FCE">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83918B1">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0B2F8EC8">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EA31A33">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5431653">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2AF9C41">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0E7A974">
            <w:pPr>
              <w:spacing w:before="0" w:after="0" w:line="276" w:lineRule="auto"/>
              <w:jc w:val="left"/>
              <w:rPr>
                <w:rFonts w:hint="default" w:ascii="Times New Roman" w:hAnsi="Times New Roman" w:cs="Times New Roman"/>
                <w:b w:val="0"/>
                <w:color w:val="auto"/>
              </w:rPr>
            </w:pPr>
          </w:p>
        </w:tc>
      </w:tr>
      <w:tr w14:paraId="5E225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28199920">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35B3D0EF">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66E5D24D">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09B75472">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68304FC5">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4A010354">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46D93CE">
            <w:pPr>
              <w:spacing w:before="0" w:after="0" w:line="276" w:lineRule="auto"/>
              <w:jc w:val="left"/>
              <w:rPr>
                <w:rFonts w:hint="default" w:ascii="Times New Roman" w:hAnsi="Times New Roman" w:cs="Times New Roman"/>
                <w:b w:val="0"/>
                <w:color w:val="auto"/>
              </w:rPr>
            </w:pPr>
          </w:p>
        </w:tc>
      </w:tr>
      <w:tr w14:paraId="067EA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36" w:type="dxa"/>
            <w:shd w:val="clear" w:color="auto" w:fill="FFFFFF"/>
            <w:tcMar>
              <w:top w:w="80" w:type="dxa"/>
              <w:left w:w="100" w:type="dxa"/>
              <w:bottom w:w="80" w:type="dxa"/>
              <w:right w:w="100" w:type="dxa"/>
            </w:tcMar>
            <w:vAlign w:val="center"/>
          </w:tcPr>
          <w:p w14:paraId="02749291">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0242B2AD">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249DA33B">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72DA1DB0">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1B3C4849">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4E455D30">
            <w:pPr>
              <w:spacing w:before="0" w:after="0" w:line="276" w:lineRule="auto"/>
              <w:jc w:val="left"/>
              <w:rPr>
                <w:rFonts w:hint="default" w:ascii="Times New Roman" w:hAnsi="Times New Roman" w:cs="Times New Roman"/>
                <w:b w:val="0"/>
                <w:color w:val="auto"/>
              </w:rPr>
            </w:pPr>
          </w:p>
        </w:tc>
        <w:tc>
          <w:tcPr>
            <w:tcW w:w="1336" w:type="dxa"/>
            <w:shd w:val="clear" w:color="auto" w:fill="FFFFFF"/>
            <w:tcMar>
              <w:top w:w="80" w:type="dxa"/>
              <w:left w:w="100" w:type="dxa"/>
              <w:bottom w:w="80" w:type="dxa"/>
              <w:right w:w="100" w:type="dxa"/>
            </w:tcMar>
            <w:vAlign w:val="center"/>
          </w:tcPr>
          <w:p w14:paraId="4CF606C6">
            <w:pPr>
              <w:spacing w:before="0" w:after="0" w:line="276" w:lineRule="auto"/>
              <w:jc w:val="left"/>
              <w:rPr>
                <w:rFonts w:hint="default" w:ascii="Times New Roman" w:hAnsi="Times New Roman" w:cs="Times New Roman"/>
                <w:b w:val="0"/>
                <w:color w:val="auto"/>
              </w:rPr>
            </w:pPr>
          </w:p>
        </w:tc>
      </w:tr>
    </w:tbl>
    <w:p w14:paraId="5FCC4051">
      <w:pPr>
        <w:rPr>
          <w:rFonts w:hint="default" w:ascii="Times New Roman" w:hAnsi="Times New Roman" w:eastAsia="Noto Serif CJK SC" w:cs="Times New Roman"/>
          <w:color w:val="auto"/>
          <w:sz w:val="19"/>
          <w:lang w:val="en-US" w:eastAsia="zh-CN"/>
        </w:rPr>
      </w:pPr>
      <w:bookmarkStart w:id="39" w:name="_GoBack"/>
      <w:bookmarkEnd w:id="39"/>
    </w:p>
    <w:p w14:paraId="6737E65F">
      <w:pPr>
        <w:pStyle w:val="127"/>
        <w:rPr>
          <w:rFonts w:hint="eastAsia"/>
          <w:color w:val="auto"/>
        </w:rPr>
      </w:pPr>
      <w:r>
        <w:rPr>
          <w:color w:val="auto"/>
        </w:rPr>
        <w:t>_________________________________</w:t>
      </w:r>
    </w:p>
    <w:sectPr>
      <w:pgSz w:w="11906" w:h="16838"/>
      <w:pgMar w:top="567" w:right="1134" w:bottom="1134" w:left="1418"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Noto Serif CJK SC">
    <w:panose1 w:val="02020400000000000000"/>
    <w:charset w:val="86"/>
    <w:family w:val="auto"/>
    <w:pitch w:val="default"/>
    <w:sig w:usb0="30000083" w:usb1="2BDF3C10" w:usb2="00000016" w:usb3="00000000" w:csb0="602E0107" w:csb1="00000000"/>
  </w:font>
  <w:font w:name="Noto Sans CJK SC">
    <w:panose1 w:val="020B0500000000000000"/>
    <w:charset w:val="86"/>
    <w:family w:val="auto"/>
    <w:pitch w:val="default"/>
    <w:sig w:usb0="30000083" w:usb1="2BDF3C10" w:usb2="00000016" w:usb3="00000000" w:csb0="602E0107"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16B45">
    <w:pPr>
      <w:pStyle w:val="41"/>
    </w:pPr>
    <w:r>
      <w:fldChar w:fldCharType="begin"/>
    </w:r>
    <w:r>
      <w:instrText xml:space="preserve"> PAGE  \* MERGEFORMAT </w:instrText>
    </w:r>
    <w:r>
      <w:fldChar w:fldCharType="separate"/>
    </w:r>
    <w:r>
      <w:t>I</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0BD41">
    <w:pPr>
      <w:pStyle w:val="42"/>
      <w:rPr>
        <w:rFonts w:hint="eastAsia" w:eastAsia="黑体"/>
        <w:lang w:val="en-US" w:eastAsia="zh-CN"/>
      </w:rPr>
    </w:pPr>
    <w:r>
      <w:rPr>
        <w:rFonts w:hint="eastAsia"/>
        <w:lang w:val="en-US" w:eastAsia="zh-CN"/>
      </w:rPr>
      <w:t>T/CSF</w:t>
    </w:r>
    <w:r>
      <w:t xml:space="preserve"> XXXXX—202</w:t>
    </w:r>
    <w:r>
      <w:rPr>
        <w:rFonts w:hint="eastAsia"/>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5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14"/>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50"/>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983844"/>
    <w:multiLevelType w:val="multilevel"/>
    <w:tmpl w:val="0D983844"/>
    <w:lvl w:ilvl="0" w:tentative="0">
      <w:start w:val="1"/>
      <w:numFmt w:val="decimal"/>
      <w:pStyle w:val="12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0DDE2B46"/>
    <w:multiLevelType w:val="multilevel"/>
    <w:tmpl w:val="0DDE2B46"/>
    <w:lvl w:ilvl="0" w:tentative="0">
      <w:start w:val="1"/>
      <w:numFmt w:val="lowerLetter"/>
      <w:pStyle w:val="119"/>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DBF583A"/>
    <w:multiLevelType w:val="multilevel"/>
    <w:tmpl w:val="1DBF583A"/>
    <w:lvl w:ilvl="0" w:tentative="0">
      <w:start w:val="1"/>
      <w:numFmt w:val="decimal"/>
      <w:pStyle w:val="63"/>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tentative="0">
      <w:start w:val="1"/>
      <w:numFmt w:val="decimal"/>
      <w:pStyle w:val="43"/>
      <w:suff w:val="nothing"/>
      <w:lvlText w:val="%1　"/>
      <w:lvlJc w:val="left"/>
      <w:pPr>
        <w:ind w:left="284" w:firstLine="0"/>
      </w:pPr>
      <w:rPr>
        <w:rFonts w:hint="eastAsia" w:ascii="黑体" w:hAnsi="Times New Roman" w:eastAsia="黑体"/>
        <w:b w:val="0"/>
        <w:i w:val="0"/>
        <w:sz w:val="21"/>
        <w:szCs w:val="21"/>
      </w:rPr>
    </w:lvl>
    <w:lvl w:ilvl="1" w:tentative="0">
      <w:start w:val="1"/>
      <w:numFmt w:val="decimal"/>
      <w:pStyle w:val="40"/>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4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53"/>
      <w:suff w:val="nothing"/>
      <w:lvlText w:val="%1.%2.%3.%4.%5　"/>
      <w:lvlJc w:val="left"/>
      <w:pPr>
        <w:ind w:left="0" w:firstLine="0"/>
      </w:pPr>
      <w:rPr>
        <w:rFonts w:hint="eastAsia" w:ascii="黑体" w:hAnsi="Times New Roman" w:eastAsia="黑体"/>
        <w:b w:val="0"/>
        <w:i w:val="0"/>
        <w:sz w:val="21"/>
      </w:rPr>
    </w:lvl>
    <w:lvl w:ilvl="5" w:tentative="0">
      <w:start w:val="1"/>
      <w:numFmt w:val="decimal"/>
      <w:pStyle w:val="54"/>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2827D5B"/>
    <w:multiLevelType w:val="multilevel"/>
    <w:tmpl w:val="22827D5B"/>
    <w:lvl w:ilvl="0" w:tentative="0">
      <w:start w:val="1"/>
      <w:numFmt w:val="none"/>
      <w:pStyle w:val="6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8">
    <w:nsid w:val="2A8F7113"/>
    <w:multiLevelType w:val="multilevel"/>
    <w:tmpl w:val="2A8F7113"/>
    <w:lvl w:ilvl="0" w:tentative="0">
      <w:start w:val="1"/>
      <w:numFmt w:val="upperLetter"/>
      <w:pStyle w:val="96"/>
      <w:suff w:val="space"/>
      <w:lvlText w:val="%1"/>
      <w:lvlJc w:val="left"/>
      <w:pPr>
        <w:ind w:left="623" w:hanging="425"/>
      </w:pPr>
      <w:rPr>
        <w:rFonts w:hint="eastAsia"/>
      </w:rPr>
    </w:lvl>
    <w:lvl w:ilvl="1" w:tentative="0">
      <w:start w:val="1"/>
      <w:numFmt w:val="decimal"/>
      <w:pStyle w:val="97"/>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9">
    <w:nsid w:val="2C5917C3"/>
    <w:multiLevelType w:val="multilevel"/>
    <w:tmpl w:val="2C5917C3"/>
    <w:lvl w:ilvl="0" w:tentative="0">
      <w:start w:val="1"/>
      <w:numFmt w:val="none"/>
      <w:pStyle w:val="46"/>
      <w:suff w:val="nothing"/>
      <w:lvlText w:val="%1——"/>
      <w:lvlJc w:val="left"/>
      <w:pPr>
        <w:ind w:left="833" w:hanging="408"/>
      </w:pPr>
      <w:rPr>
        <w:rFonts w:hint="eastAsia"/>
      </w:rPr>
    </w:lvl>
    <w:lvl w:ilvl="1" w:tentative="0">
      <w:start w:val="1"/>
      <w:numFmt w:val="bullet"/>
      <w:pStyle w:val="47"/>
      <w:lvlText w:val=""/>
      <w:lvlJc w:val="left"/>
      <w:pPr>
        <w:tabs>
          <w:tab w:val="left" w:pos="760"/>
        </w:tabs>
        <w:ind w:left="1264" w:hanging="413"/>
      </w:pPr>
      <w:rPr>
        <w:rFonts w:hint="default" w:ascii="Symbol" w:hAnsi="Symbol"/>
        <w:color w:val="auto"/>
      </w:rPr>
    </w:lvl>
    <w:lvl w:ilvl="2" w:tentative="0">
      <w:start w:val="1"/>
      <w:numFmt w:val="bullet"/>
      <w:pStyle w:val="5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0">
    <w:nsid w:val="3D733618"/>
    <w:multiLevelType w:val="multilevel"/>
    <w:tmpl w:val="3D733618"/>
    <w:lvl w:ilvl="0" w:tentative="0">
      <w:start w:val="1"/>
      <w:numFmt w:val="decimal"/>
      <w:pStyle w:val="22"/>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1">
    <w:nsid w:val="44C50F90"/>
    <w:multiLevelType w:val="multilevel"/>
    <w:tmpl w:val="44C50F90"/>
    <w:lvl w:ilvl="0" w:tentative="0">
      <w:start w:val="1"/>
      <w:numFmt w:val="lowerLetter"/>
      <w:pStyle w:val="57"/>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4B733A5F"/>
    <w:multiLevelType w:val="multilevel"/>
    <w:tmpl w:val="4B733A5F"/>
    <w:lvl w:ilvl="0" w:tentative="0">
      <w:start w:val="1"/>
      <w:numFmt w:val="decimal"/>
      <w:pStyle w:val="60"/>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3">
    <w:nsid w:val="60B55DC2"/>
    <w:multiLevelType w:val="multilevel"/>
    <w:tmpl w:val="60B55DC2"/>
    <w:lvl w:ilvl="0" w:tentative="0">
      <w:start w:val="1"/>
      <w:numFmt w:val="upperLetter"/>
      <w:pStyle w:val="84"/>
      <w:lvlText w:val="%1"/>
      <w:lvlJc w:val="left"/>
      <w:pPr>
        <w:tabs>
          <w:tab w:val="left" w:pos="0"/>
        </w:tabs>
        <w:ind w:left="0" w:hanging="425"/>
      </w:pPr>
      <w:rPr>
        <w:rFonts w:hint="eastAsia"/>
      </w:rPr>
    </w:lvl>
    <w:lvl w:ilvl="1" w:tentative="0">
      <w:start w:val="1"/>
      <w:numFmt w:val="decimal"/>
      <w:pStyle w:val="85"/>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tentative="0">
      <w:start w:val="1"/>
      <w:numFmt w:val="decimal"/>
      <w:pStyle w:val="12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8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1"/>
      <w:suff w:val="nothing"/>
      <w:lvlText w:val="%1.%2.%3　"/>
      <w:lvlJc w:val="left"/>
      <w:pPr>
        <w:ind w:left="0" w:firstLine="0"/>
      </w:pPr>
      <w:rPr>
        <w:rFonts w:hint="eastAsia" w:ascii="黑体" w:hAnsi="Times New Roman" w:eastAsia="黑体"/>
        <w:b w:val="0"/>
        <w:i w:val="0"/>
        <w:sz w:val="21"/>
      </w:rPr>
    </w:lvl>
    <w:lvl w:ilvl="3" w:tentative="0">
      <w:start w:val="1"/>
      <w:numFmt w:val="decimal"/>
      <w:pStyle w:val="86"/>
      <w:suff w:val="nothing"/>
      <w:lvlText w:val="%1.%2.%3.%4　"/>
      <w:lvlJc w:val="left"/>
      <w:pPr>
        <w:ind w:left="0"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pStyle w:val="94"/>
      <w:suff w:val="nothing"/>
      <w:lvlText w:val="%1.%2.%3.%4.%5.%6　"/>
      <w:lvlJc w:val="left"/>
      <w:pPr>
        <w:ind w:left="0" w:firstLine="0"/>
      </w:pPr>
      <w:rPr>
        <w:rFonts w:hint="eastAsia" w:ascii="黑体" w:hAnsi="Times New Roman" w:eastAsia="黑体"/>
        <w:b w:val="0"/>
        <w:i w:val="0"/>
        <w:sz w:val="21"/>
      </w:rPr>
    </w:lvl>
    <w:lvl w:ilvl="6" w:tentative="0">
      <w:start w:val="1"/>
      <w:numFmt w:val="decimal"/>
      <w:pStyle w:val="9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D6C07CD"/>
    <w:multiLevelType w:val="multilevel"/>
    <w:tmpl w:val="6D6C07CD"/>
    <w:lvl w:ilvl="0" w:tentative="0">
      <w:start w:val="1"/>
      <w:numFmt w:val="lowerLetter"/>
      <w:pStyle w:val="103"/>
      <w:lvlText w:val="%1)"/>
      <w:lvlJc w:val="left"/>
      <w:pPr>
        <w:tabs>
          <w:tab w:val="left" w:pos="839"/>
        </w:tabs>
        <w:ind w:left="839" w:hanging="419"/>
      </w:pPr>
      <w:rPr>
        <w:rFonts w:hint="eastAsia" w:ascii="宋体" w:eastAsia="宋体"/>
        <w:b w:val="0"/>
        <w:i w:val="0"/>
        <w:sz w:val="21"/>
      </w:rPr>
    </w:lvl>
    <w:lvl w:ilvl="1" w:tentative="0">
      <w:start w:val="1"/>
      <w:numFmt w:val="decimal"/>
      <w:pStyle w:val="93"/>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6DBF04F4"/>
    <w:multiLevelType w:val="multilevel"/>
    <w:tmpl w:val="6DBF04F4"/>
    <w:lvl w:ilvl="0" w:tentative="0">
      <w:start w:val="1"/>
      <w:numFmt w:val="none"/>
      <w:pStyle w:val="5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0"/>
  </w:num>
  <w:num w:numId="2">
    <w:abstractNumId w:val="6"/>
  </w:num>
  <w:num w:numId="3">
    <w:abstractNumId w:val="9"/>
  </w:num>
  <w:num w:numId="4">
    <w:abstractNumId w:val="2"/>
  </w:num>
  <w:num w:numId="5">
    <w:abstractNumId w:val="11"/>
  </w:num>
  <w:num w:numId="6">
    <w:abstractNumId w:val="17"/>
  </w:num>
  <w:num w:numId="7">
    <w:abstractNumId w:val="0"/>
  </w:num>
  <w:num w:numId="8">
    <w:abstractNumId w:val="12"/>
  </w:num>
  <w:num w:numId="9">
    <w:abstractNumId w:val="7"/>
  </w:num>
  <w:num w:numId="10">
    <w:abstractNumId w:val="5"/>
  </w:num>
  <w:num w:numId="11">
    <w:abstractNumId w:val="15"/>
  </w:num>
  <w:num w:numId="12">
    <w:abstractNumId w:val="13"/>
  </w:num>
  <w:num w:numId="13">
    <w:abstractNumId w:val="16"/>
  </w:num>
  <w:num w:numId="14">
    <w:abstractNumId w:val="8"/>
  </w:num>
  <w:num w:numId="15">
    <w:abstractNumId w:val="1"/>
  </w:num>
  <w:num w:numId="16">
    <w:abstractNumId w:val="4"/>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185F"/>
    <w:rsid w:val="0000586F"/>
    <w:rsid w:val="00013D86"/>
    <w:rsid w:val="00013E02"/>
    <w:rsid w:val="0002143C"/>
    <w:rsid w:val="00025A65"/>
    <w:rsid w:val="00026C31"/>
    <w:rsid w:val="00027280"/>
    <w:rsid w:val="000320A7"/>
    <w:rsid w:val="00035925"/>
    <w:rsid w:val="0003781A"/>
    <w:rsid w:val="00064925"/>
    <w:rsid w:val="00067CDF"/>
    <w:rsid w:val="00074FBE"/>
    <w:rsid w:val="00083A09"/>
    <w:rsid w:val="0009005E"/>
    <w:rsid w:val="00092857"/>
    <w:rsid w:val="000942A4"/>
    <w:rsid w:val="000A20A9"/>
    <w:rsid w:val="000A48B1"/>
    <w:rsid w:val="000B3143"/>
    <w:rsid w:val="000C6B05"/>
    <w:rsid w:val="000C6DD6"/>
    <w:rsid w:val="000C73D4"/>
    <w:rsid w:val="000C7ACB"/>
    <w:rsid w:val="000D27C0"/>
    <w:rsid w:val="000D2CF3"/>
    <w:rsid w:val="000D3D4C"/>
    <w:rsid w:val="000D4F51"/>
    <w:rsid w:val="000D718B"/>
    <w:rsid w:val="000E0C46"/>
    <w:rsid w:val="000F030C"/>
    <w:rsid w:val="000F129C"/>
    <w:rsid w:val="000F19D9"/>
    <w:rsid w:val="001056DE"/>
    <w:rsid w:val="001124C0"/>
    <w:rsid w:val="00120600"/>
    <w:rsid w:val="0013175F"/>
    <w:rsid w:val="00136507"/>
    <w:rsid w:val="001512B4"/>
    <w:rsid w:val="001620A5"/>
    <w:rsid w:val="00164E53"/>
    <w:rsid w:val="0016699D"/>
    <w:rsid w:val="00175159"/>
    <w:rsid w:val="00176208"/>
    <w:rsid w:val="0018211B"/>
    <w:rsid w:val="001840D3"/>
    <w:rsid w:val="001900F8"/>
    <w:rsid w:val="00191258"/>
    <w:rsid w:val="00192680"/>
    <w:rsid w:val="00193037"/>
    <w:rsid w:val="00193A2C"/>
    <w:rsid w:val="001A288E"/>
    <w:rsid w:val="001B6DC2"/>
    <w:rsid w:val="001C149C"/>
    <w:rsid w:val="001C21AC"/>
    <w:rsid w:val="001C47BA"/>
    <w:rsid w:val="001C59EA"/>
    <w:rsid w:val="001D406C"/>
    <w:rsid w:val="001D41EE"/>
    <w:rsid w:val="001E0380"/>
    <w:rsid w:val="001E13B1"/>
    <w:rsid w:val="001F3A19"/>
    <w:rsid w:val="00234467"/>
    <w:rsid w:val="00237D8D"/>
    <w:rsid w:val="00241DA2"/>
    <w:rsid w:val="002464CE"/>
    <w:rsid w:val="00247FEE"/>
    <w:rsid w:val="00250E7D"/>
    <w:rsid w:val="002565D5"/>
    <w:rsid w:val="002622C0"/>
    <w:rsid w:val="002778AE"/>
    <w:rsid w:val="0028269A"/>
    <w:rsid w:val="00283590"/>
    <w:rsid w:val="00286973"/>
    <w:rsid w:val="00294E70"/>
    <w:rsid w:val="002A1924"/>
    <w:rsid w:val="002A7420"/>
    <w:rsid w:val="002B0F12"/>
    <w:rsid w:val="002B1308"/>
    <w:rsid w:val="002B4554"/>
    <w:rsid w:val="002C72D8"/>
    <w:rsid w:val="002D11FA"/>
    <w:rsid w:val="002E0DDF"/>
    <w:rsid w:val="002E2906"/>
    <w:rsid w:val="002E363B"/>
    <w:rsid w:val="002E5635"/>
    <w:rsid w:val="002E64C3"/>
    <w:rsid w:val="002E6A2C"/>
    <w:rsid w:val="002F1D8C"/>
    <w:rsid w:val="002F21DA"/>
    <w:rsid w:val="002F5859"/>
    <w:rsid w:val="002F6A20"/>
    <w:rsid w:val="00301F39"/>
    <w:rsid w:val="00325926"/>
    <w:rsid w:val="00327A8A"/>
    <w:rsid w:val="00336610"/>
    <w:rsid w:val="00343F73"/>
    <w:rsid w:val="00345060"/>
    <w:rsid w:val="0035323B"/>
    <w:rsid w:val="003609D2"/>
    <w:rsid w:val="00363F22"/>
    <w:rsid w:val="00375564"/>
    <w:rsid w:val="00383191"/>
    <w:rsid w:val="00386DED"/>
    <w:rsid w:val="003912E7"/>
    <w:rsid w:val="00393947"/>
    <w:rsid w:val="003A2275"/>
    <w:rsid w:val="003A6A4F"/>
    <w:rsid w:val="003A7088"/>
    <w:rsid w:val="003B00DF"/>
    <w:rsid w:val="003B1275"/>
    <w:rsid w:val="003B1778"/>
    <w:rsid w:val="003B51BB"/>
    <w:rsid w:val="003C11CB"/>
    <w:rsid w:val="003C75F3"/>
    <w:rsid w:val="003C78A3"/>
    <w:rsid w:val="003E1867"/>
    <w:rsid w:val="003E5729"/>
    <w:rsid w:val="003F4EE0"/>
    <w:rsid w:val="00402153"/>
    <w:rsid w:val="00402FC1"/>
    <w:rsid w:val="00403161"/>
    <w:rsid w:val="00425082"/>
    <w:rsid w:val="00431DEB"/>
    <w:rsid w:val="00433CDA"/>
    <w:rsid w:val="00446B29"/>
    <w:rsid w:val="00453F9A"/>
    <w:rsid w:val="00471D48"/>
    <w:rsid w:val="00471E91"/>
    <w:rsid w:val="00474675"/>
    <w:rsid w:val="0047470C"/>
    <w:rsid w:val="00491912"/>
    <w:rsid w:val="004A35F9"/>
    <w:rsid w:val="004B24C1"/>
    <w:rsid w:val="004C292F"/>
    <w:rsid w:val="004E34A5"/>
    <w:rsid w:val="004F17B2"/>
    <w:rsid w:val="004F630D"/>
    <w:rsid w:val="00510280"/>
    <w:rsid w:val="00513D73"/>
    <w:rsid w:val="00514A43"/>
    <w:rsid w:val="005174E5"/>
    <w:rsid w:val="00522393"/>
    <w:rsid w:val="00522620"/>
    <w:rsid w:val="00525656"/>
    <w:rsid w:val="00534C02"/>
    <w:rsid w:val="0054264B"/>
    <w:rsid w:val="00543786"/>
    <w:rsid w:val="005533D7"/>
    <w:rsid w:val="00554A21"/>
    <w:rsid w:val="005703DE"/>
    <w:rsid w:val="0058464E"/>
    <w:rsid w:val="00593B48"/>
    <w:rsid w:val="005A01CB"/>
    <w:rsid w:val="005A58FF"/>
    <w:rsid w:val="005A5EAF"/>
    <w:rsid w:val="005A64C0"/>
    <w:rsid w:val="005B3C11"/>
    <w:rsid w:val="005C1C28"/>
    <w:rsid w:val="005C6DB5"/>
    <w:rsid w:val="005D7AA1"/>
    <w:rsid w:val="005E19E7"/>
    <w:rsid w:val="005F0D35"/>
    <w:rsid w:val="00603E32"/>
    <w:rsid w:val="0061716C"/>
    <w:rsid w:val="006243A1"/>
    <w:rsid w:val="00632E56"/>
    <w:rsid w:val="00635CBA"/>
    <w:rsid w:val="0064338B"/>
    <w:rsid w:val="00646542"/>
    <w:rsid w:val="006504F4"/>
    <w:rsid w:val="00654BC9"/>
    <w:rsid w:val="006552FD"/>
    <w:rsid w:val="00663AF3"/>
    <w:rsid w:val="00666B6C"/>
    <w:rsid w:val="00672BAE"/>
    <w:rsid w:val="0068007C"/>
    <w:rsid w:val="00682682"/>
    <w:rsid w:val="00682702"/>
    <w:rsid w:val="00682CAE"/>
    <w:rsid w:val="00683F32"/>
    <w:rsid w:val="00692368"/>
    <w:rsid w:val="006A1445"/>
    <w:rsid w:val="006A2EBC"/>
    <w:rsid w:val="006A5EA0"/>
    <w:rsid w:val="006A783B"/>
    <w:rsid w:val="006A7B33"/>
    <w:rsid w:val="006B18CD"/>
    <w:rsid w:val="006B4E13"/>
    <w:rsid w:val="006B75DD"/>
    <w:rsid w:val="006C67E0"/>
    <w:rsid w:val="006C7ABA"/>
    <w:rsid w:val="006D0D60"/>
    <w:rsid w:val="006D1122"/>
    <w:rsid w:val="006D3C00"/>
    <w:rsid w:val="006D6CF4"/>
    <w:rsid w:val="006E3675"/>
    <w:rsid w:val="006E4A7F"/>
    <w:rsid w:val="00704DF6"/>
    <w:rsid w:val="0070651C"/>
    <w:rsid w:val="007132A3"/>
    <w:rsid w:val="00716421"/>
    <w:rsid w:val="00724EFB"/>
    <w:rsid w:val="007419C3"/>
    <w:rsid w:val="00744F22"/>
    <w:rsid w:val="007467A7"/>
    <w:rsid w:val="007469DD"/>
    <w:rsid w:val="0074741B"/>
    <w:rsid w:val="0074759E"/>
    <w:rsid w:val="007478EA"/>
    <w:rsid w:val="0075415C"/>
    <w:rsid w:val="00763502"/>
    <w:rsid w:val="00772C59"/>
    <w:rsid w:val="007913AB"/>
    <w:rsid w:val="007914F7"/>
    <w:rsid w:val="007B1625"/>
    <w:rsid w:val="007B706E"/>
    <w:rsid w:val="007B71EB"/>
    <w:rsid w:val="007C25E3"/>
    <w:rsid w:val="007C6205"/>
    <w:rsid w:val="007C686A"/>
    <w:rsid w:val="007C728E"/>
    <w:rsid w:val="007D2C53"/>
    <w:rsid w:val="007D3D60"/>
    <w:rsid w:val="007E0A3F"/>
    <w:rsid w:val="007E1980"/>
    <w:rsid w:val="007E4B76"/>
    <w:rsid w:val="007E5EA8"/>
    <w:rsid w:val="007F0CF1"/>
    <w:rsid w:val="007F12A5"/>
    <w:rsid w:val="007F4CF1"/>
    <w:rsid w:val="007F758D"/>
    <w:rsid w:val="007F7D52"/>
    <w:rsid w:val="0080535A"/>
    <w:rsid w:val="0080654C"/>
    <w:rsid w:val="008071C6"/>
    <w:rsid w:val="00817A00"/>
    <w:rsid w:val="00835DB3"/>
    <w:rsid w:val="0083617B"/>
    <w:rsid w:val="008371BD"/>
    <w:rsid w:val="008504A8"/>
    <w:rsid w:val="0085282E"/>
    <w:rsid w:val="00867B9A"/>
    <w:rsid w:val="0087198C"/>
    <w:rsid w:val="00872C1F"/>
    <w:rsid w:val="00873B42"/>
    <w:rsid w:val="008856D8"/>
    <w:rsid w:val="00892E82"/>
    <w:rsid w:val="008C1B58"/>
    <w:rsid w:val="008C39AE"/>
    <w:rsid w:val="008C590D"/>
    <w:rsid w:val="008E031B"/>
    <w:rsid w:val="008E7029"/>
    <w:rsid w:val="008E7EF6"/>
    <w:rsid w:val="008F1F98"/>
    <w:rsid w:val="008F6758"/>
    <w:rsid w:val="009040DD"/>
    <w:rsid w:val="00905B47"/>
    <w:rsid w:val="0091331C"/>
    <w:rsid w:val="009279DE"/>
    <w:rsid w:val="00930116"/>
    <w:rsid w:val="0093446D"/>
    <w:rsid w:val="0094212C"/>
    <w:rsid w:val="00954689"/>
    <w:rsid w:val="009617C9"/>
    <w:rsid w:val="00961C93"/>
    <w:rsid w:val="00965324"/>
    <w:rsid w:val="0097091E"/>
    <w:rsid w:val="009760D3"/>
    <w:rsid w:val="00977132"/>
    <w:rsid w:val="00981A4B"/>
    <w:rsid w:val="00982501"/>
    <w:rsid w:val="0098485D"/>
    <w:rsid w:val="009877D3"/>
    <w:rsid w:val="00994E8F"/>
    <w:rsid w:val="009951DC"/>
    <w:rsid w:val="009959BB"/>
    <w:rsid w:val="00997158"/>
    <w:rsid w:val="009A3A7C"/>
    <w:rsid w:val="009B2ADB"/>
    <w:rsid w:val="009B603A"/>
    <w:rsid w:val="009C2D0E"/>
    <w:rsid w:val="009C3DAC"/>
    <w:rsid w:val="009C42E0"/>
    <w:rsid w:val="009D5362"/>
    <w:rsid w:val="009E1415"/>
    <w:rsid w:val="009E6116"/>
    <w:rsid w:val="009E79C9"/>
    <w:rsid w:val="009F476F"/>
    <w:rsid w:val="00A02E43"/>
    <w:rsid w:val="00A065F9"/>
    <w:rsid w:val="00A07F34"/>
    <w:rsid w:val="00A22154"/>
    <w:rsid w:val="00A25C38"/>
    <w:rsid w:val="00A36BBE"/>
    <w:rsid w:val="00A4307A"/>
    <w:rsid w:val="00A47EBB"/>
    <w:rsid w:val="00A51CDD"/>
    <w:rsid w:val="00A6730D"/>
    <w:rsid w:val="00A71625"/>
    <w:rsid w:val="00A71B9B"/>
    <w:rsid w:val="00A751C7"/>
    <w:rsid w:val="00A87844"/>
    <w:rsid w:val="00AA038C"/>
    <w:rsid w:val="00AA7A09"/>
    <w:rsid w:val="00AB3B50"/>
    <w:rsid w:val="00AC05B1"/>
    <w:rsid w:val="00AD356C"/>
    <w:rsid w:val="00AE2914"/>
    <w:rsid w:val="00AE6D15"/>
    <w:rsid w:val="00B04182"/>
    <w:rsid w:val="00B07AE3"/>
    <w:rsid w:val="00B11430"/>
    <w:rsid w:val="00B353EB"/>
    <w:rsid w:val="00B439C4"/>
    <w:rsid w:val="00B4535E"/>
    <w:rsid w:val="00B52A8C"/>
    <w:rsid w:val="00B636A8"/>
    <w:rsid w:val="00B665C6"/>
    <w:rsid w:val="00B73CA8"/>
    <w:rsid w:val="00B805AF"/>
    <w:rsid w:val="00B869EC"/>
    <w:rsid w:val="00B9397A"/>
    <w:rsid w:val="00B9633D"/>
    <w:rsid w:val="00BA0B75"/>
    <w:rsid w:val="00BA2EBE"/>
    <w:rsid w:val="00BB0F28"/>
    <w:rsid w:val="00BB458A"/>
    <w:rsid w:val="00BD00D3"/>
    <w:rsid w:val="00BD1659"/>
    <w:rsid w:val="00BD3AA9"/>
    <w:rsid w:val="00BD4A18"/>
    <w:rsid w:val="00BD6DB2"/>
    <w:rsid w:val="00BE11CF"/>
    <w:rsid w:val="00BE21AB"/>
    <w:rsid w:val="00BE55CB"/>
    <w:rsid w:val="00BF617A"/>
    <w:rsid w:val="00BF6FCE"/>
    <w:rsid w:val="00C0379D"/>
    <w:rsid w:val="00C03931"/>
    <w:rsid w:val="00C05FE3"/>
    <w:rsid w:val="00C2136D"/>
    <w:rsid w:val="00C214EE"/>
    <w:rsid w:val="00C2314B"/>
    <w:rsid w:val="00C24971"/>
    <w:rsid w:val="00C26BE5"/>
    <w:rsid w:val="00C26E4D"/>
    <w:rsid w:val="00C27909"/>
    <w:rsid w:val="00C27B03"/>
    <w:rsid w:val="00C314E1"/>
    <w:rsid w:val="00C34397"/>
    <w:rsid w:val="00C3788B"/>
    <w:rsid w:val="00C4095D"/>
    <w:rsid w:val="00C5174A"/>
    <w:rsid w:val="00C601D2"/>
    <w:rsid w:val="00C65BCC"/>
    <w:rsid w:val="00C66970"/>
    <w:rsid w:val="00C8691C"/>
    <w:rsid w:val="00CA1506"/>
    <w:rsid w:val="00CA168A"/>
    <w:rsid w:val="00CA357E"/>
    <w:rsid w:val="00CA44F9"/>
    <w:rsid w:val="00CA4A69"/>
    <w:rsid w:val="00CC3E0C"/>
    <w:rsid w:val="00CC58D3"/>
    <w:rsid w:val="00CC784D"/>
    <w:rsid w:val="00CD3CA8"/>
    <w:rsid w:val="00CE7D42"/>
    <w:rsid w:val="00D0337B"/>
    <w:rsid w:val="00D079B2"/>
    <w:rsid w:val="00D114E9"/>
    <w:rsid w:val="00D429C6"/>
    <w:rsid w:val="00D47748"/>
    <w:rsid w:val="00D54CC3"/>
    <w:rsid w:val="00D6041A"/>
    <w:rsid w:val="00D633EB"/>
    <w:rsid w:val="00D82FF7"/>
    <w:rsid w:val="00D847FE"/>
    <w:rsid w:val="00D964EA"/>
    <w:rsid w:val="00D966D0"/>
    <w:rsid w:val="00DA0C59"/>
    <w:rsid w:val="00DA3991"/>
    <w:rsid w:val="00DA4FE4"/>
    <w:rsid w:val="00DB0990"/>
    <w:rsid w:val="00DB7E6C"/>
    <w:rsid w:val="00DC3B0F"/>
    <w:rsid w:val="00DD5A29"/>
    <w:rsid w:val="00DD5D9D"/>
    <w:rsid w:val="00DE35CB"/>
    <w:rsid w:val="00DE3ED4"/>
    <w:rsid w:val="00DF21E9"/>
    <w:rsid w:val="00E00F14"/>
    <w:rsid w:val="00E00F34"/>
    <w:rsid w:val="00E06386"/>
    <w:rsid w:val="00E11569"/>
    <w:rsid w:val="00E24EB4"/>
    <w:rsid w:val="00E320ED"/>
    <w:rsid w:val="00E32CDD"/>
    <w:rsid w:val="00E33AFB"/>
    <w:rsid w:val="00E34218"/>
    <w:rsid w:val="00E46282"/>
    <w:rsid w:val="00E50C96"/>
    <w:rsid w:val="00E5216E"/>
    <w:rsid w:val="00E55BC0"/>
    <w:rsid w:val="00E70F3E"/>
    <w:rsid w:val="00E71BD5"/>
    <w:rsid w:val="00E82344"/>
    <w:rsid w:val="00E84C82"/>
    <w:rsid w:val="00E84D64"/>
    <w:rsid w:val="00E87408"/>
    <w:rsid w:val="00E914C4"/>
    <w:rsid w:val="00E934F5"/>
    <w:rsid w:val="00E96961"/>
    <w:rsid w:val="00EA72EC"/>
    <w:rsid w:val="00EB11CB"/>
    <w:rsid w:val="00EB275A"/>
    <w:rsid w:val="00EB786A"/>
    <w:rsid w:val="00EC1578"/>
    <w:rsid w:val="00EC1C72"/>
    <w:rsid w:val="00EC3CC9"/>
    <w:rsid w:val="00EC680A"/>
    <w:rsid w:val="00EE2BED"/>
    <w:rsid w:val="00EE374B"/>
    <w:rsid w:val="00F11BB5"/>
    <w:rsid w:val="00F1417B"/>
    <w:rsid w:val="00F34B99"/>
    <w:rsid w:val="00F45F6C"/>
    <w:rsid w:val="00F52DAB"/>
    <w:rsid w:val="00F52EAE"/>
    <w:rsid w:val="00F543F0"/>
    <w:rsid w:val="00F61345"/>
    <w:rsid w:val="00F81D29"/>
    <w:rsid w:val="00F91C4D"/>
    <w:rsid w:val="00F92FD9"/>
    <w:rsid w:val="00FA6684"/>
    <w:rsid w:val="00FA731E"/>
    <w:rsid w:val="00FB2B38"/>
    <w:rsid w:val="00FB2FE7"/>
    <w:rsid w:val="00FC6358"/>
    <w:rsid w:val="00FD01CF"/>
    <w:rsid w:val="00FD320D"/>
    <w:rsid w:val="00FE23DE"/>
    <w:rsid w:val="00FF4E8B"/>
    <w:rsid w:val="03336B49"/>
    <w:rsid w:val="170D313F"/>
    <w:rsid w:val="1EECAC6A"/>
    <w:rsid w:val="21865D56"/>
    <w:rsid w:val="223F3DF4"/>
    <w:rsid w:val="277B51EB"/>
    <w:rsid w:val="2A2D4EF4"/>
    <w:rsid w:val="2AD76BDC"/>
    <w:rsid w:val="2FFEC32B"/>
    <w:rsid w:val="35686908"/>
    <w:rsid w:val="3D5731C1"/>
    <w:rsid w:val="3DAF53FE"/>
    <w:rsid w:val="3F8F50DE"/>
    <w:rsid w:val="3FCFD831"/>
    <w:rsid w:val="3FEF399A"/>
    <w:rsid w:val="46C2478C"/>
    <w:rsid w:val="482C0F74"/>
    <w:rsid w:val="4FF7802B"/>
    <w:rsid w:val="52FF9F94"/>
    <w:rsid w:val="59F6E788"/>
    <w:rsid w:val="5B6559F2"/>
    <w:rsid w:val="5D63220A"/>
    <w:rsid w:val="5DFDC7B7"/>
    <w:rsid w:val="5EFCC8FF"/>
    <w:rsid w:val="5FDA3E9C"/>
    <w:rsid w:val="5FDF9C73"/>
    <w:rsid w:val="618F7F22"/>
    <w:rsid w:val="661F7520"/>
    <w:rsid w:val="673C4053"/>
    <w:rsid w:val="6C6F403E"/>
    <w:rsid w:val="6ECE131C"/>
    <w:rsid w:val="6FFD062E"/>
    <w:rsid w:val="72CDE5DD"/>
    <w:rsid w:val="73D42A5D"/>
    <w:rsid w:val="757FAD61"/>
    <w:rsid w:val="77BFA1F0"/>
    <w:rsid w:val="79FEF508"/>
    <w:rsid w:val="7AFEBDE1"/>
    <w:rsid w:val="7C166FB3"/>
    <w:rsid w:val="7CBAE2E7"/>
    <w:rsid w:val="7CD74EFE"/>
    <w:rsid w:val="7DAF69ED"/>
    <w:rsid w:val="7DBF6C2D"/>
    <w:rsid w:val="7DFB203A"/>
    <w:rsid w:val="7EB93878"/>
    <w:rsid w:val="7F5F7660"/>
    <w:rsid w:val="7FECFB34"/>
    <w:rsid w:val="7FEDD2CE"/>
    <w:rsid w:val="7FEF7BDE"/>
    <w:rsid w:val="99DB4DB1"/>
    <w:rsid w:val="9FBFBDF8"/>
    <w:rsid w:val="9FF0C3B8"/>
    <w:rsid w:val="AC54392A"/>
    <w:rsid w:val="B7F2ED78"/>
    <w:rsid w:val="BFBBA6F4"/>
    <w:rsid w:val="CFFEA85C"/>
    <w:rsid w:val="D77B9F03"/>
    <w:rsid w:val="D7F73224"/>
    <w:rsid w:val="DF64516C"/>
    <w:rsid w:val="DF7F83C6"/>
    <w:rsid w:val="DFE9EC6A"/>
    <w:rsid w:val="E37D51B3"/>
    <w:rsid w:val="E5DF6396"/>
    <w:rsid w:val="EEFD08F1"/>
    <w:rsid w:val="EFB80D9F"/>
    <w:rsid w:val="EFFB4897"/>
    <w:rsid w:val="EFFFB942"/>
    <w:rsid w:val="F3FFC324"/>
    <w:rsid w:val="F7B8C1E9"/>
    <w:rsid w:val="F7BE833E"/>
    <w:rsid w:val="F7EABD51"/>
    <w:rsid w:val="F867BC71"/>
    <w:rsid w:val="F97C1231"/>
    <w:rsid w:val="FBBEEAF5"/>
    <w:rsid w:val="FDDDF817"/>
    <w:rsid w:val="FEFF17C7"/>
    <w:rsid w:val="FFAB4153"/>
    <w:rsid w:val="FFB336A1"/>
    <w:rsid w:val="FFCF63EE"/>
    <w:rsid w:val="FFD93A86"/>
    <w:rsid w:val="FFF74751"/>
    <w:rsid w:val="FFFB59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2">
    <w:name w:val="toc 7"/>
    <w:basedOn w:val="1"/>
    <w:next w:val="1"/>
    <w:semiHidden/>
    <w:qFormat/>
    <w:uiPriority w:val="0"/>
    <w:pPr>
      <w:tabs>
        <w:tab w:val="right" w:leader="dot" w:pos="9241"/>
      </w:tabs>
      <w:ind w:firstLine="505"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annotation text"/>
    <w:basedOn w:val="1"/>
    <w:semiHidden/>
    <w:unhideWhenUsed/>
    <w:qFormat/>
    <w:uiPriority w:val="99"/>
    <w:pPr>
      <w:jc w:val="left"/>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qFormat/>
    <w:uiPriority w:val="39"/>
    <w:pPr>
      <w:tabs>
        <w:tab w:val="right" w:leader="dot" w:pos="9241"/>
      </w:tabs>
      <w:ind w:firstLine="102" w:firstLineChars="100"/>
      <w:jc w:val="left"/>
    </w:pPr>
    <w:rPr>
      <w:rFonts w:ascii="宋体"/>
      <w:szCs w:val="21"/>
    </w:rPr>
  </w:style>
  <w:style w:type="paragraph" w:styleId="12">
    <w:name w:val="toc 8"/>
    <w:basedOn w:val="1"/>
    <w:next w:val="1"/>
    <w:semiHidden/>
    <w:qFormat/>
    <w:uiPriority w:val="0"/>
    <w:pPr>
      <w:tabs>
        <w:tab w:val="right" w:leader="dot" w:pos="9241"/>
      </w:tabs>
      <w:ind w:firstLine="607" w:firstLineChars="600"/>
      <w:jc w:val="left"/>
    </w:pPr>
    <w:rPr>
      <w:rFonts w:ascii="宋体"/>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endnote text"/>
    <w:basedOn w:val="1"/>
    <w:semiHidden/>
    <w:qFormat/>
    <w:uiPriority w:val="0"/>
    <w:pPr>
      <w:snapToGrid w:val="0"/>
      <w:jc w:val="left"/>
    </w:pPr>
  </w:style>
  <w:style w:type="paragraph" w:styleId="15">
    <w:name w:val="footer"/>
    <w:basedOn w:val="1"/>
    <w:qFormat/>
    <w:uiPriority w:val="0"/>
    <w:pPr>
      <w:snapToGrid w:val="0"/>
      <w:ind w:right="210" w:rightChars="100"/>
      <w:jc w:val="right"/>
    </w:pPr>
    <w:rPr>
      <w:sz w:val="18"/>
      <w:szCs w:val="18"/>
    </w:rPr>
  </w:style>
  <w:style w:type="paragraph" w:styleId="16">
    <w:name w:val="header"/>
    <w:basedOn w:val="1"/>
    <w:qFormat/>
    <w:uiPriority w:val="0"/>
    <w:pPr>
      <w:snapToGrid w:val="0"/>
      <w:jc w:val="left"/>
    </w:pPr>
    <w:rPr>
      <w:sz w:val="18"/>
      <w:szCs w:val="18"/>
    </w:rPr>
  </w:style>
  <w:style w:type="paragraph" w:styleId="17">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18">
    <w:name w:val="toc 4"/>
    <w:basedOn w:val="1"/>
    <w:next w:val="1"/>
    <w:semiHidden/>
    <w:qFormat/>
    <w:uiPriority w:val="0"/>
    <w:pPr>
      <w:tabs>
        <w:tab w:val="right" w:leader="dot" w:pos="9241"/>
      </w:tabs>
      <w:ind w:firstLine="198" w:firstLineChars="200"/>
      <w:jc w:val="left"/>
    </w:pPr>
    <w:rPr>
      <w:rFonts w:ascii="宋体"/>
      <w:szCs w:val="21"/>
    </w:rPr>
  </w:style>
  <w:style w:type="paragraph" w:styleId="19">
    <w:name w:val="index heading"/>
    <w:basedOn w:val="1"/>
    <w:next w:val="20"/>
    <w:qFormat/>
    <w:uiPriority w:val="0"/>
    <w:pPr>
      <w:spacing w:before="120" w:after="120"/>
      <w:jc w:val="center"/>
    </w:pPr>
    <w:rPr>
      <w:rFonts w:ascii="Calibri" w:hAnsi="Calibri"/>
      <w:b/>
      <w:bCs/>
      <w:iCs/>
      <w:szCs w:val="20"/>
    </w:rPr>
  </w:style>
  <w:style w:type="paragraph" w:styleId="20">
    <w:name w:val="index 1"/>
    <w:basedOn w:val="1"/>
    <w:next w:val="21"/>
    <w:qFormat/>
    <w:uiPriority w:val="0"/>
    <w:pPr>
      <w:tabs>
        <w:tab w:val="right" w:leader="dot" w:pos="9299"/>
      </w:tabs>
      <w:jc w:val="left"/>
    </w:pPr>
    <w:rPr>
      <w:rFonts w:ascii="宋体"/>
      <w:szCs w:val="21"/>
    </w:rPr>
  </w:style>
  <w:style w:type="paragraph" w:customStyle="1" w:styleId="21">
    <w:name w:val="段"/>
    <w:link w:val="3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2">
    <w:name w:val="footnote text"/>
    <w:basedOn w:val="1"/>
    <w:qFormat/>
    <w:uiPriority w:val="0"/>
    <w:pPr>
      <w:numPr>
        <w:ilvl w:val="0"/>
        <w:numId w:val="1"/>
      </w:numPr>
      <w:snapToGrid w:val="0"/>
      <w:jc w:val="left"/>
    </w:pPr>
    <w:rPr>
      <w:rFonts w:ascii="宋体"/>
      <w:sz w:val="18"/>
      <w:szCs w:val="18"/>
    </w:rPr>
  </w:style>
  <w:style w:type="paragraph" w:styleId="23">
    <w:name w:val="toc 6"/>
    <w:basedOn w:val="1"/>
    <w:next w:val="1"/>
    <w:semiHidden/>
    <w:qFormat/>
    <w:uiPriority w:val="0"/>
    <w:pPr>
      <w:tabs>
        <w:tab w:val="right" w:leader="dot" w:pos="9241"/>
      </w:tabs>
      <w:ind w:firstLine="403" w:firstLineChars="400"/>
      <w:jc w:val="left"/>
    </w:pPr>
    <w:rPr>
      <w:rFonts w:ascii="宋体"/>
      <w:szCs w:val="21"/>
    </w:rPr>
  </w:style>
  <w:style w:type="paragraph" w:styleId="24">
    <w:name w:val="index 7"/>
    <w:basedOn w:val="1"/>
    <w:next w:val="1"/>
    <w:qFormat/>
    <w:uiPriority w:val="0"/>
    <w:pPr>
      <w:ind w:left="1470" w:hanging="210"/>
      <w:jc w:val="left"/>
    </w:pPr>
    <w:rPr>
      <w:rFonts w:ascii="Calibri" w:hAnsi="Calibri"/>
      <w:sz w:val="20"/>
      <w:szCs w:val="20"/>
    </w:rPr>
  </w:style>
  <w:style w:type="paragraph" w:styleId="25">
    <w:name w:val="index 9"/>
    <w:basedOn w:val="1"/>
    <w:next w:val="1"/>
    <w:qFormat/>
    <w:uiPriority w:val="0"/>
    <w:pPr>
      <w:ind w:left="1890" w:hanging="210"/>
      <w:jc w:val="left"/>
    </w:pPr>
    <w:rPr>
      <w:rFonts w:ascii="Calibri" w:hAnsi="Calibri"/>
      <w:sz w:val="20"/>
      <w:szCs w:val="20"/>
    </w:rPr>
  </w:style>
  <w:style w:type="paragraph" w:styleId="26">
    <w:name w:val="toc 2"/>
    <w:basedOn w:val="1"/>
    <w:next w:val="1"/>
    <w:semiHidden/>
    <w:qFormat/>
    <w:uiPriority w:val="0"/>
    <w:pPr>
      <w:tabs>
        <w:tab w:val="right" w:leader="dot" w:pos="9241"/>
      </w:tabs>
    </w:pPr>
    <w:rPr>
      <w:rFonts w:ascii="宋体"/>
      <w:szCs w:val="21"/>
    </w:rPr>
  </w:style>
  <w:style w:type="paragraph" w:styleId="27">
    <w:name w:val="toc 9"/>
    <w:basedOn w:val="1"/>
    <w:next w:val="1"/>
    <w:semiHidden/>
    <w:qFormat/>
    <w:uiPriority w:val="0"/>
    <w:pPr>
      <w:ind w:left="1470"/>
      <w:jc w:val="left"/>
    </w:pPr>
    <w:rPr>
      <w:sz w:val="20"/>
      <w:szCs w:val="20"/>
    </w:r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0">
    <w:name w:val="index 2"/>
    <w:basedOn w:val="1"/>
    <w:next w:val="1"/>
    <w:qFormat/>
    <w:uiPriority w:val="0"/>
    <w:pPr>
      <w:ind w:left="420" w:hanging="210"/>
      <w:jc w:val="left"/>
    </w:pPr>
    <w:rPr>
      <w:rFonts w:ascii="Calibri" w:hAnsi="Calibri"/>
      <w:sz w:val="20"/>
      <w:szCs w:val="20"/>
    </w:rPr>
  </w:style>
  <w:style w:type="table" w:styleId="32">
    <w:name w:val="Table Grid"/>
    <w:basedOn w:val="31"/>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endnote reference"/>
    <w:semiHidden/>
    <w:qFormat/>
    <w:uiPriority w:val="0"/>
    <w:rPr>
      <w:vertAlign w:val="superscript"/>
    </w:rPr>
  </w:style>
  <w:style w:type="character" w:styleId="35">
    <w:name w:val="page number"/>
    <w:qFormat/>
    <w:uiPriority w:val="0"/>
    <w:rPr>
      <w:rFonts w:ascii="Times New Roman" w:hAnsi="Times New Roman" w:eastAsia="宋体"/>
      <w:sz w:val="18"/>
    </w:rPr>
  </w:style>
  <w:style w:type="character" w:styleId="36">
    <w:name w:val="FollowedHyperlink"/>
    <w:qFormat/>
    <w:uiPriority w:val="0"/>
    <w:rPr>
      <w:color w:val="800080"/>
      <w:u w:val="single"/>
    </w:rPr>
  </w:style>
  <w:style w:type="character" w:styleId="37">
    <w:name w:val="Hyperlink"/>
    <w:qFormat/>
    <w:uiPriority w:val="99"/>
    <w:rPr>
      <w:color w:val="0000FF"/>
      <w:spacing w:val="0"/>
      <w:w w:val="100"/>
      <w:szCs w:val="21"/>
      <w:u w:val="single"/>
    </w:rPr>
  </w:style>
  <w:style w:type="character" w:styleId="38">
    <w:name w:val="footnote reference"/>
    <w:semiHidden/>
    <w:qFormat/>
    <w:uiPriority w:val="0"/>
    <w:rPr>
      <w:vertAlign w:val="superscript"/>
    </w:rPr>
  </w:style>
  <w:style w:type="character" w:customStyle="1" w:styleId="39">
    <w:name w:val="段 Char"/>
    <w:link w:val="21"/>
    <w:qFormat/>
    <w:uiPriority w:val="0"/>
    <w:rPr>
      <w:rFonts w:ascii="宋体"/>
      <w:sz w:val="21"/>
      <w:lang w:val="en-US" w:eastAsia="zh-CN" w:bidi="ar-SA"/>
    </w:rPr>
  </w:style>
  <w:style w:type="paragraph" w:customStyle="1" w:styleId="40">
    <w:name w:val="一级条标题"/>
    <w:next w:val="2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4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3">
    <w:name w:val="章标题"/>
    <w:next w:val="21"/>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4">
    <w:name w:val="二级条标题"/>
    <w:basedOn w:val="40"/>
    <w:next w:val="21"/>
    <w:qFormat/>
    <w:uiPriority w:val="0"/>
    <w:pPr>
      <w:numPr>
        <w:ilvl w:val="2"/>
        <w:numId w:val="2"/>
      </w:numPr>
      <w:spacing w:before="50" w:after="50"/>
      <w:outlineLvl w:val="3"/>
    </w:pPr>
  </w:style>
  <w:style w:type="paragraph" w:customStyle="1" w:styleId="4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46">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7">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8">
    <w:name w:val="目次、标准名称标题"/>
    <w:basedOn w:val="1"/>
    <w:next w:val="21"/>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9">
    <w:name w:val="三级条标题"/>
    <w:basedOn w:val="44"/>
    <w:next w:val="21"/>
    <w:qFormat/>
    <w:uiPriority w:val="0"/>
    <w:pPr>
      <w:numPr>
        <w:ilvl w:val="0"/>
        <w:numId w:val="0"/>
      </w:numPr>
      <w:outlineLvl w:val="4"/>
    </w:pPr>
  </w:style>
  <w:style w:type="paragraph" w:customStyle="1" w:styleId="50">
    <w:name w:val="示例"/>
    <w:next w:val="51"/>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1">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2">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53">
    <w:name w:val="四级条标题"/>
    <w:basedOn w:val="49"/>
    <w:next w:val="21"/>
    <w:qFormat/>
    <w:uiPriority w:val="0"/>
    <w:pPr>
      <w:numPr>
        <w:ilvl w:val="4"/>
        <w:numId w:val="2"/>
      </w:numPr>
      <w:outlineLvl w:val="5"/>
    </w:pPr>
  </w:style>
  <w:style w:type="paragraph" w:customStyle="1" w:styleId="54">
    <w:name w:val="五级条标题"/>
    <w:basedOn w:val="53"/>
    <w:next w:val="21"/>
    <w:qFormat/>
    <w:uiPriority w:val="0"/>
    <w:pPr>
      <w:numPr>
        <w:ilvl w:val="5"/>
        <w:numId w:val="2"/>
      </w:numPr>
      <w:outlineLvl w:val="6"/>
    </w:pPr>
  </w:style>
  <w:style w:type="paragraph" w:customStyle="1" w:styleId="55">
    <w:name w:val="注："/>
    <w:next w:val="21"/>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56">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57">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58">
    <w:name w:val="列项◆（三级）"/>
    <w:basedOn w:val="1"/>
    <w:qFormat/>
    <w:uiPriority w:val="0"/>
    <w:pPr>
      <w:numPr>
        <w:ilvl w:val="2"/>
        <w:numId w:val="3"/>
      </w:numPr>
    </w:pPr>
    <w:rPr>
      <w:rFonts w:ascii="宋体"/>
      <w:szCs w:val="21"/>
    </w:rPr>
  </w:style>
  <w:style w:type="paragraph" w:customStyle="1" w:styleId="59">
    <w:name w:val="编号列项（三级）"/>
    <w:qFormat/>
    <w:uiPriority w:val="0"/>
    <w:rPr>
      <w:rFonts w:ascii="宋体" w:hAnsi="Times New Roman" w:eastAsia="宋体" w:cs="Times New Roman"/>
      <w:sz w:val="21"/>
      <w:lang w:val="en-US" w:eastAsia="zh-CN" w:bidi="ar-SA"/>
    </w:rPr>
  </w:style>
  <w:style w:type="paragraph" w:customStyle="1" w:styleId="60">
    <w:name w:val="示例×："/>
    <w:basedOn w:val="43"/>
    <w:qFormat/>
    <w:uiPriority w:val="0"/>
    <w:pPr>
      <w:numPr>
        <w:ilvl w:val="0"/>
        <w:numId w:val="8"/>
      </w:numPr>
      <w:spacing w:before="0" w:beforeLines="0" w:after="0" w:afterLines="0"/>
      <w:outlineLvl w:val="9"/>
    </w:pPr>
    <w:rPr>
      <w:rFonts w:ascii="宋体" w:eastAsia="宋体"/>
      <w:sz w:val="18"/>
      <w:szCs w:val="18"/>
    </w:rPr>
  </w:style>
  <w:style w:type="paragraph" w:customStyle="1" w:styleId="61">
    <w:name w:val="二级无"/>
    <w:basedOn w:val="44"/>
    <w:qFormat/>
    <w:uiPriority w:val="0"/>
    <w:pPr>
      <w:spacing w:before="0" w:beforeLines="0" w:after="0" w:afterLines="0"/>
      <w:ind w:left="0" w:firstLine="0"/>
    </w:pPr>
    <w:rPr>
      <w:rFonts w:ascii="宋体" w:eastAsia="宋体"/>
    </w:rPr>
  </w:style>
  <w:style w:type="paragraph" w:customStyle="1" w:styleId="62">
    <w:name w:val="注：（正文）"/>
    <w:basedOn w:val="55"/>
    <w:next w:val="21"/>
    <w:qFormat/>
    <w:uiPriority w:val="0"/>
    <w:pPr>
      <w:numPr>
        <w:ilvl w:val="0"/>
        <w:numId w:val="9"/>
      </w:numPr>
    </w:pPr>
  </w:style>
  <w:style w:type="paragraph" w:customStyle="1" w:styleId="63">
    <w:name w:val="注×：（正文）"/>
    <w:qFormat/>
    <w:uiPriority w:val="0"/>
    <w:pPr>
      <w:numPr>
        <w:ilvl w:val="0"/>
        <w:numId w:val="10"/>
      </w:numPr>
      <w:jc w:val="both"/>
    </w:pPr>
    <w:rPr>
      <w:rFonts w:ascii="宋体" w:hAnsi="Times New Roman" w:eastAsia="宋体" w:cs="Times New Roman"/>
      <w:sz w:val="18"/>
      <w:szCs w:val="18"/>
      <w:lang w:val="en-US" w:eastAsia="zh-CN" w:bidi="ar-SA"/>
    </w:rPr>
  </w:style>
  <w:style w:type="paragraph" w:customStyle="1" w:styleId="64">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5">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6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7">
    <w:name w:val="标准书眉_偶数页"/>
    <w:basedOn w:val="42"/>
    <w:next w:val="1"/>
    <w:qFormat/>
    <w:uiPriority w:val="0"/>
    <w:pPr>
      <w:jc w:val="left"/>
    </w:pPr>
    <w:rPr>
      <w:rFonts w:ascii="黑体" w:eastAsia="黑体"/>
    </w:rPr>
  </w:style>
  <w:style w:type="paragraph" w:customStyle="1" w:styleId="68">
    <w:name w:val="标准书眉一"/>
    <w:qFormat/>
    <w:uiPriority w:val="0"/>
    <w:pPr>
      <w:jc w:val="both"/>
    </w:pPr>
    <w:rPr>
      <w:rFonts w:ascii="Times New Roman" w:hAnsi="Times New Roman" w:eastAsia="宋体" w:cs="Times New Roman"/>
      <w:lang w:val="en-US" w:eastAsia="zh-CN" w:bidi="ar-SA"/>
    </w:rPr>
  </w:style>
  <w:style w:type="paragraph" w:customStyle="1" w:styleId="69">
    <w:name w:val="参考文献"/>
    <w:basedOn w:val="1"/>
    <w:next w:val="2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0">
    <w:name w:val="参考文献、索引标题"/>
    <w:basedOn w:val="1"/>
    <w:next w:val="21"/>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1">
    <w:name w:val="发布"/>
    <w:qFormat/>
    <w:uiPriority w:val="0"/>
    <w:rPr>
      <w:rFonts w:ascii="黑体" w:eastAsia="黑体"/>
      <w:spacing w:val="85"/>
      <w:w w:val="100"/>
      <w:position w:val="3"/>
      <w:sz w:val="28"/>
      <w:szCs w:val="28"/>
    </w:rPr>
  </w:style>
  <w:style w:type="paragraph" w:customStyle="1" w:styleId="72">
    <w:name w:val="发布部门"/>
    <w:next w:val="2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3">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7">
    <w:name w:val="封面标准英文名称"/>
    <w:basedOn w:val="76"/>
    <w:qFormat/>
    <w:uiPriority w:val="0"/>
    <w:pPr>
      <w:spacing w:before="370" w:line="400" w:lineRule="exact"/>
    </w:pPr>
    <w:rPr>
      <w:rFonts w:ascii="Times New Roman"/>
      <w:sz w:val="28"/>
      <w:szCs w:val="28"/>
    </w:rPr>
  </w:style>
  <w:style w:type="paragraph" w:customStyle="1" w:styleId="78">
    <w:name w:val="封面一致性程度标识"/>
    <w:basedOn w:val="77"/>
    <w:qFormat/>
    <w:uiPriority w:val="0"/>
    <w:pPr>
      <w:spacing w:before="440"/>
    </w:pPr>
    <w:rPr>
      <w:rFonts w:ascii="宋体" w:eastAsia="宋体"/>
    </w:rPr>
  </w:style>
  <w:style w:type="paragraph" w:customStyle="1" w:styleId="79">
    <w:name w:val="封面标准文稿类别"/>
    <w:basedOn w:val="78"/>
    <w:qFormat/>
    <w:uiPriority w:val="0"/>
    <w:pPr>
      <w:spacing w:after="160" w:line="240" w:lineRule="auto"/>
    </w:pPr>
    <w:rPr>
      <w:sz w:val="24"/>
    </w:rPr>
  </w:style>
  <w:style w:type="paragraph" w:customStyle="1" w:styleId="80">
    <w:name w:val="封面标准文稿编辑信息"/>
    <w:basedOn w:val="79"/>
    <w:qFormat/>
    <w:uiPriority w:val="0"/>
    <w:pPr>
      <w:spacing w:before="180" w:line="180" w:lineRule="exact"/>
    </w:pPr>
    <w:rPr>
      <w:sz w:val="21"/>
    </w:rPr>
  </w:style>
  <w:style w:type="paragraph" w:customStyle="1" w:styleId="81">
    <w:name w:val="封面正文"/>
    <w:qFormat/>
    <w:uiPriority w:val="0"/>
    <w:pPr>
      <w:jc w:val="both"/>
    </w:pPr>
    <w:rPr>
      <w:rFonts w:ascii="Times New Roman" w:hAnsi="Times New Roman" w:eastAsia="宋体" w:cs="Times New Roman"/>
      <w:lang w:val="en-US" w:eastAsia="zh-CN" w:bidi="ar-SA"/>
    </w:rPr>
  </w:style>
  <w:style w:type="paragraph" w:customStyle="1" w:styleId="82">
    <w:name w:val="附录标识"/>
    <w:basedOn w:val="1"/>
    <w:next w:val="21"/>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3">
    <w:name w:val="附录标题"/>
    <w:basedOn w:val="21"/>
    <w:next w:val="21"/>
    <w:qFormat/>
    <w:uiPriority w:val="0"/>
    <w:pPr>
      <w:ind w:firstLine="0" w:firstLineChars="0"/>
      <w:jc w:val="center"/>
    </w:pPr>
    <w:rPr>
      <w:rFonts w:ascii="黑体" w:eastAsia="黑体"/>
    </w:rPr>
  </w:style>
  <w:style w:type="paragraph" w:customStyle="1" w:styleId="84">
    <w:name w:val="附录表标号"/>
    <w:basedOn w:val="1"/>
    <w:next w:val="21"/>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85">
    <w:name w:val="附录表标题"/>
    <w:basedOn w:val="1"/>
    <w:next w:val="21"/>
    <w:qFormat/>
    <w:uiPriority w:val="0"/>
    <w:pPr>
      <w:numPr>
        <w:ilvl w:val="1"/>
        <w:numId w:val="12"/>
      </w:numPr>
      <w:tabs>
        <w:tab w:val="left" w:pos="180"/>
      </w:tabs>
      <w:spacing w:before="50" w:beforeLines="50" w:after="50" w:afterLines="50"/>
      <w:ind w:left="0" w:firstLine="0"/>
      <w:jc w:val="center"/>
    </w:pPr>
    <w:rPr>
      <w:rFonts w:ascii="黑体" w:eastAsia="黑体"/>
      <w:szCs w:val="21"/>
    </w:rPr>
  </w:style>
  <w:style w:type="paragraph" w:customStyle="1" w:styleId="86">
    <w:name w:val="附录二级条标题"/>
    <w:basedOn w:val="1"/>
    <w:next w:val="21"/>
    <w:qFormat/>
    <w:uiPriority w:val="0"/>
    <w:pPr>
      <w:widowControl/>
      <w:numPr>
        <w:ilvl w:val="3"/>
        <w:numId w:val="11"/>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87">
    <w:name w:val="附录二级无"/>
    <w:basedOn w:val="86"/>
    <w:qFormat/>
    <w:uiPriority w:val="0"/>
    <w:pPr>
      <w:tabs>
        <w:tab w:val="clear" w:pos="360"/>
      </w:tabs>
      <w:spacing w:before="0" w:beforeLines="0" w:after="0" w:afterLines="0"/>
    </w:pPr>
    <w:rPr>
      <w:rFonts w:ascii="宋体" w:eastAsia="宋体"/>
      <w:szCs w:val="21"/>
    </w:rPr>
  </w:style>
  <w:style w:type="paragraph" w:customStyle="1" w:styleId="88">
    <w:name w:val="附录公式"/>
    <w:basedOn w:val="21"/>
    <w:next w:val="21"/>
    <w:link w:val="89"/>
    <w:qFormat/>
    <w:uiPriority w:val="0"/>
  </w:style>
  <w:style w:type="character" w:customStyle="1" w:styleId="89">
    <w:name w:val="附录公式 Char"/>
    <w:link w:val="88"/>
    <w:qFormat/>
    <w:uiPriority w:val="0"/>
    <w:rPr>
      <w:lang w:val="en-US" w:eastAsia="zh-CN" w:bidi="ar-SA"/>
    </w:rPr>
  </w:style>
  <w:style w:type="paragraph" w:customStyle="1" w:styleId="90">
    <w:name w:val="附录公式编号制表符"/>
    <w:basedOn w:val="1"/>
    <w:next w:val="21"/>
    <w:qFormat/>
    <w:uiPriority w:val="0"/>
    <w:pPr>
      <w:widowControl/>
      <w:tabs>
        <w:tab w:val="center" w:pos="4201"/>
        <w:tab w:val="right" w:leader="dot" w:pos="9298"/>
      </w:tabs>
      <w:autoSpaceDE w:val="0"/>
      <w:autoSpaceDN w:val="0"/>
    </w:pPr>
    <w:rPr>
      <w:rFonts w:ascii="宋体"/>
      <w:kern w:val="0"/>
      <w:szCs w:val="20"/>
    </w:rPr>
  </w:style>
  <w:style w:type="paragraph" w:customStyle="1" w:styleId="91">
    <w:name w:val="附录三级条标题"/>
    <w:basedOn w:val="86"/>
    <w:next w:val="21"/>
    <w:qFormat/>
    <w:uiPriority w:val="0"/>
    <w:pPr>
      <w:numPr>
        <w:ilvl w:val="4"/>
        <w:numId w:val="11"/>
      </w:numPr>
      <w:outlineLvl w:val="4"/>
    </w:pPr>
  </w:style>
  <w:style w:type="paragraph" w:customStyle="1" w:styleId="92">
    <w:name w:val="附录三级无"/>
    <w:basedOn w:val="91"/>
    <w:qFormat/>
    <w:uiPriority w:val="0"/>
    <w:pPr>
      <w:tabs>
        <w:tab w:val="clear" w:pos="360"/>
      </w:tabs>
      <w:spacing w:before="0" w:beforeLines="0" w:after="0" w:afterLines="0"/>
    </w:pPr>
    <w:rPr>
      <w:rFonts w:ascii="宋体" w:eastAsia="宋体"/>
      <w:szCs w:val="21"/>
    </w:rPr>
  </w:style>
  <w:style w:type="paragraph" w:customStyle="1" w:styleId="93">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94">
    <w:name w:val="附录四级条标题"/>
    <w:basedOn w:val="91"/>
    <w:next w:val="21"/>
    <w:qFormat/>
    <w:uiPriority w:val="0"/>
    <w:pPr>
      <w:numPr>
        <w:ilvl w:val="5"/>
        <w:numId w:val="11"/>
      </w:numPr>
      <w:outlineLvl w:val="5"/>
    </w:pPr>
  </w:style>
  <w:style w:type="paragraph" w:customStyle="1" w:styleId="95">
    <w:name w:val="附录四级无"/>
    <w:basedOn w:val="94"/>
    <w:qFormat/>
    <w:uiPriority w:val="0"/>
    <w:pPr>
      <w:tabs>
        <w:tab w:val="clear" w:pos="360"/>
      </w:tabs>
      <w:spacing w:before="0" w:beforeLines="0" w:after="0" w:afterLines="0"/>
    </w:pPr>
    <w:rPr>
      <w:rFonts w:ascii="宋体" w:eastAsia="宋体"/>
      <w:szCs w:val="21"/>
    </w:rPr>
  </w:style>
  <w:style w:type="paragraph" w:customStyle="1" w:styleId="96">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97">
    <w:name w:val="附录图标题"/>
    <w:basedOn w:val="1"/>
    <w:next w:val="21"/>
    <w:qFormat/>
    <w:uiPriority w:val="0"/>
    <w:pPr>
      <w:numPr>
        <w:ilvl w:val="1"/>
        <w:numId w:val="14"/>
      </w:numPr>
      <w:tabs>
        <w:tab w:val="left" w:pos="363"/>
      </w:tabs>
      <w:spacing w:before="50" w:beforeLines="50" w:after="50" w:afterLines="50"/>
      <w:ind w:left="0" w:firstLine="0"/>
      <w:jc w:val="center"/>
    </w:pPr>
    <w:rPr>
      <w:rFonts w:ascii="黑体" w:eastAsia="黑体"/>
      <w:szCs w:val="21"/>
    </w:rPr>
  </w:style>
  <w:style w:type="paragraph" w:customStyle="1" w:styleId="98">
    <w:name w:val="附录五级条标题"/>
    <w:basedOn w:val="94"/>
    <w:next w:val="21"/>
    <w:qFormat/>
    <w:uiPriority w:val="0"/>
    <w:pPr>
      <w:numPr>
        <w:ilvl w:val="6"/>
        <w:numId w:val="11"/>
      </w:numPr>
      <w:outlineLvl w:val="6"/>
    </w:pPr>
  </w:style>
  <w:style w:type="paragraph" w:customStyle="1" w:styleId="99">
    <w:name w:val="附录五级无"/>
    <w:basedOn w:val="98"/>
    <w:qFormat/>
    <w:uiPriority w:val="0"/>
    <w:pPr>
      <w:tabs>
        <w:tab w:val="clear" w:pos="360"/>
      </w:tabs>
      <w:spacing w:before="0" w:beforeLines="0" w:after="0" w:afterLines="0"/>
    </w:pPr>
    <w:rPr>
      <w:rFonts w:ascii="宋体" w:eastAsia="宋体"/>
      <w:szCs w:val="21"/>
    </w:rPr>
  </w:style>
  <w:style w:type="paragraph" w:customStyle="1" w:styleId="100">
    <w:name w:val="附录章标题"/>
    <w:next w:val="21"/>
    <w:qFormat/>
    <w:uiPriority w:val="0"/>
    <w:pPr>
      <w:numPr>
        <w:ilvl w:val="1"/>
        <w:numId w:val="11"/>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1">
    <w:name w:val="附录一级条标题"/>
    <w:basedOn w:val="100"/>
    <w:next w:val="21"/>
    <w:qFormat/>
    <w:uiPriority w:val="0"/>
    <w:pPr>
      <w:numPr>
        <w:ilvl w:val="2"/>
        <w:numId w:val="11"/>
      </w:numPr>
      <w:autoSpaceDN w:val="0"/>
      <w:spacing w:before="50" w:beforeLines="50" w:after="50" w:afterLines="50"/>
      <w:outlineLvl w:val="2"/>
    </w:pPr>
  </w:style>
  <w:style w:type="paragraph" w:customStyle="1" w:styleId="102">
    <w:name w:val="附录一级无"/>
    <w:basedOn w:val="101"/>
    <w:qFormat/>
    <w:uiPriority w:val="0"/>
    <w:pPr>
      <w:tabs>
        <w:tab w:val="clear" w:pos="360"/>
      </w:tabs>
      <w:spacing w:before="0" w:beforeLines="0" w:after="0" w:afterLines="0"/>
    </w:pPr>
    <w:rPr>
      <w:rFonts w:ascii="宋体" w:eastAsia="宋体"/>
      <w:szCs w:val="21"/>
    </w:rPr>
  </w:style>
  <w:style w:type="paragraph" w:customStyle="1" w:styleId="103">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0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5">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07">
    <w:name w:val="其他标准标志"/>
    <w:basedOn w:val="64"/>
    <w:qFormat/>
    <w:uiPriority w:val="0"/>
    <w:pPr>
      <w:framePr w:w="6101" w:vAnchor="page" w:hAnchor="page" w:x="4673" w:y="942"/>
    </w:pPr>
    <w:rPr>
      <w:w w:val="130"/>
    </w:rPr>
  </w:style>
  <w:style w:type="paragraph" w:customStyle="1" w:styleId="108">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9">
    <w:name w:val="其他发布部门"/>
    <w:basedOn w:val="72"/>
    <w:qFormat/>
    <w:uiPriority w:val="0"/>
    <w:pPr>
      <w:framePr w:y="15310"/>
      <w:spacing w:line="0" w:lineRule="atLeast"/>
    </w:pPr>
    <w:rPr>
      <w:rFonts w:ascii="黑体" w:eastAsia="黑体"/>
      <w:b w:val="0"/>
    </w:rPr>
  </w:style>
  <w:style w:type="paragraph" w:customStyle="1" w:styleId="110">
    <w:name w:val="前言、引言标题"/>
    <w:next w:val="2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1">
    <w:name w:val="三级无"/>
    <w:basedOn w:val="49"/>
    <w:qFormat/>
    <w:uiPriority w:val="0"/>
    <w:pPr>
      <w:spacing w:before="0" w:beforeLines="0" w:after="0" w:afterLines="0"/>
    </w:pPr>
    <w:rPr>
      <w:rFonts w:ascii="宋体" w:eastAsia="宋体"/>
    </w:rPr>
  </w:style>
  <w:style w:type="paragraph" w:customStyle="1" w:styleId="112">
    <w:name w:val="实施日期"/>
    <w:basedOn w:val="73"/>
    <w:qFormat/>
    <w:uiPriority w:val="0"/>
    <w:pPr>
      <w:framePr w:vAnchor="page" w:hAnchor="page"/>
      <w:jc w:val="right"/>
    </w:pPr>
  </w:style>
  <w:style w:type="paragraph" w:customStyle="1" w:styleId="113">
    <w:name w:val="示例后文字"/>
    <w:basedOn w:val="21"/>
    <w:next w:val="21"/>
    <w:qFormat/>
    <w:uiPriority w:val="0"/>
    <w:pPr>
      <w:ind w:firstLine="360"/>
    </w:pPr>
    <w:rPr>
      <w:sz w:val="18"/>
    </w:rPr>
  </w:style>
  <w:style w:type="paragraph" w:customStyle="1" w:styleId="114">
    <w:name w:val="首示例"/>
    <w:next w:val="21"/>
    <w:link w:val="115"/>
    <w:qFormat/>
    <w:uiPriority w:val="0"/>
    <w:pPr>
      <w:numPr>
        <w:ilvl w:val="0"/>
        <w:numId w:val="15"/>
      </w:numPr>
      <w:tabs>
        <w:tab w:val="left" w:pos="360"/>
      </w:tabs>
      <w:ind w:firstLine="0"/>
    </w:pPr>
    <w:rPr>
      <w:rFonts w:ascii="宋体" w:hAnsi="宋体" w:eastAsia="宋体" w:cs="Times New Roman"/>
      <w:kern w:val="2"/>
      <w:sz w:val="18"/>
      <w:szCs w:val="18"/>
      <w:lang w:val="en-US" w:eastAsia="zh-CN" w:bidi="ar-SA"/>
    </w:rPr>
  </w:style>
  <w:style w:type="character" w:customStyle="1" w:styleId="115">
    <w:name w:val="首示例 Char"/>
    <w:link w:val="114"/>
    <w:qFormat/>
    <w:uiPriority w:val="0"/>
    <w:rPr>
      <w:rFonts w:ascii="宋体" w:hAnsi="宋体"/>
      <w:kern w:val="2"/>
      <w:sz w:val="18"/>
      <w:szCs w:val="18"/>
      <w:lang w:val="en-US" w:eastAsia="zh-CN" w:bidi="ar-SA"/>
    </w:rPr>
  </w:style>
  <w:style w:type="paragraph" w:customStyle="1" w:styleId="116">
    <w:name w:val="四级无"/>
    <w:basedOn w:val="53"/>
    <w:qFormat/>
    <w:uiPriority w:val="0"/>
    <w:pPr>
      <w:spacing w:before="0" w:beforeLines="0" w:after="0" w:afterLines="0"/>
    </w:pPr>
    <w:rPr>
      <w:rFonts w:ascii="宋体" w:eastAsia="宋体"/>
    </w:rPr>
  </w:style>
  <w:style w:type="paragraph" w:customStyle="1" w:styleId="117">
    <w:name w:val="条文脚注"/>
    <w:basedOn w:val="22"/>
    <w:qFormat/>
    <w:uiPriority w:val="0"/>
    <w:pPr>
      <w:numPr>
        <w:ilvl w:val="0"/>
        <w:numId w:val="0"/>
      </w:numPr>
      <w:tabs>
        <w:tab w:val="clear" w:pos="0"/>
      </w:tabs>
      <w:jc w:val="both"/>
    </w:pPr>
    <w:rPr>
      <w:rFonts w:ascii="宋体"/>
    </w:rPr>
  </w:style>
  <w:style w:type="paragraph" w:customStyle="1" w:styleId="118">
    <w:name w:val="图标脚注说明"/>
    <w:basedOn w:val="21"/>
    <w:qFormat/>
    <w:uiPriority w:val="0"/>
    <w:pPr>
      <w:ind w:left="840" w:hanging="420" w:firstLineChars="0"/>
    </w:pPr>
    <w:rPr>
      <w:sz w:val="18"/>
      <w:szCs w:val="18"/>
    </w:rPr>
  </w:style>
  <w:style w:type="paragraph" w:customStyle="1" w:styleId="119">
    <w:name w:val="图表脚注说明"/>
    <w:basedOn w:val="1"/>
    <w:qFormat/>
    <w:uiPriority w:val="0"/>
    <w:pPr>
      <w:numPr>
        <w:ilvl w:val="0"/>
        <w:numId w:val="16"/>
      </w:numPr>
    </w:pPr>
    <w:rPr>
      <w:rFonts w:ascii="宋体"/>
      <w:sz w:val="18"/>
      <w:szCs w:val="18"/>
    </w:rPr>
  </w:style>
  <w:style w:type="paragraph" w:customStyle="1" w:styleId="120">
    <w:name w:val="图的脚注"/>
    <w:next w:val="2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2">
    <w:name w:val="五级无"/>
    <w:basedOn w:val="54"/>
    <w:qFormat/>
    <w:uiPriority w:val="0"/>
    <w:pPr>
      <w:spacing w:before="0" w:beforeLines="0" w:after="0" w:afterLines="0"/>
    </w:pPr>
    <w:rPr>
      <w:rFonts w:ascii="宋体" w:eastAsia="宋体"/>
    </w:rPr>
  </w:style>
  <w:style w:type="paragraph" w:customStyle="1" w:styleId="123">
    <w:name w:val="一级无"/>
    <w:basedOn w:val="40"/>
    <w:qFormat/>
    <w:uiPriority w:val="0"/>
    <w:pPr>
      <w:spacing w:before="0" w:beforeLines="0" w:after="0" w:afterLines="0"/>
    </w:pPr>
    <w:rPr>
      <w:rFonts w:ascii="宋体" w:eastAsia="宋体"/>
    </w:rPr>
  </w:style>
  <w:style w:type="paragraph" w:customStyle="1" w:styleId="124">
    <w:name w:val="正文表标题"/>
    <w:next w:val="21"/>
    <w:qFormat/>
    <w:uiPriority w:val="0"/>
    <w:pPr>
      <w:numPr>
        <w:ilvl w:val="0"/>
        <w:numId w:val="17"/>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25">
    <w:name w:val="正文公式编号制表符"/>
    <w:basedOn w:val="21"/>
    <w:next w:val="21"/>
    <w:qFormat/>
    <w:uiPriority w:val="0"/>
    <w:pPr>
      <w:ind w:firstLine="0" w:firstLineChars="0"/>
    </w:pPr>
  </w:style>
  <w:style w:type="paragraph" w:customStyle="1" w:styleId="126">
    <w:name w:val="正文图标题"/>
    <w:next w:val="21"/>
    <w:qFormat/>
    <w:uiPriority w:val="0"/>
    <w:pPr>
      <w:numPr>
        <w:ilvl w:val="0"/>
        <w:numId w:val="18"/>
      </w:numPr>
      <w:spacing w:before="156" w:beforeLines="50" w:after="156" w:afterLines="50"/>
      <w:jc w:val="center"/>
    </w:pPr>
    <w:rPr>
      <w:rFonts w:ascii="黑体" w:hAnsi="Times New Roman" w:eastAsia="黑体" w:cs="Times New Roman"/>
      <w:sz w:val="21"/>
      <w:lang w:val="en-US" w:eastAsia="zh-CN" w:bidi="ar-SA"/>
    </w:rPr>
  </w:style>
  <w:style w:type="paragraph" w:customStyle="1" w:styleId="127">
    <w:name w:val="终结线"/>
    <w:basedOn w:val="1"/>
    <w:qFormat/>
    <w:uiPriority w:val="0"/>
    <w:pPr>
      <w:framePr w:hSpace="181" w:vSpace="181" w:wrap="around" w:vAnchor="text" w:hAnchor="margin" w:xAlign="center" w:y="285"/>
    </w:pPr>
  </w:style>
  <w:style w:type="paragraph" w:customStyle="1" w:styleId="128">
    <w:name w:val="其他发布日期"/>
    <w:basedOn w:val="73"/>
    <w:qFormat/>
    <w:uiPriority w:val="0"/>
    <w:pPr>
      <w:framePr w:vAnchor="page" w:hAnchor="page" w:x="1419"/>
    </w:pPr>
  </w:style>
  <w:style w:type="paragraph" w:customStyle="1" w:styleId="129">
    <w:name w:val="其他实施日期"/>
    <w:basedOn w:val="112"/>
    <w:qFormat/>
    <w:uiPriority w:val="0"/>
  </w:style>
  <w:style w:type="paragraph" w:customStyle="1" w:styleId="130">
    <w:name w:val="封面标准名称2"/>
    <w:basedOn w:val="76"/>
    <w:qFormat/>
    <w:uiPriority w:val="0"/>
    <w:pPr>
      <w:framePr w:y="4469"/>
      <w:spacing w:before="630" w:beforeLines="630"/>
    </w:pPr>
  </w:style>
  <w:style w:type="paragraph" w:customStyle="1" w:styleId="131">
    <w:name w:val="封面标准英文名称2"/>
    <w:basedOn w:val="77"/>
    <w:qFormat/>
    <w:uiPriority w:val="0"/>
    <w:pPr>
      <w:framePr w:y="4469"/>
    </w:pPr>
  </w:style>
  <w:style w:type="paragraph" w:customStyle="1" w:styleId="132">
    <w:name w:val="封面一致性程度标识2"/>
    <w:basedOn w:val="78"/>
    <w:qFormat/>
    <w:uiPriority w:val="0"/>
    <w:pPr>
      <w:framePr w:y="4469"/>
    </w:pPr>
  </w:style>
  <w:style w:type="paragraph" w:customStyle="1" w:styleId="133">
    <w:name w:val="封面标准文稿类别2"/>
    <w:basedOn w:val="79"/>
    <w:qFormat/>
    <w:uiPriority w:val="0"/>
    <w:pPr>
      <w:framePr w:y="4469"/>
    </w:pPr>
  </w:style>
  <w:style w:type="paragraph" w:customStyle="1" w:styleId="134">
    <w:name w:val="封面标准文稿编辑信息2"/>
    <w:basedOn w:val="80"/>
    <w:qFormat/>
    <w:uiPriority w:val="0"/>
    <w:pPr>
      <w:framePr w:y="4469"/>
    </w:pPr>
  </w:style>
  <w:style w:type="paragraph" w:customStyle="1" w:styleId="135">
    <w:name w:val="Normal"/>
    <w:qFormat/>
    <w:uiPriority w:val="0"/>
    <w:pPr>
      <w:jc w:val="both"/>
    </w:pPr>
    <w:rPr>
      <w:rFonts w:ascii="Times New Roman" w:hAnsi="Times New Roman" w:eastAsia="宋体" w:cs="Times New Roman"/>
      <w:kern w:val="2"/>
      <w:sz w:val="21"/>
      <w:szCs w:val="21"/>
      <w:lang w:val="en-US" w:eastAsia="zh-CN" w:bidi="ar-SA"/>
    </w:rPr>
  </w:style>
  <w:style w:type="paragraph" w:styleId="136">
    <w:name w:val="List Paragraph"/>
    <w:basedOn w:val="1"/>
    <w:qFormat/>
    <w:uiPriority w:val="0"/>
    <w:pPr>
      <w:ind w:firstLine="420" w:firstLineChars="200"/>
    </w:pPr>
    <w:rPr>
      <w:szCs w:val="21"/>
    </w:rPr>
  </w:style>
  <w:style w:type="paragraph" w:customStyle="1" w:styleId="137">
    <w:name w:val="标准文件_段"/>
    <w:basedOn w:val="1"/>
    <w:qFormat/>
    <w:uiPriority w:val="0"/>
    <w:pPr>
      <w:widowControl/>
      <w:autoSpaceDE w:val="0"/>
      <w:autoSpaceDN w:val="0"/>
      <w:ind w:firstLine="200" w:firstLineChars="200"/>
    </w:pPr>
    <w:rPr>
      <w:rFonts w:ascii="宋体"/>
      <w:kern w:val="0"/>
      <w:szCs w:val="21"/>
    </w:rPr>
  </w:style>
  <w:style w:type="paragraph" w:customStyle="1" w:styleId="138">
    <w:name w:val="列出段落1"/>
    <w:basedOn w:val="1"/>
    <w:qFormat/>
    <w:uiPriority w:val="34"/>
    <w:pPr>
      <w:ind w:firstLine="420" w:firstLineChars="200"/>
    </w:pPr>
  </w:style>
  <w:style w:type="paragraph" w:customStyle="1" w:styleId="139">
    <w:name w:val="BodyCN"/>
    <w:qFormat/>
    <w:uiPriority w:val="0"/>
    <w:pPr>
      <w:spacing w:before="0" w:after="0" w:line="400" w:lineRule="exact"/>
      <w:ind w:firstLine="420"/>
    </w:pPr>
    <w:rPr>
      <w:rFonts w:ascii="Noto Serif CJK SC" w:hAnsi="Noto Serif CJK SC" w:eastAsia="Noto Serif CJK SC" w:cstheme="minorBidi"/>
      <w:sz w:val="21"/>
      <w:szCs w:val="22"/>
      <w:lang w:val="en-US" w:eastAsia="en-US" w:bidi="ar-SA"/>
    </w:rPr>
  </w:style>
  <w:style w:type="paragraph" w:customStyle="1" w:styleId="140">
    <w:name w:val="NoteCN"/>
    <w:qFormat/>
    <w:uiPriority w:val="0"/>
    <w:pPr>
      <w:spacing w:before="0" w:after="0" w:line="400" w:lineRule="exact"/>
      <w:ind w:firstLine="420"/>
    </w:pPr>
    <w:rPr>
      <w:rFonts w:ascii="Noto Serif CJK SC" w:hAnsi="Noto Serif CJK SC" w:eastAsia="Noto Serif CJK SC" w:cstheme="minorBidi"/>
      <w:sz w:val="19"/>
      <w:szCs w:val="22"/>
      <w:lang w:val="en-US" w:eastAsia="en-US"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zle</Company>
  <Pages>13</Pages>
  <Words>4994</Words>
  <Characters>5817</Characters>
  <Lines>46</Lines>
  <Paragraphs>13</Paragraphs>
  <TotalTime>14</TotalTime>
  <ScaleCrop>false</ScaleCrop>
  <LinksUpToDate>false</LinksUpToDate>
  <CharactersWithSpaces>6015</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2022-10-13T16:11:00Z</dcterms:created>
  <dc:creator>CNIS</dc:creator>
  <cp:lastModifiedBy>gjlcj</cp:lastModifiedBy>
  <dcterms:modified xsi:type="dcterms:W3CDTF">2026-09-02T09:56:57Z</dcterms:modified>
  <dc:title>标准名称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eyJoZGlkIjoiZTA1ODgyMDMxZTg0ZGNkNTU2NzQ0M2E1NjIxNzQyNzYiLCJ1c2VySWQiOiIzMDc1MzUyMDgifQ==</vt:lpwstr>
  </property>
  <property fmtid="{D5CDD505-2E9C-101B-9397-08002B2CF9AE}" pid="4" name="ICV">
    <vt:lpwstr>4D5B1B408463440DBF76DE6CE5AA9006_13</vt:lpwstr>
  </property>
</Properties>
</file>