
<file path=[Content_Types].xml><?xml version="1.0" encoding="utf-8"?>
<Types xmlns="http://schemas.openxmlformats.org/package/2006/content-types">
  <Default Extension="xml" ContentType="application/xml"/>
  <Default Extension="emf" ContentType="image/x-emf"/>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5A0DC">
      <w:pPr>
        <w:spacing w:line="360" w:lineRule="auto"/>
        <w:rPr>
          <w:rFonts w:hint="eastAsia" w:ascii="宋体" w:hAnsi="宋体"/>
          <w:kern w:val="0"/>
          <w:sz w:val="28"/>
          <w:szCs w:val="28"/>
        </w:rPr>
      </w:pPr>
      <w:r>
        <w:rPr>
          <w:rFonts w:hint="eastAsia" w:ascii="宋体" w:hAnsi="宋体"/>
          <w:kern w:val="0"/>
          <w:sz w:val="28"/>
          <w:szCs w:val="28"/>
        </w:rPr>
        <w:t>附件二</w:t>
      </w:r>
    </w:p>
    <w:p w14:paraId="218D269E">
      <w:pPr>
        <w:spacing w:line="360" w:lineRule="auto"/>
        <w:ind w:firstLine="420" w:firstLineChars="175"/>
        <w:rPr>
          <w:rFonts w:hint="eastAsia" w:asciiTheme="minorEastAsia" w:hAnsiTheme="minorEastAsia" w:eastAsiaTheme="minorEastAsia"/>
          <w:kern w:val="0"/>
          <w:sz w:val="24"/>
          <w:szCs w:val="24"/>
        </w:rPr>
      </w:pPr>
    </w:p>
    <w:p w14:paraId="3FD62E8F">
      <w:pPr>
        <w:spacing w:line="360" w:lineRule="auto"/>
        <w:jc w:val="center"/>
        <w:rPr>
          <w:rFonts w:hint="eastAsia" w:ascii="黑体" w:hAnsi="黑体" w:eastAsia="黑体"/>
          <w:b/>
          <w:kern w:val="0"/>
          <w:sz w:val="44"/>
          <w:szCs w:val="44"/>
        </w:rPr>
      </w:pPr>
      <w:r>
        <w:rPr>
          <w:rFonts w:hint="eastAsia" w:ascii="黑体" w:hAnsi="黑体" w:eastAsia="黑体"/>
          <w:b/>
          <w:kern w:val="0"/>
          <w:sz w:val="44"/>
          <w:szCs w:val="44"/>
        </w:rPr>
        <w:t>中国林学会团体标准编制说明</w:t>
      </w:r>
    </w:p>
    <w:p w14:paraId="2631A2B0">
      <w:pPr>
        <w:spacing w:line="360" w:lineRule="auto"/>
        <w:rPr>
          <w:rFonts w:hint="eastAsia" w:asciiTheme="minorEastAsia" w:hAnsiTheme="minorEastAsia" w:eastAsiaTheme="minorEastAsia"/>
          <w:kern w:val="0"/>
          <w:sz w:val="28"/>
          <w:szCs w:val="28"/>
        </w:rPr>
      </w:pPr>
    </w:p>
    <w:p w14:paraId="1E7663C5">
      <w:pPr>
        <w:numPr>
          <w:ilvl w:val="0"/>
          <w:numId w:val="1"/>
        </w:numPr>
        <w:spacing w:line="360" w:lineRule="auto"/>
        <w:ind w:left="0"/>
        <w:jc w:val="left"/>
        <w:rPr>
          <w:rFonts w:hint="eastAsia" w:ascii="宋体" w:hAnsi="宋体"/>
          <w:b/>
          <w:bCs/>
          <w:kern w:val="0"/>
          <w:sz w:val="28"/>
          <w:szCs w:val="28"/>
        </w:rPr>
      </w:pPr>
      <w:r>
        <w:rPr>
          <w:rFonts w:hint="eastAsia" w:ascii="宋体" w:hAnsi="宋体"/>
          <w:b/>
          <w:bCs/>
          <w:kern w:val="0"/>
          <w:sz w:val="28"/>
          <w:szCs w:val="28"/>
        </w:rPr>
        <w:t>工作简况</w:t>
      </w:r>
    </w:p>
    <w:p w14:paraId="1D58C5B6">
      <w:pPr>
        <w:spacing w:line="360" w:lineRule="auto"/>
        <w:rPr>
          <w:rFonts w:hint="eastAsia" w:ascii="宋体" w:hAnsi="宋体"/>
          <w:b/>
          <w:bCs/>
          <w:kern w:val="0"/>
          <w:sz w:val="24"/>
          <w:szCs w:val="24"/>
        </w:rPr>
      </w:pPr>
      <w:r>
        <w:rPr>
          <w:rFonts w:hint="eastAsia" w:ascii="宋体" w:hAnsi="宋体"/>
          <w:b/>
          <w:bCs/>
          <w:kern w:val="0"/>
          <w:sz w:val="24"/>
          <w:szCs w:val="24"/>
        </w:rPr>
        <w:t>1.1任务来源</w:t>
      </w:r>
    </w:p>
    <w:p w14:paraId="18EB2515">
      <w:pPr>
        <w:spacing w:line="360" w:lineRule="auto"/>
        <w:ind w:firstLine="420"/>
        <w:rPr>
          <w:rFonts w:hint="eastAsia" w:ascii="宋体" w:hAnsi="宋体"/>
          <w:kern w:val="0"/>
          <w:sz w:val="22"/>
          <w:szCs w:val="22"/>
        </w:rPr>
      </w:pPr>
      <w:r>
        <w:rPr>
          <w:rFonts w:hint="eastAsia" w:ascii="宋体" w:hAnsi="宋体"/>
          <w:kern w:val="0"/>
          <w:sz w:val="22"/>
          <w:szCs w:val="22"/>
        </w:rPr>
        <w:t>本标准《马尾松林下仿野生种植茯苓技术规程》由中国林业科学研究院亚热带林业研究所提出，拟申请列入中国林学会2026年度团体标准制修订计划。</w:t>
      </w:r>
    </w:p>
    <w:p w14:paraId="6D5521AE">
      <w:pPr>
        <w:spacing w:line="360" w:lineRule="auto"/>
        <w:ind w:firstLine="420"/>
        <w:rPr>
          <w:rFonts w:hint="eastAsia" w:ascii="宋体" w:hAnsi="宋体"/>
          <w:kern w:val="0"/>
          <w:sz w:val="22"/>
          <w:szCs w:val="22"/>
        </w:rPr>
      </w:pPr>
      <w:r>
        <w:rPr>
          <w:rFonts w:hint="eastAsia" w:ascii="宋体" w:hAnsi="宋体"/>
          <w:kern w:val="0"/>
          <w:sz w:val="22"/>
          <w:szCs w:val="22"/>
        </w:rPr>
        <w:t>本标准编制工作依托以下科研项目开展：</w:t>
      </w:r>
    </w:p>
    <w:p w14:paraId="4C4C85A4">
      <w:pPr>
        <w:numPr>
          <w:ilvl w:val="0"/>
          <w:numId w:val="2"/>
        </w:numPr>
        <w:spacing w:line="360" w:lineRule="auto"/>
        <w:ind w:firstLine="420"/>
        <w:rPr>
          <w:rFonts w:hint="eastAsia" w:ascii="宋体" w:hAnsi="宋体"/>
          <w:kern w:val="0"/>
          <w:sz w:val="22"/>
          <w:szCs w:val="22"/>
        </w:rPr>
      </w:pPr>
      <w:r>
        <w:rPr>
          <w:rFonts w:hint="eastAsia" w:ascii="宋体" w:hAnsi="宋体"/>
          <w:kern w:val="0"/>
          <w:sz w:val="22"/>
          <w:szCs w:val="22"/>
        </w:rPr>
        <w:t>国家重点研发计划项目《马尾松人工林多功能培育技术》所属课题《马尾松林下仿野生高效栽培技术研究》子课题《马尾松林下仿野生茯苓高效栽培及松木废弃物资源化利用研究》（子课题编号：2023YFD2200903-2）；</w:t>
      </w:r>
    </w:p>
    <w:p w14:paraId="591C50A2">
      <w:pPr>
        <w:numPr>
          <w:ilvl w:val="0"/>
          <w:numId w:val="2"/>
        </w:numPr>
        <w:spacing w:line="360" w:lineRule="auto"/>
        <w:ind w:firstLine="420"/>
        <w:rPr>
          <w:rFonts w:hint="eastAsia" w:ascii="宋体" w:hAnsi="宋体"/>
          <w:kern w:val="0"/>
          <w:sz w:val="22"/>
          <w:szCs w:val="22"/>
        </w:rPr>
      </w:pPr>
      <w:r>
        <w:rPr>
          <w:rFonts w:hint="eastAsia" w:ascii="宋体" w:hAnsi="宋体"/>
          <w:kern w:val="0"/>
          <w:sz w:val="22"/>
          <w:szCs w:val="22"/>
        </w:rPr>
        <w:t>世界银行贷款项目《淳安县森林生态系统修复工程松材线虫病生物防控及疫木资源化利用技术研究》（合同号：CLJY3）；</w:t>
      </w:r>
    </w:p>
    <w:p w14:paraId="20FD2B7D">
      <w:pPr>
        <w:numPr>
          <w:ilvl w:val="0"/>
          <w:numId w:val="2"/>
        </w:numPr>
        <w:spacing w:line="360" w:lineRule="auto"/>
        <w:ind w:firstLine="420"/>
        <w:rPr>
          <w:rFonts w:hint="eastAsia" w:ascii="宋体" w:hAnsi="宋体"/>
          <w:kern w:val="0"/>
          <w:sz w:val="22"/>
          <w:szCs w:val="22"/>
        </w:rPr>
      </w:pPr>
      <w:r>
        <w:rPr>
          <w:rFonts w:hint="eastAsia" w:ascii="宋体" w:hAnsi="宋体"/>
          <w:kern w:val="0"/>
          <w:sz w:val="22"/>
          <w:szCs w:val="22"/>
        </w:rPr>
        <w:t>安庆市林业科技攻关项目《茯苓袋料仿野生栽培技术研究》；</w:t>
      </w:r>
    </w:p>
    <w:p w14:paraId="6E07E92A">
      <w:pPr>
        <w:numPr>
          <w:ilvl w:val="0"/>
          <w:numId w:val="2"/>
        </w:numPr>
        <w:spacing w:line="360" w:lineRule="auto"/>
        <w:ind w:firstLine="420"/>
        <w:rPr>
          <w:rFonts w:hint="eastAsia" w:ascii="宋体" w:hAnsi="宋体"/>
          <w:kern w:val="0"/>
          <w:sz w:val="22"/>
          <w:szCs w:val="22"/>
        </w:rPr>
      </w:pPr>
      <w:r>
        <w:rPr>
          <w:rFonts w:hint="eastAsia" w:ascii="宋体" w:hAnsi="宋体"/>
          <w:kern w:val="0"/>
          <w:sz w:val="22"/>
          <w:szCs w:val="22"/>
        </w:rPr>
        <w:t>安徽天明生态林农科技开发有限公司委托项目《茯苓袋料工厂化栽培技术研究》；</w:t>
      </w:r>
    </w:p>
    <w:p w14:paraId="4A507839">
      <w:pPr>
        <w:numPr>
          <w:ilvl w:val="0"/>
          <w:numId w:val="2"/>
        </w:numPr>
        <w:spacing w:line="360" w:lineRule="auto"/>
        <w:ind w:firstLine="420"/>
        <w:rPr>
          <w:rFonts w:hint="eastAsia" w:ascii="宋体" w:hAnsi="宋体"/>
          <w:kern w:val="0"/>
          <w:sz w:val="22"/>
          <w:szCs w:val="22"/>
        </w:rPr>
      </w:pPr>
      <w:r>
        <w:rPr>
          <w:rFonts w:hint="eastAsia" w:ascii="宋体" w:hAnsi="宋体"/>
          <w:kern w:val="0"/>
          <w:sz w:val="22"/>
          <w:szCs w:val="22"/>
        </w:rPr>
        <w:t>浙江省省级林业专项科技类项目《松材线虫病除治迹地植被恢复技术及林业废弃物基质化循环利用技术示范推广》；</w:t>
      </w:r>
    </w:p>
    <w:p w14:paraId="65097CA2">
      <w:pPr>
        <w:numPr>
          <w:ilvl w:val="0"/>
          <w:numId w:val="2"/>
        </w:numPr>
        <w:spacing w:line="360" w:lineRule="auto"/>
        <w:ind w:firstLine="420"/>
        <w:rPr>
          <w:rFonts w:hint="eastAsia" w:ascii="宋体" w:hAnsi="宋体"/>
          <w:kern w:val="0"/>
          <w:sz w:val="22"/>
          <w:szCs w:val="22"/>
        </w:rPr>
      </w:pPr>
      <w:r>
        <w:rPr>
          <w:rFonts w:hint="eastAsia" w:ascii="宋体" w:hAnsi="宋体"/>
          <w:kern w:val="0"/>
          <w:sz w:val="22"/>
          <w:szCs w:val="22"/>
        </w:rPr>
        <w:t>广东林业局中央财政林草改革发展资金林草科技推广项目《茯苓林下经济高效培育技术推广》（[2026]GDTK-01号）。</w:t>
      </w:r>
    </w:p>
    <w:p w14:paraId="5BF50149">
      <w:pPr>
        <w:spacing w:line="360" w:lineRule="auto"/>
        <w:ind w:firstLine="420"/>
        <w:rPr>
          <w:rFonts w:hint="eastAsia" w:ascii="宋体" w:hAnsi="宋体"/>
          <w:kern w:val="0"/>
          <w:sz w:val="22"/>
          <w:szCs w:val="22"/>
        </w:rPr>
      </w:pPr>
      <w:r>
        <w:rPr>
          <w:rFonts w:hint="eastAsia" w:ascii="宋体" w:hAnsi="宋体"/>
          <w:kern w:val="0"/>
          <w:sz w:val="22"/>
          <w:szCs w:val="22"/>
        </w:rPr>
        <w:t>上述项目的实施为本标准关键技术指标的确定提供了充分的试验数据和实践验证基础。</w:t>
      </w:r>
    </w:p>
    <w:p w14:paraId="2F86636E">
      <w:pPr>
        <w:spacing w:before="156" w:beforeLines="50" w:after="156" w:afterLines="50" w:line="360" w:lineRule="auto"/>
        <w:rPr>
          <w:rFonts w:hint="eastAsia" w:ascii="宋体" w:hAnsi="宋体"/>
          <w:b/>
          <w:bCs/>
          <w:kern w:val="0"/>
          <w:sz w:val="24"/>
          <w:szCs w:val="24"/>
        </w:rPr>
      </w:pPr>
      <w:r>
        <w:rPr>
          <w:rFonts w:hint="eastAsia" w:ascii="宋体" w:hAnsi="宋体"/>
          <w:b/>
          <w:bCs/>
          <w:kern w:val="0"/>
          <w:sz w:val="24"/>
          <w:szCs w:val="24"/>
        </w:rPr>
        <w:t>1.2 主要起草单位、协作单位</w:t>
      </w:r>
    </w:p>
    <w:p w14:paraId="4133A1F1">
      <w:pPr>
        <w:pStyle w:val="3"/>
        <w:widowControl/>
        <w:spacing w:before="156" w:beforeLines="50" w:beforeAutospacing="0" w:after="156" w:afterLines="50" w:afterAutospacing="0" w:line="360" w:lineRule="auto"/>
        <w:rPr>
          <w:b w:val="0"/>
          <w:bCs w:val="0"/>
          <w:sz w:val="22"/>
          <w:szCs w:val="22"/>
        </w:rPr>
      </w:pPr>
      <w:r>
        <w:rPr>
          <w:sz w:val="22"/>
          <w:szCs w:val="22"/>
        </w:rPr>
        <w:t>主要起草单位</w:t>
      </w:r>
      <w:r>
        <w:rPr>
          <w:b w:val="0"/>
          <w:bCs w:val="0"/>
          <w:sz w:val="22"/>
          <w:szCs w:val="22"/>
        </w:rPr>
        <w:t>：中国林业科学研究院亚热带林业研究所</w:t>
      </w:r>
    </w:p>
    <w:p w14:paraId="1B44593E">
      <w:pPr>
        <w:pStyle w:val="3"/>
        <w:widowControl/>
        <w:spacing w:before="156" w:beforeLines="50" w:beforeAutospacing="0" w:after="156" w:afterLines="50" w:afterAutospacing="0" w:line="360" w:lineRule="auto"/>
        <w:rPr>
          <w:b w:val="0"/>
          <w:bCs w:val="0"/>
          <w:sz w:val="22"/>
          <w:szCs w:val="22"/>
        </w:rPr>
      </w:pPr>
      <w:r>
        <w:rPr>
          <w:sz w:val="22"/>
          <w:szCs w:val="22"/>
        </w:rPr>
        <w:t>协作单位：</w:t>
      </w:r>
      <w:r>
        <w:rPr>
          <w:b w:val="0"/>
          <w:bCs w:val="0"/>
          <w:sz w:val="22"/>
          <w:szCs w:val="22"/>
        </w:rPr>
        <w:t>安徽众博通真生态农业有限公司、安徽省农业科学院园艺研究所、庆元县食用菌产业中心（庆元县食用菌科研中心）、</w:t>
      </w:r>
      <w:r>
        <w:rPr>
          <w:rFonts w:hint="default"/>
          <w:b w:val="0"/>
          <w:bCs w:val="0"/>
          <w:sz w:val="22"/>
          <w:szCs w:val="22"/>
        </w:rPr>
        <w:t>淳安县</w:t>
      </w:r>
      <w:r>
        <w:rPr>
          <w:b w:val="0"/>
          <w:bCs w:val="0"/>
          <w:sz w:val="22"/>
          <w:szCs w:val="22"/>
        </w:rPr>
        <w:t>新安江生态开发集团</w:t>
      </w:r>
      <w:r>
        <w:rPr>
          <w:rFonts w:hint="default"/>
          <w:b w:val="0"/>
          <w:bCs w:val="0"/>
          <w:sz w:val="22"/>
          <w:szCs w:val="22"/>
        </w:rPr>
        <w:t>有限公司</w:t>
      </w:r>
      <w:r>
        <w:rPr>
          <w:b w:val="0"/>
          <w:bCs w:val="0"/>
          <w:sz w:val="22"/>
          <w:szCs w:val="22"/>
        </w:rPr>
        <w:t>、淳安县林业局。</w:t>
      </w:r>
    </w:p>
    <w:p w14:paraId="23E9E740">
      <w:pPr>
        <w:pStyle w:val="3"/>
        <w:widowControl/>
        <w:spacing w:beforeAutospacing="0" w:afterAutospacing="0" w:line="480" w:lineRule="auto"/>
      </w:pPr>
      <w:r>
        <w:t>1.3主要工作过程</w:t>
      </w:r>
    </w:p>
    <w:p w14:paraId="5F942158">
      <w:pPr>
        <w:spacing w:line="360" w:lineRule="auto"/>
        <w:ind w:firstLine="420"/>
        <w:rPr>
          <w:rFonts w:hint="eastAsia" w:ascii="宋体" w:hAnsi="宋体"/>
          <w:kern w:val="0"/>
          <w:sz w:val="22"/>
          <w:szCs w:val="22"/>
        </w:rPr>
      </w:pPr>
      <w:r>
        <w:rPr>
          <w:rFonts w:hint="eastAsia" w:ascii="宋体" w:hAnsi="宋体"/>
          <w:kern w:val="0"/>
          <w:sz w:val="22"/>
          <w:szCs w:val="22"/>
        </w:rPr>
        <w:t>本标准编制严格遵循中国林学会团体标准制定程序，主要经历以下阶段：</w:t>
      </w:r>
    </w:p>
    <w:p w14:paraId="74202FBD">
      <w:pPr>
        <w:spacing w:line="360" w:lineRule="auto"/>
        <w:ind w:firstLine="420"/>
        <w:rPr>
          <w:rFonts w:hint="eastAsia" w:ascii="宋体" w:hAnsi="宋体"/>
          <w:kern w:val="0"/>
          <w:sz w:val="22"/>
          <w:szCs w:val="22"/>
        </w:rPr>
      </w:pPr>
      <w:r>
        <w:rPr>
          <w:rFonts w:hint="eastAsia" w:ascii="宋体" w:hAnsi="宋体"/>
          <w:kern w:val="0"/>
          <w:sz w:val="22"/>
          <w:szCs w:val="22"/>
        </w:rPr>
        <w:t>（1）前期调研与技术梳理（2024年1月-6月）</w:t>
      </w:r>
    </w:p>
    <w:p w14:paraId="602FD806">
      <w:pPr>
        <w:widowControl/>
        <w:spacing w:line="360" w:lineRule="auto"/>
        <w:ind w:firstLine="420"/>
        <w:jc w:val="left"/>
        <w:rPr>
          <w:rFonts w:hint="eastAsia" w:ascii="宋体" w:hAnsi="宋体"/>
          <w:kern w:val="0"/>
          <w:sz w:val="22"/>
          <w:szCs w:val="22"/>
        </w:rPr>
      </w:pPr>
      <w:r>
        <w:rPr>
          <w:rFonts w:hint="eastAsia" w:ascii="宋体" w:hAnsi="宋体"/>
          <w:kern w:val="0"/>
          <w:sz w:val="22"/>
          <w:szCs w:val="22"/>
        </w:rPr>
        <w:t>编制组赴浙江、安徽等马尾松主产区开展实地调研，收集茯苓仿野生栽培技术数据，梳理树蔸栽培、袋料栽培两种模式的关键技术要点。</w:t>
      </w:r>
    </w:p>
    <w:p w14:paraId="7F02F90C">
      <w:pPr>
        <w:widowControl/>
        <w:spacing w:line="360" w:lineRule="auto"/>
        <w:ind w:firstLine="420"/>
        <w:jc w:val="left"/>
        <w:rPr>
          <w:rFonts w:hint="eastAsia" w:ascii="宋体" w:hAnsi="宋体"/>
          <w:kern w:val="0"/>
          <w:sz w:val="22"/>
          <w:szCs w:val="22"/>
        </w:rPr>
      </w:pPr>
      <w:r>
        <w:rPr>
          <w:rFonts w:hint="eastAsia" w:ascii="宋体" w:hAnsi="宋体"/>
          <w:kern w:val="0"/>
          <w:sz w:val="22"/>
          <w:szCs w:val="22"/>
        </w:rPr>
        <w:t>（2）试验验证与参数优化（2024年7月-2025年8月）</w:t>
      </w:r>
    </w:p>
    <w:p w14:paraId="42054E91">
      <w:pPr>
        <w:widowControl/>
        <w:spacing w:line="360" w:lineRule="auto"/>
        <w:ind w:firstLine="420"/>
        <w:jc w:val="left"/>
        <w:rPr>
          <w:rFonts w:hint="eastAsia" w:ascii="宋体" w:hAnsi="宋体"/>
          <w:kern w:val="0"/>
          <w:sz w:val="22"/>
          <w:szCs w:val="22"/>
        </w:rPr>
      </w:pPr>
      <w:r>
        <w:rPr>
          <w:rFonts w:hint="eastAsia" w:ascii="宋体" w:hAnsi="宋体"/>
          <w:kern w:val="0"/>
          <w:sz w:val="22"/>
          <w:szCs w:val="22"/>
        </w:rPr>
        <w:t>依托相关科研项目开展栽培试验，确定海拔、土壤pH、接种时间、覆土厚度等核心技术参数，验证病虫害绿色防控、疫木资源化利用、苓场清理等技术可行性。</w:t>
      </w:r>
    </w:p>
    <w:p w14:paraId="1971FA10">
      <w:pPr>
        <w:widowControl/>
        <w:spacing w:line="360" w:lineRule="auto"/>
        <w:ind w:firstLine="420"/>
        <w:jc w:val="left"/>
        <w:rPr>
          <w:rFonts w:hint="eastAsia" w:ascii="宋体" w:hAnsi="宋体"/>
          <w:kern w:val="0"/>
          <w:sz w:val="22"/>
          <w:szCs w:val="22"/>
        </w:rPr>
      </w:pPr>
      <w:r>
        <w:rPr>
          <w:rFonts w:hint="eastAsia" w:ascii="宋体" w:hAnsi="宋体"/>
          <w:kern w:val="0"/>
          <w:sz w:val="22"/>
          <w:szCs w:val="22"/>
        </w:rPr>
        <w:t>（3）草案起草与内部研讨（2025年9月-11月）</w:t>
      </w:r>
    </w:p>
    <w:p w14:paraId="51AE4805">
      <w:pPr>
        <w:widowControl/>
        <w:spacing w:line="360" w:lineRule="auto"/>
        <w:ind w:firstLine="420"/>
        <w:jc w:val="left"/>
        <w:rPr>
          <w:rFonts w:hint="eastAsia" w:ascii="宋体" w:hAnsi="宋体"/>
          <w:kern w:val="0"/>
          <w:sz w:val="22"/>
          <w:szCs w:val="22"/>
        </w:rPr>
      </w:pPr>
      <w:r>
        <w:rPr>
          <w:rFonts w:hint="eastAsia" w:ascii="宋体" w:hAnsi="宋体"/>
          <w:kern w:val="0"/>
          <w:sz w:val="22"/>
          <w:szCs w:val="22"/>
        </w:rPr>
        <w:t>依据GB/T1.1-2020《标准化工作导则 第1部分：标准化文件的结构和起草规则》要求，形成标准草案初稿。组织协作单位开展多次内部研讨，修改完善技术条款，形成本标准草案和征求意见稿。</w:t>
      </w:r>
    </w:p>
    <w:p w14:paraId="1EF5FBBC">
      <w:pPr>
        <w:pStyle w:val="3"/>
        <w:widowControl/>
        <w:spacing w:beforeAutospacing="0" w:afterAutospacing="0" w:line="480" w:lineRule="auto"/>
      </w:pPr>
      <w:r>
        <w:t>1.4 起草组成员及主要工作</w:t>
      </w:r>
    </w:p>
    <w:p w14:paraId="16AE233C">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张金萍：中国林业科学研究院亚热带林业研究所，牵头标准总体设计、技术内容编写、试验数据整合。</w:t>
      </w:r>
    </w:p>
    <w:p w14:paraId="7717DE00">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汪继斌：淳安县林业局，负责袋料栽培技术验证、生产实践数据收集。</w:t>
      </w:r>
    </w:p>
    <w:p w14:paraId="3690FA6D">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黄卫华：庆元县食用菌产业中心（庆元县食用菌科研中心），参与标准条款研讨、林下树蔸栽培技术调研。</w:t>
      </w:r>
    </w:p>
    <w:p w14:paraId="36431F3E">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刘明：安徽众博通真生态农业有限公司，负责袋料栽培技术验证、生产实践数据收集。</w:t>
      </w:r>
    </w:p>
    <w:p w14:paraId="7A3C7C10">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夏俊勇：</w:t>
      </w:r>
      <w:r>
        <w:rPr>
          <w:rFonts w:ascii="宋体" w:hAnsi="宋体"/>
          <w:kern w:val="0"/>
          <w:sz w:val="22"/>
          <w:szCs w:val="22"/>
        </w:rPr>
        <w:t>淳安县</w:t>
      </w:r>
      <w:r>
        <w:rPr>
          <w:rFonts w:hint="eastAsia" w:ascii="宋体" w:hAnsi="宋体"/>
          <w:kern w:val="0"/>
          <w:sz w:val="22"/>
          <w:szCs w:val="22"/>
        </w:rPr>
        <w:t>新安江生态开发集团</w:t>
      </w:r>
      <w:r>
        <w:rPr>
          <w:rFonts w:ascii="宋体" w:hAnsi="宋体"/>
          <w:kern w:val="0"/>
          <w:sz w:val="22"/>
          <w:szCs w:val="22"/>
        </w:rPr>
        <w:t>有限公司</w:t>
      </w:r>
      <w:r>
        <w:rPr>
          <w:rFonts w:hint="eastAsia" w:ascii="宋体" w:hAnsi="宋体"/>
          <w:kern w:val="0"/>
          <w:sz w:val="22"/>
          <w:szCs w:val="22"/>
        </w:rPr>
        <w:t>，负责林下树蔸栽培茯苓调研和技术梳理。</w:t>
      </w:r>
    </w:p>
    <w:p w14:paraId="50156415">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俞春来：淳安县林业局，负责林下树蔸栽培茯苓安全性技术保障和数据收集。</w:t>
      </w:r>
    </w:p>
    <w:p w14:paraId="6E80F81E">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王  晖：淳安县林业局，负责林下袋料栽培茯苓调研和技术梳理。</w:t>
      </w:r>
    </w:p>
    <w:p w14:paraId="5C899FC0">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张泽宇：中国林业科学研究院亚热带林业研究所，负责树蔸和袋料栽培茯苓技术验证、生产实践数据收集。</w:t>
      </w:r>
    </w:p>
    <w:p w14:paraId="1C9D8B83">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崔广胜：参与标准条款研讨、林间管理与病虫害防控内容完善。</w:t>
      </w:r>
    </w:p>
    <w:p w14:paraId="7008ABC5">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徐红霞：淳安县林业局，负责林下树蔸栽培茯苓安全性技术保障和数据收集。</w:t>
      </w:r>
    </w:p>
    <w:p w14:paraId="412BFEA7">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李育菘：中国林业科学研究院亚热带林业研究所，负责袋料栽培技术验证、生产实践数据收集。</w:t>
      </w:r>
    </w:p>
    <w:p w14:paraId="2726CD4A">
      <w:pPr>
        <w:widowControl/>
        <w:numPr>
          <w:ilvl w:val="0"/>
          <w:numId w:val="3"/>
        </w:numPr>
        <w:spacing w:line="360" w:lineRule="auto"/>
        <w:ind w:left="0"/>
        <w:jc w:val="left"/>
        <w:rPr>
          <w:rFonts w:hint="eastAsia" w:ascii="宋体" w:hAnsi="宋体"/>
          <w:kern w:val="0"/>
          <w:sz w:val="22"/>
          <w:szCs w:val="22"/>
        </w:rPr>
      </w:pPr>
      <w:r>
        <w:rPr>
          <w:rFonts w:hint="eastAsia" w:ascii="宋体" w:hAnsi="宋体"/>
          <w:kern w:val="0"/>
          <w:sz w:val="22"/>
          <w:szCs w:val="22"/>
        </w:rPr>
        <w:t>徐建斌：淳安县林业局，负责林下树蔸栽培茯苓安全性技术保障和数据收集。</w:t>
      </w:r>
    </w:p>
    <w:p w14:paraId="3CDB5CF0">
      <w:pPr>
        <w:numPr>
          <w:ilvl w:val="0"/>
          <w:numId w:val="1"/>
        </w:numPr>
        <w:spacing w:before="156" w:beforeLines="50" w:after="156" w:afterLines="50" w:line="360" w:lineRule="auto"/>
        <w:ind w:left="0"/>
        <w:rPr>
          <w:rFonts w:hint="eastAsia" w:ascii="宋体" w:hAnsi="宋体"/>
          <w:b/>
          <w:bCs/>
          <w:kern w:val="0"/>
          <w:sz w:val="28"/>
          <w:szCs w:val="28"/>
        </w:rPr>
      </w:pPr>
      <w:r>
        <w:rPr>
          <w:rFonts w:hint="eastAsia" w:ascii="宋体" w:hAnsi="宋体"/>
          <w:b/>
          <w:bCs/>
          <w:kern w:val="0"/>
          <w:sz w:val="28"/>
          <w:szCs w:val="28"/>
        </w:rPr>
        <w:t>标准编制原则和确定标准主要内容的依据</w:t>
      </w:r>
    </w:p>
    <w:p w14:paraId="198AE176">
      <w:pPr>
        <w:pStyle w:val="2"/>
        <w:widowControl/>
        <w:spacing w:beforeAutospacing="0" w:afterAutospacing="0" w:line="360" w:lineRule="auto"/>
        <w:rPr>
          <w:sz w:val="24"/>
          <w:szCs w:val="24"/>
        </w:rPr>
      </w:pPr>
      <w:r>
        <w:rPr>
          <w:sz w:val="24"/>
          <w:szCs w:val="24"/>
        </w:rPr>
        <w:t>2.1编制原则</w:t>
      </w:r>
    </w:p>
    <w:p w14:paraId="4A380471">
      <w:pPr>
        <w:widowControl/>
        <w:spacing w:line="360" w:lineRule="auto"/>
        <w:jc w:val="left"/>
        <w:rPr>
          <w:rFonts w:hint="eastAsia" w:ascii="宋体" w:hAnsi="宋体" w:cs="宋体"/>
          <w:sz w:val="22"/>
          <w:szCs w:val="22"/>
        </w:rPr>
      </w:pPr>
      <w:r>
        <w:rPr>
          <w:rFonts w:hint="eastAsia" w:ascii="宋体" w:hAnsi="宋体"/>
          <w:kern w:val="0"/>
          <w:sz w:val="24"/>
          <w:szCs w:val="24"/>
        </w:rPr>
        <w:t xml:space="preserve">   </w:t>
      </w:r>
      <w:r>
        <w:rPr>
          <w:rFonts w:ascii="宋体" w:hAnsi="宋体" w:cs="宋体"/>
          <w:sz w:val="22"/>
          <w:szCs w:val="22"/>
        </w:rPr>
        <w:t>本标准以生产实际需求为导向，严格遵循</w:t>
      </w:r>
      <w:r>
        <w:rPr>
          <w:rFonts w:ascii="宋体" w:hAnsi="宋体" w:cs="宋体"/>
          <w:b/>
          <w:bCs/>
          <w:sz w:val="22"/>
          <w:szCs w:val="22"/>
        </w:rPr>
        <w:t>科学性、实用性、规范性、生态性、通用性</w:t>
      </w:r>
      <w:r>
        <w:rPr>
          <w:rFonts w:ascii="宋体" w:hAnsi="宋体" w:cs="宋体"/>
          <w:sz w:val="22"/>
          <w:szCs w:val="22"/>
        </w:rPr>
        <w:t>原则，确保内容贴合产业发展、技术可行、合规严谨。</w:t>
      </w:r>
    </w:p>
    <w:p w14:paraId="7102D6BE">
      <w:pPr>
        <w:widowControl/>
        <w:numPr>
          <w:ilvl w:val="0"/>
          <w:numId w:val="4"/>
        </w:numPr>
        <w:spacing w:line="360" w:lineRule="auto"/>
        <w:ind w:firstLine="420"/>
        <w:jc w:val="left"/>
        <w:rPr>
          <w:rFonts w:hint="eastAsia" w:ascii="宋体" w:hAnsi="宋体" w:cs="宋体"/>
          <w:sz w:val="22"/>
          <w:szCs w:val="22"/>
        </w:rPr>
      </w:pPr>
      <w:r>
        <w:rPr>
          <w:rFonts w:hint="eastAsia" w:ascii="宋体" w:hAnsi="宋体" w:cs="宋体"/>
          <w:sz w:val="22"/>
          <w:szCs w:val="22"/>
        </w:rPr>
        <w:t>科学性：</w:t>
      </w:r>
      <w:r>
        <w:rPr>
          <w:rFonts w:ascii="宋体" w:hAnsi="宋体" w:cs="宋体"/>
          <w:sz w:val="22"/>
          <w:szCs w:val="22"/>
        </w:rPr>
        <w:t>各项技术参数来源于多年多点</w:t>
      </w:r>
      <w:r>
        <w:rPr>
          <w:rFonts w:hint="eastAsia" w:ascii="宋体" w:hAnsi="宋体" w:cs="宋体"/>
          <w:sz w:val="22"/>
          <w:szCs w:val="22"/>
        </w:rPr>
        <w:t>林</w:t>
      </w:r>
      <w:r>
        <w:rPr>
          <w:rFonts w:ascii="宋体" w:hAnsi="宋体" w:cs="宋体"/>
          <w:sz w:val="22"/>
          <w:szCs w:val="22"/>
        </w:rPr>
        <w:t>间试验数据和相关科研成果，指标明确、可验证</w:t>
      </w:r>
      <w:r>
        <w:rPr>
          <w:rFonts w:hint="eastAsia" w:ascii="宋体" w:hAnsi="宋体" w:cs="宋体"/>
          <w:sz w:val="22"/>
          <w:szCs w:val="22"/>
        </w:rPr>
        <w:t>；</w:t>
      </w:r>
    </w:p>
    <w:p w14:paraId="41A78E73">
      <w:pPr>
        <w:widowControl/>
        <w:numPr>
          <w:ilvl w:val="0"/>
          <w:numId w:val="4"/>
        </w:numPr>
        <w:spacing w:line="360" w:lineRule="auto"/>
        <w:ind w:firstLine="420"/>
        <w:jc w:val="left"/>
        <w:rPr>
          <w:rFonts w:hint="eastAsia" w:ascii="宋体" w:hAnsi="宋体" w:cs="宋体"/>
          <w:sz w:val="22"/>
          <w:szCs w:val="22"/>
        </w:rPr>
      </w:pPr>
      <w:r>
        <w:rPr>
          <w:rFonts w:ascii="宋体" w:hAnsi="宋体" w:cs="宋体"/>
          <w:sz w:val="22"/>
          <w:szCs w:val="22"/>
        </w:rPr>
        <w:t>实用性：技术流程简便易行，适合基层林农、合作社及企业推广应用</w:t>
      </w:r>
      <w:r>
        <w:rPr>
          <w:rFonts w:hint="eastAsia" w:ascii="宋体" w:hAnsi="宋体" w:cs="宋体"/>
          <w:sz w:val="22"/>
          <w:szCs w:val="22"/>
        </w:rPr>
        <w:t>；</w:t>
      </w:r>
    </w:p>
    <w:p w14:paraId="79B7EA35">
      <w:pPr>
        <w:widowControl/>
        <w:numPr>
          <w:ilvl w:val="0"/>
          <w:numId w:val="4"/>
        </w:numPr>
        <w:spacing w:line="360" w:lineRule="auto"/>
        <w:ind w:firstLine="420"/>
        <w:jc w:val="left"/>
        <w:rPr>
          <w:rFonts w:hint="eastAsia" w:ascii="宋体" w:hAnsi="宋体" w:cs="宋体"/>
          <w:sz w:val="22"/>
          <w:szCs w:val="22"/>
        </w:rPr>
      </w:pPr>
      <w:r>
        <w:rPr>
          <w:rFonts w:ascii="宋体" w:hAnsi="宋体" w:cs="宋体"/>
          <w:sz w:val="22"/>
          <w:szCs w:val="22"/>
        </w:rPr>
        <w:t>规范性：按照GB/T 1.1-2020要求编制，规范引用现行相关</w:t>
      </w:r>
      <w:r>
        <w:rPr>
          <w:rFonts w:hint="eastAsia" w:ascii="宋体" w:hAnsi="宋体" w:cs="宋体"/>
          <w:sz w:val="22"/>
          <w:szCs w:val="22"/>
        </w:rPr>
        <w:t>国家</w:t>
      </w:r>
      <w:r>
        <w:rPr>
          <w:rFonts w:ascii="宋体" w:hAnsi="宋体" w:cs="宋体"/>
          <w:sz w:val="22"/>
          <w:szCs w:val="22"/>
        </w:rPr>
        <w:t>标准</w:t>
      </w:r>
      <w:r>
        <w:rPr>
          <w:rFonts w:hint="eastAsia" w:ascii="宋体" w:hAnsi="宋体" w:cs="宋体"/>
          <w:sz w:val="22"/>
          <w:szCs w:val="22"/>
        </w:rPr>
        <w:t>；</w:t>
      </w:r>
    </w:p>
    <w:p w14:paraId="314E423E">
      <w:pPr>
        <w:widowControl/>
        <w:numPr>
          <w:ilvl w:val="0"/>
          <w:numId w:val="4"/>
        </w:numPr>
        <w:spacing w:line="360" w:lineRule="auto"/>
        <w:ind w:firstLine="420"/>
        <w:jc w:val="left"/>
        <w:rPr>
          <w:rFonts w:hint="eastAsia" w:ascii="宋体" w:hAnsi="宋体" w:cs="宋体"/>
          <w:sz w:val="22"/>
          <w:szCs w:val="22"/>
        </w:rPr>
      </w:pPr>
      <w:r>
        <w:rPr>
          <w:rFonts w:ascii="宋体" w:hAnsi="宋体" w:cs="宋体"/>
          <w:sz w:val="22"/>
          <w:szCs w:val="22"/>
        </w:rPr>
        <w:t>生态性：重点突出松材线虫病疫木和松木采伐剩余物的资源化利用，将生态保护、绿色防控与林下经济发展相结合</w:t>
      </w:r>
      <w:r>
        <w:rPr>
          <w:rFonts w:hint="eastAsia" w:ascii="宋体" w:hAnsi="宋体" w:cs="宋体"/>
          <w:sz w:val="22"/>
          <w:szCs w:val="22"/>
        </w:rPr>
        <w:t>；</w:t>
      </w:r>
    </w:p>
    <w:p w14:paraId="0EA1A1A1">
      <w:pPr>
        <w:widowControl/>
        <w:numPr>
          <w:ilvl w:val="0"/>
          <w:numId w:val="4"/>
        </w:numPr>
        <w:spacing w:line="360" w:lineRule="auto"/>
        <w:ind w:firstLine="420"/>
        <w:jc w:val="left"/>
        <w:rPr>
          <w:rFonts w:hint="eastAsia" w:ascii="宋体" w:hAnsi="宋体" w:cs="宋体"/>
          <w:sz w:val="22"/>
          <w:szCs w:val="22"/>
        </w:rPr>
      </w:pPr>
      <w:r>
        <w:rPr>
          <w:rFonts w:ascii="宋体" w:hAnsi="宋体" w:cs="宋体"/>
          <w:sz w:val="22"/>
          <w:szCs w:val="22"/>
        </w:rPr>
        <w:t>通用性：适用于全国马尾松分布区，覆盖</w:t>
      </w:r>
      <w:r>
        <w:rPr>
          <w:rFonts w:hint="eastAsia" w:ascii="宋体" w:hAnsi="宋体" w:cs="宋体"/>
          <w:sz w:val="22"/>
          <w:szCs w:val="22"/>
        </w:rPr>
        <w:t>树蔸</w:t>
      </w:r>
      <w:r>
        <w:rPr>
          <w:rFonts w:ascii="宋体" w:hAnsi="宋体" w:cs="宋体"/>
          <w:sz w:val="22"/>
          <w:szCs w:val="22"/>
        </w:rPr>
        <w:t>、袋料</w:t>
      </w:r>
      <w:r>
        <w:rPr>
          <w:rFonts w:hint="eastAsia" w:ascii="宋体" w:hAnsi="宋体" w:cs="宋体"/>
          <w:sz w:val="22"/>
          <w:szCs w:val="22"/>
        </w:rPr>
        <w:t>两</w:t>
      </w:r>
      <w:r>
        <w:rPr>
          <w:rFonts w:ascii="宋体" w:hAnsi="宋体" w:cs="宋体"/>
          <w:sz w:val="22"/>
          <w:szCs w:val="22"/>
        </w:rPr>
        <w:t>种栽培模式。</w:t>
      </w:r>
    </w:p>
    <w:p w14:paraId="44242C65">
      <w:pPr>
        <w:pStyle w:val="2"/>
        <w:widowControl/>
        <w:spacing w:before="156" w:beforeLines="50" w:beforeAutospacing="0" w:afterAutospacing="0" w:line="360" w:lineRule="auto"/>
        <w:rPr>
          <w:sz w:val="24"/>
          <w:szCs w:val="24"/>
        </w:rPr>
      </w:pPr>
      <w:r>
        <w:rPr>
          <w:sz w:val="24"/>
          <w:szCs w:val="24"/>
        </w:rPr>
        <w:t>2.2 主要内容确定依据</w:t>
      </w:r>
    </w:p>
    <w:p w14:paraId="6FFEE85C">
      <w:pPr>
        <w:pStyle w:val="3"/>
        <w:widowControl/>
        <w:spacing w:beforeAutospacing="0" w:afterAutospacing="0" w:line="360" w:lineRule="auto"/>
        <w:ind w:firstLine="221" w:firstLineChars="100"/>
        <w:rPr>
          <w:sz w:val="22"/>
          <w:szCs w:val="22"/>
        </w:rPr>
      </w:pPr>
      <w:r>
        <w:rPr>
          <w:sz w:val="22"/>
          <w:szCs w:val="22"/>
        </w:rPr>
        <w:t>（1）林地条件</w:t>
      </w:r>
    </w:p>
    <w:p w14:paraId="30832588">
      <w:pPr>
        <w:widowControl/>
        <w:spacing w:line="360" w:lineRule="auto"/>
        <w:ind w:firstLine="420"/>
        <w:jc w:val="left"/>
        <w:rPr>
          <w:rFonts w:ascii="宋体"/>
          <w:kern w:val="0"/>
          <w:szCs w:val="21"/>
        </w:rPr>
      </w:pPr>
      <w:r>
        <w:rPr>
          <w:rFonts w:hint="eastAsia" w:ascii="宋体" w:hAnsi="宋体"/>
          <w:kern w:val="0"/>
          <w:sz w:val="22"/>
          <w:szCs w:val="22"/>
        </w:rPr>
        <w:t>林分条件：</w:t>
      </w:r>
      <w:bookmarkStart w:id="0" w:name="_Toc21612"/>
      <w:bookmarkStart w:id="1" w:name="_Toc26764"/>
      <w:bookmarkStart w:id="2" w:name="_Toc30485"/>
      <w:r>
        <w:rPr>
          <w:rFonts w:hint="eastAsia" w:ascii="宋体"/>
          <w:kern w:val="0"/>
          <w:szCs w:val="21"/>
        </w:rPr>
        <w:t>郁闭度0.2-0.7的纯马尾松林或混交林；树蔸栽培时，林地内应有数量充足的树兜。</w:t>
      </w:r>
      <w:bookmarkEnd w:id="0"/>
      <w:bookmarkEnd w:id="1"/>
      <w:bookmarkEnd w:id="2"/>
    </w:p>
    <w:p w14:paraId="2325683E">
      <w:pPr>
        <w:widowControl/>
        <w:tabs>
          <w:tab w:val="center" w:pos="4201"/>
          <w:tab w:val="right" w:leader="dot" w:pos="9298"/>
        </w:tabs>
        <w:autoSpaceDE w:val="0"/>
        <w:autoSpaceDN w:val="0"/>
        <w:spacing w:line="360" w:lineRule="auto"/>
        <w:ind w:firstLine="420" w:firstLineChars="200"/>
        <w:rPr>
          <w:rFonts w:ascii="宋体"/>
          <w:kern w:val="0"/>
          <w:szCs w:val="21"/>
        </w:rPr>
      </w:pPr>
      <w:r>
        <w:rPr>
          <w:rFonts w:hint="eastAsia" w:ascii="宋体"/>
          <w:kern w:val="0"/>
          <w:szCs w:val="21"/>
        </w:rPr>
        <w:t>立地条件：</w:t>
      </w:r>
      <w:r>
        <w:rPr>
          <w:rFonts w:hint="eastAsia" w:ascii="宋体" w:hAnsi="宋体"/>
          <w:kern w:val="0"/>
          <w:sz w:val="22"/>
          <w:szCs w:val="22"/>
        </w:rPr>
        <w:t>海拔100m</w:t>
      </w:r>
      <w:r>
        <w:rPr>
          <w:rFonts w:hint="eastAsia"/>
          <w:kern w:val="0"/>
          <w:sz w:val="22"/>
          <w:szCs w:val="22"/>
        </w:rPr>
        <w:t>-</w:t>
      </w:r>
      <w:r>
        <w:rPr>
          <w:rFonts w:hint="eastAsia" w:ascii="宋体" w:hAnsi="宋体"/>
          <w:kern w:val="0"/>
          <w:sz w:val="22"/>
          <w:szCs w:val="22"/>
        </w:rPr>
        <w:t>1500m、坡度≤30°，有水源、</w:t>
      </w:r>
      <w:r>
        <w:rPr>
          <w:rFonts w:hint="eastAsia" w:ascii="宋体"/>
          <w:kern w:val="0"/>
          <w:szCs w:val="21"/>
        </w:rPr>
        <w:t>易排灌、无白蚁滋生，背风向阳，近3年内未种植过茯苓。</w:t>
      </w:r>
    </w:p>
    <w:p w14:paraId="5B2A6881">
      <w:pPr>
        <w:widowControl/>
        <w:tabs>
          <w:tab w:val="center" w:pos="4201"/>
          <w:tab w:val="right" w:leader="dot" w:pos="9298"/>
        </w:tabs>
        <w:autoSpaceDE w:val="0"/>
        <w:autoSpaceDN w:val="0"/>
        <w:spacing w:line="360" w:lineRule="auto"/>
        <w:ind w:firstLine="440" w:firstLineChars="200"/>
      </w:pPr>
      <w:r>
        <w:rPr>
          <w:rFonts w:hint="eastAsia" w:ascii="宋体" w:hAnsi="宋体"/>
          <w:kern w:val="0"/>
          <w:sz w:val="22"/>
          <w:szCs w:val="22"/>
        </w:rPr>
        <w:t>土壤条件：pH 5.5</w:t>
      </w:r>
      <w:r>
        <w:rPr>
          <w:rFonts w:hint="eastAsia"/>
          <w:kern w:val="0"/>
          <w:sz w:val="22"/>
          <w:szCs w:val="22"/>
        </w:rPr>
        <w:t>-</w:t>
      </w:r>
      <w:r>
        <w:rPr>
          <w:rFonts w:hint="eastAsia" w:ascii="宋体" w:hAnsi="宋体"/>
          <w:kern w:val="0"/>
          <w:sz w:val="22"/>
          <w:szCs w:val="22"/>
        </w:rPr>
        <w:t>7.0、土层厚度</w:t>
      </w:r>
      <w:r>
        <w:rPr>
          <w:rFonts w:hint="eastAsia" w:ascii="宋体" w:hAnsi="宋体"/>
          <w:sz w:val="22"/>
          <w:szCs w:val="22"/>
        </w:rPr>
        <w:t>≥</w:t>
      </w:r>
      <w:r>
        <w:rPr>
          <w:rFonts w:hint="eastAsia" w:ascii="宋体" w:hAnsi="宋体"/>
          <w:kern w:val="0"/>
          <w:sz w:val="22"/>
          <w:szCs w:val="22"/>
        </w:rPr>
        <w:t>30cm，</w:t>
      </w:r>
      <w:r>
        <w:rPr>
          <w:rFonts w:hint="eastAsia" w:ascii="宋体"/>
          <w:kern w:val="0"/>
          <w:szCs w:val="21"/>
        </w:rPr>
        <w:t>疏松透气、排水良好，土壤含水率30%-70%。</w:t>
      </w:r>
    </w:p>
    <w:p w14:paraId="7AD29033">
      <w:pPr>
        <w:widowControl/>
        <w:spacing w:line="360" w:lineRule="auto"/>
        <w:ind w:firstLine="420"/>
        <w:jc w:val="left"/>
        <w:rPr>
          <w:rFonts w:hint="eastAsia" w:ascii="宋体" w:hAnsi="宋体"/>
          <w:kern w:val="0"/>
          <w:sz w:val="22"/>
          <w:szCs w:val="22"/>
        </w:rPr>
      </w:pPr>
      <w:r>
        <w:rPr>
          <w:rFonts w:hint="eastAsia" w:ascii="宋体" w:hAnsi="宋体"/>
          <w:kern w:val="0"/>
          <w:sz w:val="22"/>
          <w:szCs w:val="22"/>
        </w:rPr>
        <w:t>经多区域试验验证，菌丝萌发整齐、结苓率高。</w:t>
      </w:r>
    </w:p>
    <w:p w14:paraId="1DC5460B">
      <w:pPr>
        <w:keepNext w:val="0"/>
        <w:keepLines w:val="0"/>
        <w:pageBreakBefore w:val="0"/>
        <w:widowControl/>
        <w:kinsoku/>
        <w:wordWrap/>
        <w:overflowPunct/>
        <w:topLinePunct w:val="0"/>
        <w:autoSpaceDE/>
        <w:autoSpaceDN/>
        <w:bidi w:val="0"/>
        <w:adjustRightInd/>
        <w:snapToGrid/>
        <w:spacing w:line="360" w:lineRule="auto"/>
        <w:ind w:firstLine="420"/>
        <w:jc w:val="center"/>
        <w:textAlignment w:val="auto"/>
        <w:rPr>
          <w:rFonts w:hint="default" w:ascii="宋体" w:hAnsi="宋体" w:eastAsia="宋体"/>
          <w:b/>
          <w:bCs/>
          <w:kern w:val="0"/>
          <w:sz w:val="22"/>
          <w:szCs w:val="22"/>
          <w:lang w:val="en-US" w:eastAsia="zh-CN"/>
        </w:rPr>
      </w:pPr>
      <w:r>
        <w:rPr>
          <w:rFonts w:hint="eastAsia" w:ascii="宋体" w:hAnsi="宋体"/>
          <w:b/>
          <w:bCs/>
          <w:kern w:val="0"/>
          <w:sz w:val="22"/>
          <w:szCs w:val="22"/>
          <w:lang w:val="en-US" w:eastAsia="zh-CN"/>
        </w:rPr>
        <w:t>表1 马尾松林下种植茯苓对林地条件的要求及检测方法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2"/>
        <w:gridCol w:w="1881"/>
        <w:gridCol w:w="2619"/>
        <w:gridCol w:w="2460"/>
      </w:tblGrid>
      <w:tr w14:paraId="7C10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3" w:type="dxa"/>
            <w:gridSpan w:val="2"/>
          </w:tcPr>
          <w:p w14:paraId="7956285A">
            <w:pPr>
              <w:rPr>
                <w:rFonts w:hint="eastAsia" w:ascii="宋体" w:hAnsi="宋体" w:eastAsia="宋体"/>
              </w:rPr>
            </w:pPr>
            <w:r>
              <w:rPr>
                <w:rFonts w:hint="eastAsia" w:ascii="宋体" w:hAnsi="宋体" w:eastAsia="宋体"/>
              </w:rPr>
              <w:t>项目</w:t>
            </w:r>
          </w:p>
        </w:tc>
        <w:tc>
          <w:tcPr>
            <w:tcW w:w="2619" w:type="dxa"/>
          </w:tcPr>
          <w:p w14:paraId="7956EC05">
            <w:pPr>
              <w:rPr>
                <w:rFonts w:hint="eastAsia" w:ascii="宋体" w:hAnsi="宋体" w:eastAsia="宋体"/>
              </w:rPr>
            </w:pPr>
            <w:r>
              <w:rPr>
                <w:rFonts w:hint="eastAsia" w:ascii="宋体" w:hAnsi="宋体" w:eastAsia="宋体"/>
              </w:rPr>
              <w:t>要求</w:t>
            </w:r>
          </w:p>
        </w:tc>
        <w:tc>
          <w:tcPr>
            <w:tcW w:w="2460" w:type="dxa"/>
          </w:tcPr>
          <w:p w14:paraId="16A9683E">
            <w:pPr>
              <w:rPr>
                <w:rFonts w:hint="eastAsia" w:ascii="宋体" w:hAnsi="宋体" w:eastAsia="宋体"/>
              </w:rPr>
            </w:pPr>
            <w:r>
              <w:rPr>
                <w:rFonts w:hint="eastAsia" w:ascii="宋体" w:hAnsi="宋体" w:eastAsia="宋体"/>
              </w:rPr>
              <w:t>检测方法</w:t>
            </w:r>
          </w:p>
        </w:tc>
      </w:tr>
      <w:tr w14:paraId="1976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3" w:type="dxa"/>
            <w:gridSpan w:val="2"/>
          </w:tcPr>
          <w:p w14:paraId="29974A89">
            <w:pPr>
              <w:rPr>
                <w:rFonts w:hint="eastAsia" w:ascii="宋体" w:hAnsi="宋体" w:eastAsia="宋体"/>
              </w:rPr>
            </w:pPr>
            <w:r>
              <w:rPr>
                <w:rFonts w:hint="eastAsia" w:ascii="宋体" w:hAnsi="宋体" w:eastAsia="宋体"/>
              </w:rPr>
              <w:t>林分条件</w:t>
            </w:r>
          </w:p>
        </w:tc>
        <w:tc>
          <w:tcPr>
            <w:tcW w:w="2619" w:type="dxa"/>
          </w:tcPr>
          <w:p w14:paraId="2C134436">
            <w:pPr>
              <w:rPr>
                <w:rFonts w:hint="eastAsia" w:ascii="宋体" w:hAnsi="宋体" w:eastAsia="宋体"/>
              </w:rPr>
            </w:pPr>
            <w:r>
              <w:rPr>
                <w:rFonts w:hint="eastAsia" w:ascii="宋体" w:hAnsi="宋体" w:eastAsia="宋体"/>
              </w:rPr>
              <w:t>郁闭度0.2-0.7</w:t>
            </w:r>
          </w:p>
        </w:tc>
        <w:tc>
          <w:tcPr>
            <w:tcW w:w="2460" w:type="dxa"/>
          </w:tcPr>
          <w:p w14:paraId="7A2C884E">
            <w:pPr>
              <w:rPr>
                <w:rFonts w:hint="eastAsia" w:ascii="宋体" w:hAnsi="宋体" w:eastAsia="宋体"/>
              </w:rPr>
            </w:pPr>
            <w:r>
              <w:rPr>
                <w:rFonts w:hint="eastAsia" w:ascii="宋体" w:hAnsi="宋体" w:eastAsia="宋体"/>
              </w:rPr>
              <w:t>样点法：在林地随机机械布设100个样点，观测每个样点有无树冠遮挡，被遮挡点数与100的比例为郁闭度</w:t>
            </w:r>
          </w:p>
        </w:tc>
      </w:tr>
      <w:tr w14:paraId="1282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vMerge w:val="restart"/>
          </w:tcPr>
          <w:p w14:paraId="6355EF58">
            <w:pPr>
              <w:rPr>
                <w:rFonts w:hint="eastAsia" w:ascii="宋体" w:hAnsi="宋体" w:eastAsia="宋体"/>
              </w:rPr>
            </w:pPr>
            <w:r>
              <w:rPr>
                <w:rFonts w:hint="eastAsia" w:ascii="宋体" w:hAnsi="宋体" w:eastAsia="宋体"/>
              </w:rPr>
              <w:t>立地条件</w:t>
            </w:r>
          </w:p>
        </w:tc>
        <w:tc>
          <w:tcPr>
            <w:tcW w:w="1881" w:type="dxa"/>
          </w:tcPr>
          <w:p w14:paraId="72CBDFE1">
            <w:pPr>
              <w:rPr>
                <w:rFonts w:hint="eastAsia" w:ascii="宋体" w:hAnsi="宋体" w:eastAsia="宋体"/>
              </w:rPr>
            </w:pPr>
            <w:r>
              <w:rPr>
                <w:rFonts w:hint="eastAsia" w:ascii="宋体" w:hAnsi="宋体" w:eastAsia="宋体"/>
              </w:rPr>
              <w:t>海拔</w:t>
            </w:r>
          </w:p>
        </w:tc>
        <w:tc>
          <w:tcPr>
            <w:tcW w:w="2619" w:type="dxa"/>
          </w:tcPr>
          <w:p w14:paraId="12589D92">
            <w:pPr>
              <w:rPr>
                <w:rFonts w:hint="eastAsia" w:ascii="宋体" w:hAnsi="宋体" w:eastAsia="宋体"/>
              </w:rPr>
            </w:pPr>
            <w:r>
              <w:rPr>
                <w:rFonts w:hint="eastAsia" w:ascii="宋体" w:hAnsi="宋体" w:eastAsia="宋体"/>
              </w:rPr>
              <w:t>海拔100m-1500m</w:t>
            </w:r>
          </w:p>
        </w:tc>
        <w:tc>
          <w:tcPr>
            <w:tcW w:w="2460" w:type="dxa"/>
          </w:tcPr>
          <w:p w14:paraId="6CA1B3FE">
            <w:pPr>
              <w:rPr>
                <w:rFonts w:hint="eastAsia" w:ascii="宋体" w:hAnsi="宋体" w:eastAsia="宋体"/>
              </w:rPr>
            </w:pPr>
            <w:r>
              <w:rPr>
                <w:rFonts w:hint="eastAsia" w:ascii="宋体" w:hAnsi="宋体" w:eastAsia="宋体"/>
              </w:rPr>
              <w:t>卫星定位测量</w:t>
            </w:r>
          </w:p>
        </w:tc>
      </w:tr>
      <w:tr w14:paraId="66BD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vMerge w:val="continue"/>
          </w:tcPr>
          <w:p w14:paraId="4603C4DD">
            <w:pPr>
              <w:rPr>
                <w:rFonts w:hint="eastAsia" w:ascii="宋体" w:hAnsi="宋体" w:eastAsia="宋体"/>
              </w:rPr>
            </w:pPr>
          </w:p>
        </w:tc>
        <w:tc>
          <w:tcPr>
            <w:tcW w:w="1881" w:type="dxa"/>
          </w:tcPr>
          <w:p w14:paraId="19A42BC1">
            <w:pPr>
              <w:rPr>
                <w:rFonts w:hint="eastAsia" w:ascii="宋体" w:hAnsi="宋体" w:eastAsia="宋体"/>
              </w:rPr>
            </w:pPr>
            <w:r>
              <w:rPr>
                <w:rFonts w:hint="eastAsia" w:ascii="宋体" w:hAnsi="宋体" w:eastAsia="宋体"/>
              </w:rPr>
              <w:t>坡度</w:t>
            </w:r>
          </w:p>
        </w:tc>
        <w:tc>
          <w:tcPr>
            <w:tcW w:w="2619" w:type="dxa"/>
          </w:tcPr>
          <w:p w14:paraId="4A2F39F1">
            <w:pPr>
              <w:rPr>
                <w:rFonts w:hint="eastAsia" w:ascii="宋体" w:hAnsi="宋体" w:eastAsia="宋体"/>
              </w:rPr>
            </w:pPr>
            <w:r>
              <w:rPr>
                <w:rFonts w:hint="eastAsia" w:ascii="宋体" w:hAnsi="宋体" w:eastAsia="宋体"/>
              </w:rPr>
              <w:t>坡度≤30°</w:t>
            </w:r>
          </w:p>
        </w:tc>
        <w:tc>
          <w:tcPr>
            <w:tcW w:w="2460" w:type="dxa"/>
          </w:tcPr>
          <w:p w14:paraId="10CEC08C">
            <w:pPr>
              <w:rPr>
                <w:rFonts w:hint="eastAsia" w:ascii="宋体" w:hAnsi="宋体" w:eastAsia="宋体"/>
              </w:rPr>
            </w:pPr>
            <w:r>
              <w:rPr>
                <w:rFonts w:hint="eastAsia" w:ascii="宋体" w:hAnsi="宋体" w:eastAsia="宋体"/>
              </w:rPr>
              <w:t>水平仪测量</w:t>
            </w:r>
          </w:p>
        </w:tc>
      </w:tr>
      <w:tr w14:paraId="50D5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vMerge w:val="continue"/>
          </w:tcPr>
          <w:p w14:paraId="0FF8FFFB">
            <w:pPr>
              <w:rPr>
                <w:rFonts w:hint="eastAsia" w:ascii="宋体" w:hAnsi="宋体" w:eastAsia="宋体"/>
              </w:rPr>
            </w:pPr>
          </w:p>
        </w:tc>
        <w:tc>
          <w:tcPr>
            <w:tcW w:w="1881" w:type="dxa"/>
          </w:tcPr>
          <w:p w14:paraId="5E810019">
            <w:pPr>
              <w:rPr>
                <w:rFonts w:hint="eastAsia" w:ascii="宋体" w:hAnsi="宋体" w:eastAsia="宋体"/>
              </w:rPr>
            </w:pPr>
            <w:r>
              <w:rPr>
                <w:rFonts w:hint="eastAsia" w:ascii="宋体" w:hAnsi="宋体" w:eastAsia="宋体"/>
              </w:rPr>
              <w:t>方位与土地要求</w:t>
            </w:r>
          </w:p>
        </w:tc>
        <w:tc>
          <w:tcPr>
            <w:tcW w:w="2619" w:type="dxa"/>
          </w:tcPr>
          <w:p w14:paraId="15ED969A">
            <w:pPr>
              <w:rPr>
                <w:rFonts w:hint="eastAsia" w:ascii="宋体" w:hAnsi="宋体" w:eastAsia="宋体"/>
              </w:rPr>
            </w:pPr>
            <w:r>
              <w:rPr>
                <w:rFonts w:hint="eastAsia" w:ascii="宋体" w:hAnsi="宋体" w:eastAsia="宋体"/>
              </w:rPr>
              <w:t>背风向阳，近3年内未种植过茯苓</w:t>
            </w:r>
          </w:p>
        </w:tc>
        <w:tc>
          <w:tcPr>
            <w:tcW w:w="2460" w:type="dxa"/>
          </w:tcPr>
          <w:p w14:paraId="56B74B6A">
            <w:pPr>
              <w:rPr>
                <w:rFonts w:hint="eastAsia" w:ascii="宋体" w:hAnsi="宋体" w:eastAsia="宋体"/>
              </w:rPr>
            </w:pPr>
            <w:r>
              <w:rPr>
                <w:rFonts w:ascii="宋体" w:hAnsi="宋体" w:eastAsia="宋体"/>
              </w:rPr>
              <w:t>现场勘查并结合林地历史记录确定</w:t>
            </w:r>
          </w:p>
        </w:tc>
      </w:tr>
      <w:tr w14:paraId="23B8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vMerge w:val="restart"/>
          </w:tcPr>
          <w:p w14:paraId="178FE1ED">
            <w:pPr>
              <w:rPr>
                <w:rFonts w:hint="eastAsia" w:ascii="宋体" w:hAnsi="宋体" w:eastAsia="宋体"/>
              </w:rPr>
            </w:pPr>
            <w:r>
              <w:rPr>
                <w:rFonts w:hint="eastAsia" w:ascii="宋体" w:hAnsi="宋体" w:eastAsia="宋体"/>
              </w:rPr>
              <w:t>土壤条件</w:t>
            </w:r>
          </w:p>
        </w:tc>
        <w:tc>
          <w:tcPr>
            <w:tcW w:w="1881" w:type="dxa"/>
          </w:tcPr>
          <w:p w14:paraId="05DB06EF">
            <w:pPr>
              <w:rPr>
                <w:rFonts w:hint="eastAsia" w:ascii="宋体" w:hAnsi="宋体" w:eastAsia="宋体"/>
              </w:rPr>
            </w:pPr>
            <w:r>
              <w:rPr>
                <w:rFonts w:hint="eastAsia" w:ascii="宋体" w:hAnsi="宋体" w:eastAsia="宋体"/>
              </w:rPr>
              <w:t>pH值</w:t>
            </w:r>
          </w:p>
        </w:tc>
        <w:tc>
          <w:tcPr>
            <w:tcW w:w="2619" w:type="dxa"/>
          </w:tcPr>
          <w:p w14:paraId="3EA5BD64">
            <w:pPr>
              <w:rPr>
                <w:rFonts w:hint="eastAsia" w:ascii="宋体" w:hAnsi="宋体" w:eastAsia="宋体"/>
              </w:rPr>
            </w:pPr>
            <w:r>
              <w:rPr>
                <w:rFonts w:hint="eastAsia" w:ascii="宋体" w:hAnsi="宋体" w:eastAsia="宋体"/>
              </w:rPr>
              <w:t>土壤保持酸性，在</w:t>
            </w:r>
            <w:r>
              <w:rPr>
                <w:rFonts w:ascii="宋体" w:hAnsi="宋体" w:eastAsia="宋体"/>
              </w:rPr>
              <w:t>pH 5.5-7.0</w:t>
            </w:r>
            <w:r>
              <w:rPr>
                <w:rFonts w:hint="eastAsia" w:ascii="宋体" w:hAnsi="宋体" w:eastAsia="宋体"/>
              </w:rPr>
              <w:t>最佳</w:t>
            </w:r>
          </w:p>
        </w:tc>
        <w:tc>
          <w:tcPr>
            <w:tcW w:w="2460" w:type="dxa"/>
          </w:tcPr>
          <w:p w14:paraId="775F7280">
            <w:pPr>
              <w:rPr>
                <w:rFonts w:hint="eastAsia" w:ascii="宋体" w:hAnsi="宋体" w:eastAsia="宋体"/>
              </w:rPr>
            </w:pPr>
            <w:r>
              <w:rPr>
                <w:rFonts w:hint="eastAsia" w:ascii="宋体" w:hAnsi="宋体" w:eastAsia="宋体"/>
              </w:rPr>
              <w:t>pH仪检测</w:t>
            </w:r>
          </w:p>
        </w:tc>
      </w:tr>
      <w:tr w14:paraId="06C1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vMerge w:val="continue"/>
          </w:tcPr>
          <w:p w14:paraId="7C4B3D2F">
            <w:pPr>
              <w:rPr>
                <w:rFonts w:hint="eastAsia" w:ascii="宋体" w:hAnsi="宋体" w:eastAsia="宋体"/>
              </w:rPr>
            </w:pPr>
          </w:p>
        </w:tc>
        <w:tc>
          <w:tcPr>
            <w:tcW w:w="1881" w:type="dxa"/>
          </w:tcPr>
          <w:p w14:paraId="6D773D0A">
            <w:pPr>
              <w:rPr>
                <w:rFonts w:hint="eastAsia" w:ascii="宋体" w:hAnsi="宋体" w:eastAsia="宋体"/>
              </w:rPr>
            </w:pPr>
            <w:r>
              <w:rPr>
                <w:rFonts w:hint="eastAsia" w:ascii="宋体" w:hAnsi="宋体" w:eastAsia="宋体"/>
              </w:rPr>
              <w:t>土壤厚度</w:t>
            </w:r>
          </w:p>
        </w:tc>
        <w:tc>
          <w:tcPr>
            <w:tcW w:w="2619" w:type="dxa"/>
          </w:tcPr>
          <w:p w14:paraId="126DAA56">
            <w:pPr>
              <w:rPr>
                <w:rFonts w:hint="eastAsia" w:ascii="宋体" w:hAnsi="宋体" w:eastAsia="宋体"/>
              </w:rPr>
            </w:pPr>
            <w:r>
              <w:rPr>
                <w:rFonts w:hint="eastAsia" w:ascii="宋体" w:hAnsi="宋体" w:eastAsia="宋体"/>
              </w:rPr>
              <w:t>土层厚度≥30cm</w:t>
            </w:r>
          </w:p>
        </w:tc>
        <w:tc>
          <w:tcPr>
            <w:tcW w:w="2460" w:type="dxa"/>
          </w:tcPr>
          <w:p w14:paraId="142C68E8">
            <w:pPr>
              <w:rPr>
                <w:rFonts w:hint="eastAsia" w:ascii="宋体" w:hAnsi="宋体" w:eastAsia="宋体"/>
              </w:rPr>
            </w:pPr>
            <w:r>
              <w:rPr>
                <w:rFonts w:hint="eastAsia" w:ascii="宋体" w:hAnsi="宋体" w:eastAsia="宋体"/>
              </w:rPr>
              <w:t>直尺测量</w:t>
            </w:r>
          </w:p>
        </w:tc>
      </w:tr>
      <w:tr w14:paraId="3D57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vMerge w:val="continue"/>
          </w:tcPr>
          <w:p w14:paraId="3ED765BA">
            <w:pPr>
              <w:rPr>
                <w:rFonts w:hint="eastAsia" w:ascii="宋体" w:hAnsi="宋体" w:eastAsia="宋体"/>
              </w:rPr>
            </w:pPr>
          </w:p>
        </w:tc>
        <w:tc>
          <w:tcPr>
            <w:tcW w:w="1881" w:type="dxa"/>
          </w:tcPr>
          <w:p w14:paraId="686662FD">
            <w:pPr>
              <w:rPr>
                <w:rFonts w:hint="eastAsia" w:ascii="宋体" w:hAnsi="宋体" w:eastAsia="宋体"/>
              </w:rPr>
            </w:pPr>
            <w:r>
              <w:rPr>
                <w:rFonts w:hint="eastAsia" w:ascii="宋体" w:hAnsi="宋体" w:eastAsia="宋体"/>
              </w:rPr>
              <w:t>土壤含水率</w:t>
            </w:r>
          </w:p>
        </w:tc>
        <w:tc>
          <w:tcPr>
            <w:tcW w:w="2619" w:type="dxa"/>
          </w:tcPr>
          <w:p w14:paraId="3AF07C9F">
            <w:pPr>
              <w:rPr>
                <w:rFonts w:hint="eastAsia" w:ascii="宋体" w:hAnsi="宋体" w:eastAsia="宋体"/>
              </w:rPr>
            </w:pPr>
            <w:r>
              <w:rPr>
                <w:rFonts w:hint="eastAsia" w:ascii="宋体" w:hAnsi="宋体" w:eastAsia="宋体"/>
              </w:rPr>
              <w:t>土壤含水率30%-70%</w:t>
            </w:r>
          </w:p>
        </w:tc>
        <w:tc>
          <w:tcPr>
            <w:tcW w:w="2460" w:type="dxa"/>
          </w:tcPr>
          <w:p w14:paraId="36E9AB24">
            <w:pPr>
              <w:rPr>
                <w:rFonts w:hint="eastAsia" w:ascii="宋体" w:hAnsi="宋体" w:eastAsia="宋体"/>
              </w:rPr>
            </w:pPr>
            <w:r>
              <w:rPr>
                <w:rFonts w:hint="eastAsia" w:ascii="宋体" w:hAnsi="宋体" w:eastAsia="宋体"/>
              </w:rPr>
              <w:t>烘干称重法</w:t>
            </w:r>
          </w:p>
        </w:tc>
      </w:tr>
      <w:tr w14:paraId="49D0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vMerge w:val="continue"/>
          </w:tcPr>
          <w:p w14:paraId="5A2E23E3">
            <w:pPr>
              <w:rPr>
                <w:rFonts w:hint="eastAsia" w:ascii="宋体" w:hAnsi="宋体" w:eastAsia="宋体"/>
              </w:rPr>
            </w:pPr>
          </w:p>
        </w:tc>
        <w:tc>
          <w:tcPr>
            <w:tcW w:w="1881" w:type="dxa"/>
          </w:tcPr>
          <w:p w14:paraId="3723B47A">
            <w:pPr>
              <w:rPr>
                <w:rFonts w:hint="eastAsia" w:ascii="宋体" w:hAnsi="宋体" w:eastAsia="宋体"/>
              </w:rPr>
            </w:pPr>
            <w:r>
              <w:rPr>
                <w:rFonts w:hint="eastAsia" w:ascii="宋体" w:hAnsi="宋体" w:eastAsia="宋体"/>
              </w:rPr>
              <w:t>土壤透气性</w:t>
            </w:r>
          </w:p>
        </w:tc>
        <w:tc>
          <w:tcPr>
            <w:tcW w:w="2619" w:type="dxa"/>
          </w:tcPr>
          <w:p w14:paraId="6FCF6D35">
            <w:pPr>
              <w:rPr>
                <w:rFonts w:hint="eastAsia" w:ascii="宋体" w:hAnsi="宋体" w:eastAsia="宋体"/>
              </w:rPr>
            </w:pPr>
            <w:r>
              <w:rPr>
                <w:rFonts w:hint="eastAsia" w:ascii="宋体" w:hAnsi="宋体" w:eastAsia="宋体"/>
              </w:rPr>
              <w:t>疏松、透气、土壤无板结、排水良好</w:t>
            </w:r>
          </w:p>
        </w:tc>
        <w:tc>
          <w:tcPr>
            <w:tcW w:w="2460" w:type="dxa"/>
          </w:tcPr>
          <w:p w14:paraId="039D6FA3">
            <w:pPr>
              <w:rPr>
                <w:rFonts w:hint="eastAsia" w:ascii="宋体" w:hAnsi="宋体" w:eastAsia="宋体"/>
              </w:rPr>
            </w:pPr>
            <w:r>
              <w:rPr>
                <w:rFonts w:hint="eastAsia" w:ascii="宋体" w:hAnsi="宋体" w:eastAsia="宋体"/>
              </w:rPr>
              <w:t>环刀法</w:t>
            </w:r>
          </w:p>
        </w:tc>
      </w:tr>
      <w:tr w14:paraId="5ADF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vMerge w:val="continue"/>
          </w:tcPr>
          <w:p w14:paraId="5B946EC0">
            <w:pPr>
              <w:rPr>
                <w:rFonts w:hint="eastAsia" w:ascii="宋体" w:hAnsi="宋体" w:eastAsia="宋体"/>
              </w:rPr>
            </w:pPr>
          </w:p>
        </w:tc>
        <w:tc>
          <w:tcPr>
            <w:tcW w:w="1881" w:type="dxa"/>
          </w:tcPr>
          <w:p w14:paraId="6869992F">
            <w:pPr>
              <w:rPr>
                <w:rFonts w:hint="eastAsia" w:ascii="宋体" w:hAnsi="宋体" w:eastAsia="宋体"/>
              </w:rPr>
            </w:pPr>
            <w:r>
              <w:rPr>
                <w:rFonts w:hint="eastAsia" w:ascii="宋体" w:hAnsi="宋体" w:eastAsia="宋体"/>
              </w:rPr>
              <w:t>病虫害</w:t>
            </w:r>
          </w:p>
        </w:tc>
        <w:tc>
          <w:tcPr>
            <w:tcW w:w="2619" w:type="dxa"/>
          </w:tcPr>
          <w:p w14:paraId="36268D52">
            <w:pPr>
              <w:rPr>
                <w:rFonts w:hint="eastAsia" w:ascii="宋体" w:hAnsi="宋体" w:eastAsia="宋体"/>
              </w:rPr>
            </w:pPr>
            <w:r>
              <w:rPr>
                <w:rFonts w:hint="eastAsia" w:ascii="宋体" w:hAnsi="宋体" w:eastAsia="宋体"/>
              </w:rPr>
              <w:t>无木霉、根霉、曲霉、毛霉、青霉等杂菌污染，无白蚁滋生</w:t>
            </w:r>
          </w:p>
        </w:tc>
        <w:tc>
          <w:tcPr>
            <w:tcW w:w="2460" w:type="dxa"/>
          </w:tcPr>
          <w:p w14:paraId="00085630">
            <w:pPr>
              <w:rPr>
                <w:rFonts w:hint="eastAsia" w:ascii="宋体" w:hAnsi="宋体" w:eastAsia="宋体"/>
              </w:rPr>
            </w:pPr>
            <w:r>
              <w:rPr>
                <w:rFonts w:ascii="宋体" w:hAnsi="宋体" w:eastAsia="宋体"/>
              </w:rPr>
              <w:t>目视检</w:t>
            </w:r>
            <w:r>
              <w:rPr>
                <w:rFonts w:hint="eastAsia" w:ascii="宋体" w:hAnsi="宋体" w:eastAsia="宋体"/>
              </w:rPr>
              <w:t>查</w:t>
            </w:r>
          </w:p>
        </w:tc>
      </w:tr>
    </w:tbl>
    <w:p w14:paraId="7D311015">
      <w:pPr>
        <w:jc w:val="center"/>
      </w:pPr>
    </w:p>
    <w:p w14:paraId="65A780A6">
      <w:pPr>
        <w:spacing w:line="360" w:lineRule="auto"/>
        <w:jc w:val="center"/>
        <w:rPr>
          <w:b/>
          <w:bCs/>
        </w:rPr>
      </w:pPr>
      <w:r>
        <w:rPr>
          <w:rFonts w:hint="eastAsia"/>
          <w:b/>
          <w:bCs/>
        </w:rPr>
        <w:t>表</w:t>
      </w:r>
      <w:r>
        <w:rPr>
          <w:rFonts w:hint="eastAsia"/>
          <w:b/>
          <w:bCs/>
          <w:lang w:val="en-US" w:eastAsia="zh-CN"/>
        </w:rPr>
        <w:t>2</w:t>
      </w:r>
      <w:r>
        <w:rPr>
          <w:rFonts w:hint="eastAsia"/>
          <w:b/>
          <w:bCs/>
        </w:rPr>
        <w:t xml:space="preserve"> 马尾松林下栽培茯苓对土壤理化性质的影响</w:t>
      </w:r>
    </w:p>
    <w:tbl>
      <w:tblPr>
        <w:tblStyle w:val="9"/>
        <w:tblW w:w="849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50"/>
        <w:gridCol w:w="1134"/>
        <w:gridCol w:w="851"/>
        <w:gridCol w:w="992"/>
        <w:gridCol w:w="1134"/>
        <w:gridCol w:w="1276"/>
        <w:gridCol w:w="1405"/>
      </w:tblGrid>
      <w:tr w14:paraId="0462A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851" w:type="dxa"/>
            <w:tcBorders>
              <w:top w:val="single" w:color="auto" w:sz="8" w:space="0"/>
              <w:bottom w:val="single" w:color="auto" w:sz="4" w:space="0"/>
            </w:tcBorders>
            <w:vAlign w:val="center"/>
          </w:tcPr>
          <w:p w14:paraId="6A2292A5">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处理</w:t>
            </w:r>
          </w:p>
        </w:tc>
        <w:tc>
          <w:tcPr>
            <w:tcW w:w="850" w:type="dxa"/>
            <w:tcBorders>
              <w:top w:val="single" w:color="auto" w:sz="8" w:space="0"/>
              <w:bottom w:val="single" w:color="auto" w:sz="4" w:space="0"/>
            </w:tcBorders>
            <w:vAlign w:val="center"/>
          </w:tcPr>
          <w:p w14:paraId="4B60C498">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pH</w:t>
            </w:r>
          </w:p>
        </w:tc>
        <w:tc>
          <w:tcPr>
            <w:tcW w:w="1134" w:type="dxa"/>
            <w:tcBorders>
              <w:top w:val="single" w:color="auto" w:sz="8" w:space="0"/>
              <w:bottom w:val="single" w:color="auto" w:sz="4" w:space="0"/>
            </w:tcBorders>
            <w:vAlign w:val="center"/>
          </w:tcPr>
          <w:p w14:paraId="5A62D056">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电导率</w:t>
            </w:r>
          </w:p>
          <w:p w14:paraId="1BDF5A45">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(µS cm</w:t>
            </w:r>
            <w:r>
              <w:rPr>
                <w:rFonts w:eastAsia="宋体"/>
                <w:color w:val="000000" w:themeColor="text1"/>
                <w:kern w:val="0"/>
                <w:szCs w:val="21"/>
                <w:vertAlign w:val="superscript"/>
                <w14:textFill>
                  <w14:solidFill>
                    <w14:schemeClr w14:val="tx1"/>
                  </w14:solidFill>
                </w14:textFill>
              </w:rPr>
              <w:t>-1</w:t>
            </w:r>
            <w:r>
              <w:rPr>
                <w:rFonts w:eastAsia="宋体"/>
                <w:color w:val="000000" w:themeColor="text1"/>
                <w:kern w:val="0"/>
                <w:szCs w:val="21"/>
                <w14:textFill>
                  <w14:solidFill>
                    <w14:schemeClr w14:val="tx1"/>
                  </w14:solidFill>
                </w14:textFill>
              </w:rPr>
              <w:t>)</w:t>
            </w:r>
          </w:p>
        </w:tc>
        <w:tc>
          <w:tcPr>
            <w:tcW w:w="851" w:type="dxa"/>
            <w:tcBorders>
              <w:top w:val="single" w:color="auto" w:sz="8" w:space="0"/>
              <w:bottom w:val="single" w:color="auto" w:sz="4" w:space="0"/>
            </w:tcBorders>
            <w:vAlign w:val="center"/>
          </w:tcPr>
          <w:p w14:paraId="6296D98A">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含水率</w:t>
            </w:r>
          </w:p>
          <w:p w14:paraId="5024601E">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w:t>
            </w:r>
          </w:p>
        </w:tc>
        <w:tc>
          <w:tcPr>
            <w:tcW w:w="992" w:type="dxa"/>
            <w:tcBorders>
              <w:top w:val="single" w:color="auto" w:sz="8" w:space="0"/>
              <w:bottom w:val="single" w:color="auto" w:sz="4" w:space="0"/>
            </w:tcBorders>
            <w:vAlign w:val="center"/>
          </w:tcPr>
          <w:p w14:paraId="1E8848B3">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容重</w:t>
            </w:r>
          </w:p>
          <w:p w14:paraId="6D59C0C8">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(g cm</w:t>
            </w:r>
            <w:r>
              <w:rPr>
                <w:rFonts w:eastAsia="宋体"/>
                <w:color w:val="000000" w:themeColor="text1"/>
                <w:kern w:val="0"/>
                <w:szCs w:val="21"/>
                <w:vertAlign w:val="superscript"/>
                <w14:textFill>
                  <w14:solidFill>
                    <w14:schemeClr w14:val="tx1"/>
                  </w14:solidFill>
                </w14:textFill>
              </w:rPr>
              <w:t>-</w:t>
            </w:r>
            <w:r>
              <w:rPr>
                <w:rFonts w:eastAsia="宋体"/>
                <w:color w:val="000000" w:themeColor="text1"/>
                <w:kern w:val="0"/>
                <w:szCs w:val="21"/>
                <w14:textFill>
                  <w14:solidFill>
                    <w14:schemeClr w14:val="tx1"/>
                  </w14:solidFill>
                </w14:textFill>
              </w:rPr>
              <w:t>³)</w:t>
            </w:r>
          </w:p>
        </w:tc>
        <w:tc>
          <w:tcPr>
            <w:tcW w:w="1134" w:type="dxa"/>
            <w:tcBorders>
              <w:top w:val="single" w:color="auto" w:sz="8" w:space="0"/>
              <w:bottom w:val="single" w:color="auto" w:sz="4" w:space="0"/>
            </w:tcBorders>
            <w:vAlign w:val="center"/>
          </w:tcPr>
          <w:p w14:paraId="396FBAA2">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总孔隙度(%)</w:t>
            </w:r>
          </w:p>
        </w:tc>
        <w:tc>
          <w:tcPr>
            <w:tcW w:w="1276" w:type="dxa"/>
            <w:tcBorders>
              <w:top w:val="single" w:color="auto" w:sz="8" w:space="0"/>
              <w:bottom w:val="single" w:color="auto" w:sz="4" w:space="0"/>
            </w:tcBorders>
            <w:vAlign w:val="center"/>
          </w:tcPr>
          <w:p w14:paraId="5E144711">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通气孔隙度</w:t>
            </w:r>
          </w:p>
          <w:p w14:paraId="523BC6D4">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w:t>
            </w:r>
          </w:p>
        </w:tc>
        <w:tc>
          <w:tcPr>
            <w:tcW w:w="1405" w:type="dxa"/>
            <w:tcBorders>
              <w:top w:val="single" w:color="auto" w:sz="8" w:space="0"/>
              <w:bottom w:val="single" w:color="auto" w:sz="4" w:space="0"/>
            </w:tcBorders>
            <w:vAlign w:val="center"/>
          </w:tcPr>
          <w:p w14:paraId="096BB746">
            <w:pPr>
              <w:widowControl/>
              <w:spacing w:line="360" w:lineRule="auto"/>
              <w:jc w:val="center"/>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持水孔隙度(%)</w:t>
            </w:r>
          </w:p>
        </w:tc>
      </w:tr>
      <w:tr w14:paraId="1642C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51" w:type="dxa"/>
            <w:tcBorders>
              <w:top w:val="single" w:color="auto" w:sz="4" w:space="0"/>
            </w:tcBorders>
            <w:vAlign w:val="center"/>
          </w:tcPr>
          <w:p w14:paraId="573BE288">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 xml:space="preserve">CK </w:t>
            </w:r>
          </w:p>
          <w:p w14:paraId="2F6E5F83">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0-10</w:t>
            </w:r>
          </w:p>
        </w:tc>
        <w:tc>
          <w:tcPr>
            <w:tcW w:w="850" w:type="dxa"/>
            <w:tcBorders>
              <w:top w:val="single" w:color="auto" w:sz="4" w:space="0"/>
            </w:tcBorders>
            <w:vAlign w:val="center"/>
          </w:tcPr>
          <w:p w14:paraId="3852F1D7">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7.00 ± 0.00</w:t>
            </w:r>
            <w:r>
              <w:rPr>
                <w:rFonts w:eastAsia="微软雅黑"/>
                <w:color w:val="000000" w:themeColor="text1"/>
                <w:kern w:val="0"/>
                <w:vertAlign w:val="superscript"/>
                <w14:textFill>
                  <w14:solidFill>
                    <w14:schemeClr w14:val="tx1"/>
                  </w14:solidFill>
                </w14:textFill>
              </w:rPr>
              <w:t>a</w:t>
            </w:r>
          </w:p>
        </w:tc>
        <w:tc>
          <w:tcPr>
            <w:tcW w:w="1134" w:type="dxa"/>
            <w:tcBorders>
              <w:top w:val="single" w:color="auto" w:sz="4" w:space="0"/>
            </w:tcBorders>
            <w:vAlign w:val="center"/>
          </w:tcPr>
          <w:p w14:paraId="6114A95C">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1.30 ± 0.0</w:t>
            </w:r>
            <w:r>
              <w:rPr>
                <w:rFonts w:hint="eastAsia" w:eastAsia="微软雅黑"/>
                <w:color w:val="000000" w:themeColor="text1"/>
                <w:kern w:val="0"/>
                <w:szCs w:val="21"/>
                <w14:textFill>
                  <w14:solidFill>
                    <w14:schemeClr w14:val="tx1"/>
                  </w14:solidFill>
                </w14:textFill>
              </w:rPr>
              <w:t>1</w:t>
            </w:r>
            <w:r>
              <w:rPr>
                <w:rFonts w:eastAsia="微软雅黑"/>
                <w:color w:val="000000" w:themeColor="text1"/>
                <w:kern w:val="0"/>
                <w:vertAlign w:val="superscript"/>
                <w14:textFill>
                  <w14:solidFill>
                    <w14:schemeClr w14:val="tx1"/>
                  </w14:solidFill>
                </w14:textFill>
              </w:rPr>
              <w:t>d</w:t>
            </w:r>
          </w:p>
        </w:tc>
        <w:tc>
          <w:tcPr>
            <w:tcW w:w="851" w:type="dxa"/>
            <w:tcBorders>
              <w:top w:val="single" w:color="auto" w:sz="4" w:space="0"/>
            </w:tcBorders>
            <w:vAlign w:val="center"/>
          </w:tcPr>
          <w:p w14:paraId="70B2099B">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5.77 ± 2.43</w:t>
            </w:r>
            <w:r>
              <w:rPr>
                <w:rFonts w:eastAsia="微软雅黑"/>
                <w:color w:val="000000" w:themeColor="text1"/>
                <w:kern w:val="0"/>
                <w:vertAlign w:val="superscript"/>
                <w14:textFill>
                  <w14:solidFill>
                    <w14:schemeClr w14:val="tx1"/>
                  </w14:solidFill>
                </w14:textFill>
              </w:rPr>
              <w:t>ab</w:t>
            </w:r>
          </w:p>
        </w:tc>
        <w:tc>
          <w:tcPr>
            <w:tcW w:w="992" w:type="dxa"/>
            <w:tcBorders>
              <w:top w:val="single" w:color="auto" w:sz="4" w:space="0"/>
            </w:tcBorders>
            <w:vAlign w:val="center"/>
          </w:tcPr>
          <w:p w14:paraId="792781AE">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1.07 ± 0.026</w:t>
            </w:r>
            <w:r>
              <w:rPr>
                <w:rFonts w:eastAsia="微软雅黑"/>
                <w:color w:val="000000" w:themeColor="text1"/>
                <w:kern w:val="0"/>
                <w:vertAlign w:val="superscript"/>
                <w14:textFill>
                  <w14:solidFill>
                    <w14:schemeClr w14:val="tx1"/>
                  </w14:solidFill>
                </w14:textFill>
              </w:rPr>
              <w:t>c</w:t>
            </w:r>
          </w:p>
        </w:tc>
        <w:tc>
          <w:tcPr>
            <w:tcW w:w="1134" w:type="dxa"/>
            <w:tcBorders>
              <w:top w:val="single" w:color="auto" w:sz="4" w:space="0"/>
            </w:tcBorders>
            <w:vAlign w:val="center"/>
          </w:tcPr>
          <w:p w14:paraId="7BA6F282">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43.70 ± 2.00</w:t>
            </w:r>
            <w:r>
              <w:rPr>
                <w:rFonts w:eastAsia="微软雅黑"/>
                <w:color w:val="000000" w:themeColor="text1"/>
                <w:kern w:val="0"/>
                <w:vertAlign w:val="superscript"/>
                <w14:textFill>
                  <w14:solidFill>
                    <w14:schemeClr w14:val="tx1"/>
                  </w14:solidFill>
                </w14:textFill>
              </w:rPr>
              <w:t>ab</w:t>
            </w:r>
          </w:p>
        </w:tc>
        <w:tc>
          <w:tcPr>
            <w:tcW w:w="1276" w:type="dxa"/>
            <w:tcBorders>
              <w:top w:val="single" w:color="auto" w:sz="4" w:space="0"/>
            </w:tcBorders>
            <w:vAlign w:val="center"/>
          </w:tcPr>
          <w:p w14:paraId="4EB260A2">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7.50 ± 1.34</w:t>
            </w:r>
            <w:r>
              <w:rPr>
                <w:rFonts w:eastAsia="微软雅黑"/>
                <w:color w:val="000000" w:themeColor="text1"/>
                <w:kern w:val="0"/>
                <w:vertAlign w:val="superscript"/>
                <w14:textFill>
                  <w14:solidFill>
                    <w14:schemeClr w14:val="tx1"/>
                  </w14:solidFill>
                </w14:textFill>
              </w:rPr>
              <w:t>abc</w:t>
            </w:r>
          </w:p>
        </w:tc>
        <w:tc>
          <w:tcPr>
            <w:tcW w:w="1405" w:type="dxa"/>
            <w:tcBorders>
              <w:top w:val="single" w:color="auto" w:sz="4" w:space="0"/>
            </w:tcBorders>
            <w:vAlign w:val="center"/>
          </w:tcPr>
          <w:p w14:paraId="2C3206FC">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36.30 ± 3.25</w:t>
            </w:r>
            <w:r>
              <w:rPr>
                <w:rFonts w:eastAsia="微软雅黑"/>
                <w:color w:val="000000" w:themeColor="text1"/>
                <w:kern w:val="0"/>
                <w:vertAlign w:val="superscript"/>
                <w14:textFill>
                  <w14:solidFill>
                    <w14:schemeClr w14:val="tx1"/>
                  </w14:solidFill>
                </w14:textFill>
              </w:rPr>
              <w:t>ab</w:t>
            </w:r>
          </w:p>
        </w:tc>
      </w:tr>
      <w:tr w14:paraId="727C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51" w:type="dxa"/>
            <w:vAlign w:val="center"/>
          </w:tcPr>
          <w:p w14:paraId="1BC383AA">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 xml:space="preserve">CK </w:t>
            </w:r>
          </w:p>
          <w:p w14:paraId="369ED817">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10-20</w:t>
            </w:r>
          </w:p>
        </w:tc>
        <w:tc>
          <w:tcPr>
            <w:tcW w:w="850" w:type="dxa"/>
            <w:vAlign w:val="center"/>
          </w:tcPr>
          <w:p w14:paraId="06D4C134">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7.00 ± 0.00</w:t>
            </w:r>
            <w:r>
              <w:rPr>
                <w:rFonts w:eastAsia="微软雅黑"/>
                <w:color w:val="000000" w:themeColor="text1"/>
                <w:kern w:val="0"/>
                <w:vertAlign w:val="superscript"/>
                <w14:textFill>
                  <w14:solidFill>
                    <w14:schemeClr w14:val="tx1"/>
                  </w14:solidFill>
                </w14:textFill>
              </w:rPr>
              <w:t>a</w:t>
            </w:r>
          </w:p>
        </w:tc>
        <w:tc>
          <w:tcPr>
            <w:tcW w:w="1134" w:type="dxa"/>
            <w:vAlign w:val="center"/>
          </w:tcPr>
          <w:p w14:paraId="2B048903">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1.2</w:t>
            </w:r>
            <w:r>
              <w:rPr>
                <w:rFonts w:hint="eastAsia" w:eastAsia="微软雅黑"/>
                <w:color w:val="000000" w:themeColor="text1"/>
                <w:kern w:val="0"/>
                <w:szCs w:val="21"/>
                <w14:textFill>
                  <w14:solidFill>
                    <w14:schemeClr w14:val="tx1"/>
                  </w14:solidFill>
                </w14:textFill>
              </w:rPr>
              <w:t>1</w:t>
            </w:r>
            <w:r>
              <w:rPr>
                <w:rFonts w:eastAsia="微软雅黑"/>
                <w:color w:val="000000" w:themeColor="text1"/>
                <w:kern w:val="0"/>
                <w:szCs w:val="21"/>
                <w14:textFill>
                  <w14:solidFill>
                    <w14:schemeClr w14:val="tx1"/>
                  </w14:solidFill>
                </w14:textFill>
              </w:rPr>
              <w:t xml:space="preserve"> ± 0.00</w:t>
            </w:r>
            <w:r>
              <w:rPr>
                <w:rFonts w:eastAsia="微软雅黑"/>
                <w:color w:val="000000" w:themeColor="text1"/>
                <w:kern w:val="0"/>
                <w:vertAlign w:val="superscript"/>
                <w14:textFill>
                  <w14:solidFill>
                    <w14:schemeClr w14:val="tx1"/>
                  </w14:solidFill>
                </w14:textFill>
              </w:rPr>
              <w:t>e</w:t>
            </w:r>
          </w:p>
        </w:tc>
        <w:tc>
          <w:tcPr>
            <w:tcW w:w="851" w:type="dxa"/>
            <w:vAlign w:val="center"/>
          </w:tcPr>
          <w:p w14:paraId="6808F681">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5.93 ± 0.19</w:t>
            </w:r>
            <w:r>
              <w:rPr>
                <w:rFonts w:eastAsia="微软雅黑"/>
                <w:color w:val="000000" w:themeColor="text1"/>
                <w:kern w:val="0"/>
                <w:vertAlign w:val="superscript"/>
                <w14:textFill>
                  <w14:solidFill>
                    <w14:schemeClr w14:val="tx1"/>
                  </w14:solidFill>
                </w14:textFill>
              </w:rPr>
              <w:t>a</w:t>
            </w:r>
          </w:p>
        </w:tc>
        <w:tc>
          <w:tcPr>
            <w:tcW w:w="992" w:type="dxa"/>
            <w:vAlign w:val="center"/>
          </w:tcPr>
          <w:p w14:paraId="3AE59877">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1.1</w:t>
            </w:r>
            <w:r>
              <w:rPr>
                <w:rFonts w:hint="eastAsia" w:eastAsia="微软雅黑"/>
                <w:color w:val="000000" w:themeColor="text1"/>
                <w:kern w:val="0"/>
                <w:szCs w:val="21"/>
                <w14:textFill>
                  <w14:solidFill>
                    <w14:schemeClr w14:val="tx1"/>
                  </w14:solidFill>
                </w14:textFill>
              </w:rPr>
              <w:t>4</w:t>
            </w:r>
            <w:r>
              <w:rPr>
                <w:rFonts w:eastAsia="微软雅黑"/>
                <w:color w:val="000000" w:themeColor="text1"/>
                <w:kern w:val="0"/>
                <w:szCs w:val="21"/>
                <w14:textFill>
                  <w14:solidFill>
                    <w14:schemeClr w14:val="tx1"/>
                  </w14:solidFill>
                </w14:textFill>
              </w:rPr>
              <w:t xml:space="preserve"> ± 0.033</w:t>
            </w:r>
            <w:r>
              <w:rPr>
                <w:rFonts w:eastAsia="微软雅黑"/>
                <w:color w:val="000000" w:themeColor="text1"/>
                <w:kern w:val="0"/>
                <w:vertAlign w:val="superscript"/>
                <w14:textFill>
                  <w14:solidFill>
                    <w14:schemeClr w14:val="tx1"/>
                  </w14:solidFill>
                </w14:textFill>
              </w:rPr>
              <w:t>c</w:t>
            </w:r>
          </w:p>
        </w:tc>
        <w:tc>
          <w:tcPr>
            <w:tcW w:w="1134" w:type="dxa"/>
            <w:vAlign w:val="center"/>
          </w:tcPr>
          <w:p w14:paraId="1516F2C3">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44.23 ± 0.71</w:t>
            </w:r>
            <w:r>
              <w:rPr>
                <w:rFonts w:eastAsia="微软雅黑"/>
                <w:color w:val="000000" w:themeColor="text1"/>
                <w:kern w:val="0"/>
                <w:vertAlign w:val="superscript"/>
                <w14:textFill>
                  <w14:solidFill>
                    <w14:schemeClr w14:val="tx1"/>
                  </w14:solidFill>
                </w14:textFill>
              </w:rPr>
              <w:t>a</w:t>
            </w:r>
          </w:p>
        </w:tc>
        <w:tc>
          <w:tcPr>
            <w:tcW w:w="1276" w:type="dxa"/>
            <w:vAlign w:val="center"/>
          </w:tcPr>
          <w:p w14:paraId="2C6BDB0A">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4.87 ± 0.60</w:t>
            </w:r>
            <w:r>
              <w:rPr>
                <w:rFonts w:eastAsia="微软雅黑"/>
                <w:color w:val="000000" w:themeColor="text1"/>
                <w:kern w:val="0"/>
                <w:vertAlign w:val="superscript"/>
                <w14:textFill>
                  <w14:solidFill>
                    <w14:schemeClr w14:val="tx1"/>
                  </w14:solidFill>
                </w14:textFill>
              </w:rPr>
              <w:t>cd</w:t>
            </w:r>
          </w:p>
        </w:tc>
        <w:tc>
          <w:tcPr>
            <w:tcW w:w="1405" w:type="dxa"/>
            <w:vAlign w:val="center"/>
          </w:tcPr>
          <w:p w14:paraId="730C9BC2">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 xml:space="preserve">38.80 ± </w:t>
            </w:r>
          </w:p>
          <w:p w14:paraId="40BECAF3">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1.40</w:t>
            </w:r>
            <w:r>
              <w:rPr>
                <w:rFonts w:eastAsia="微软雅黑"/>
                <w:color w:val="000000" w:themeColor="text1"/>
                <w:kern w:val="0"/>
                <w:vertAlign w:val="superscript"/>
                <w14:textFill>
                  <w14:solidFill>
                    <w14:schemeClr w14:val="tx1"/>
                  </w14:solidFill>
                </w14:textFill>
              </w:rPr>
              <w:t>a</w:t>
            </w:r>
          </w:p>
        </w:tc>
      </w:tr>
      <w:tr w14:paraId="13729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51" w:type="dxa"/>
            <w:vAlign w:val="center"/>
          </w:tcPr>
          <w:p w14:paraId="34426FF5">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 xml:space="preserve">CK </w:t>
            </w:r>
          </w:p>
          <w:p w14:paraId="73CDDE25">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20-40</w:t>
            </w:r>
          </w:p>
        </w:tc>
        <w:tc>
          <w:tcPr>
            <w:tcW w:w="850" w:type="dxa"/>
            <w:vAlign w:val="center"/>
          </w:tcPr>
          <w:p w14:paraId="3BD030F8">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7.00 ± 0.00</w:t>
            </w:r>
            <w:r>
              <w:rPr>
                <w:rFonts w:eastAsia="微软雅黑"/>
                <w:color w:val="000000" w:themeColor="text1"/>
                <w:kern w:val="0"/>
                <w:vertAlign w:val="superscript"/>
                <w14:textFill>
                  <w14:solidFill>
                    <w14:schemeClr w14:val="tx1"/>
                  </w14:solidFill>
                </w14:textFill>
              </w:rPr>
              <w:t>a</w:t>
            </w:r>
          </w:p>
        </w:tc>
        <w:tc>
          <w:tcPr>
            <w:tcW w:w="1134" w:type="dxa"/>
            <w:vAlign w:val="center"/>
          </w:tcPr>
          <w:p w14:paraId="3CF379ED">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1.1</w:t>
            </w:r>
            <w:r>
              <w:rPr>
                <w:rFonts w:hint="eastAsia" w:eastAsia="微软雅黑"/>
                <w:color w:val="000000" w:themeColor="text1"/>
                <w:kern w:val="0"/>
                <w:szCs w:val="21"/>
                <w14:textFill>
                  <w14:solidFill>
                    <w14:schemeClr w14:val="tx1"/>
                  </w14:solidFill>
                </w14:textFill>
              </w:rPr>
              <w:t>9</w:t>
            </w:r>
            <w:r>
              <w:rPr>
                <w:rFonts w:eastAsia="微软雅黑"/>
                <w:color w:val="000000" w:themeColor="text1"/>
                <w:kern w:val="0"/>
                <w:szCs w:val="21"/>
                <w14:textFill>
                  <w14:solidFill>
                    <w14:schemeClr w14:val="tx1"/>
                  </w14:solidFill>
                </w14:textFill>
              </w:rPr>
              <w:t xml:space="preserve"> ± 0.00</w:t>
            </w:r>
            <w:r>
              <w:rPr>
                <w:rFonts w:eastAsia="微软雅黑"/>
                <w:color w:val="000000" w:themeColor="text1"/>
                <w:kern w:val="0"/>
                <w:vertAlign w:val="superscript"/>
                <w14:textFill>
                  <w14:solidFill>
                    <w14:schemeClr w14:val="tx1"/>
                  </w14:solidFill>
                </w14:textFill>
              </w:rPr>
              <w:t>e</w:t>
            </w:r>
          </w:p>
        </w:tc>
        <w:tc>
          <w:tcPr>
            <w:tcW w:w="851" w:type="dxa"/>
            <w:vAlign w:val="center"/>
          </w:tcPr>
          <w:p w14:paraId="63995F26">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5.77 ± 0.03</w:t>
            </w:r>
            <w:r>
              <w:rPr>
                <w:rFonts w:eastAsia="微软雅黑"/>
                <w:color w:val="000000" w:themeColor="text1"/>
                <w:kern w:val="0"/>
                <w:vertAlign w:val="superscript"/>
                <w14:textFill>
                  <w14:solidFill>
                    <w14:schemeClr w14:val="tx1"/>
                  </w14:solidFill>
                </w14:textFill>
              </w:rPr>
              <w:t>ab</w:t>
            </w:r>
          </w:p>
        </w:tc>
        <w:tc>
          <w:tcPr>
            <w:tcW w:w="992" w:type="dxa"/>
            <w:vAlign w:val="center"/>
          </w:tcPr>
          <w:p w14:paraId="0DE41DC8">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1.1</w:t>
            </w:r>
            <w:r>
              <w:rPr>
                <w:rFonts w:hint="eastAsia" w:eastAsia="微软雅黑"/>
                <w:color w:val="000000" w:themeColor="text1"/>
                <w:kern w:val="0"/>
                <w:szCs w:val="21"/>
                <w14:textFill>
                  <w14:solidFill>
                    <w14:schemeClr w14:val="tx1"/>
                  </w14:solidFill>
                </w14:textFill>
              </w:rPr>
              <w:t>9</w:t>
            </w:r>
            <w:r>
              <w:rPr>
                <w:rFonts w:eastAsia="微软雅黑"/>
                <w:color w:val="000000" w:themeColor="text1"/>
                <w:kern w:val="0"/>
                <w:szCs w:val="21"/>
                <w14:textFill>
                  <w14:solidFill>
                    <w14:schemeClr w14:val="tx1"/>
                  </w14:solidFill>
                </w14:textFill>
              </w:rPr>
              <w:t xml:space="preserve"> ± 0.033</w:t>
            </w:r>
            <w:r>
              <w:rPr>
                <w:rFonts w:eastAsia="微软雅黑"/>
                <w:color w:val="000000" w:themeColor="text1"/>
                <w:kern w:val="0"/>
                <w:vertAlign w:val="superscript"/>
                <w14:textFill>
                  <w14:solidFill>
                    <w14:schemeClr w14:val="tx1"/>
                  </w14:solidFill>
                </w14:textFill>
              </w:rPr>
              <w:t>b</w:t>
            </w:r>
          </w:p>
        </w:tc>
        <w:tc>
          <w:tcPr>
            <w:tcW w:w="1134" w:type="dxa"/>
            <w:vAlign w:val="center"/>
          </w:tcPr>
          <w:p w14:paraId="0357477E">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39.80 ± 0.06</w:t>
            </w:r>
            <w:r>
              <w:rPr>
                <w:rFonts w:eastAsia="微软雅黑"/>
                <w:color w:val="000000" w:themeColor="text1"/>
                <w:kern w:val="0"/>
                <w:vertAlign w:val="superscript"/>
                <w14:textFill>
                  <w14:solidFill>
                    <w14:schemeClr w14:val="tx1"/>
                  </w14:solidFill>
                </w14:textFill>
              </w:rPr>
              <w:t>cde</w:t>
            </w:r>
          </w:p>
        </w:tc>
        <w:tc>
          <w:tcPr>
            <w:tcW w:w="1276" w:type="dxa"/>
            <w:vAlign w:val="center"/>
          </w:tcPr>
          <w:p w14:paraId="6D7E12C4">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 xml:space="preserve">4.20 ± </w:t>
            </w:r>
          </w:p>
          <w:p w14:paraId="465E6B57">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0.32</w:t>
            </w:r>
            <w:r>
              <w:rPr>
                <w:rFonts w:eastAsia="微软雅黑"/>
                <w:color w:val="000000" w:themeColor="text1"/>
                <w:kern w:val="0"/>
                <w:vertAlign w:val="superscript"/>
                <w14:textFill>
                  <w14:solidFill>
                    <w14:schemeClr w14:val="tx1"/>
                  </w14:solidFill>
                </w14:textFill>
              </w:rPr>
              <w:t>d</w:t>
            </w:r>
          </w:p>
        </w:tc>
        <w:tc>
          <w:tcPr>
            <w:tcW w:w="1405" w:type="dxa"/>
            <w:vAlign w:val="center"/>
          </w:tcPr>
          <w:p w14:paraId="2F48B5C8">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35.60 ± 0.38</w:t>
            </w:r>
            <w:r>
              <w:rPr>
                <w:rFonts w:eastAsia="微软雅黑"/>
                <w:color w:val="000000" w:themeColor="text1"/>
                <w:kern w:val="0"/>
                <w:vertAlign w:val="superscript"/>
                <w14:textFill>
                  <w14:solidFill>
                    <w14:schemeClr w14:val="tx1"/>
                  </w14:solidFill>
                </w14:textFill>
              </w:rPr>
              <w:t>ab</w:t>
            </w:r>
          </w:p>
        </w:tc>
      </w:tr>
      <w:tr w14:paraId="00455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51" w:type="dxa"/>
            <w:vAlign w:val="center"/>
          </w:tcPr>
          <w:p w14:paraId="2E157ADC">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w:t>
            </w:r>
            <w:r>
              <w:rPr>
                <w:rFonts w:hint="eastAsia" w:eastAsia="微软雅黑"/>
                <w:color w:val="000000" w:themeColor="text1"/>
                <w:kern w:val="0"/>
                <w:szCs w:val="21"/>
                <w14:textFill>
                  <w14:solidFill>
                    <w14:schemeClr w14:val="tx1"/>
                  </w14:solidFill>
                </w14:textFill>
              </w:rPr>
              <w:t xml:space="preserve"> year</w:t>
            </w:r>
            <w:r>
              <w:rPr>
                <w:rFonts w:eastAsia="微软雅黑"/>
                <w:color w:val="000000" w:themeColor="text1"/>
                <w:kern w:val="0"/>
                <w:szCs w:val="21"/>
                <w14:textFill>
                  <w14:solidFill>
                    <w14:schemeClr w14:val="tx1"/>
                  </w14:solidFill>
                </w14:textFill>
              </w:rPr>
              <w:t xml:space="preserve"> </w:t>
            </w:r>
          </w:p>
          <w:p w14:paraId="09172590">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0-10</w:t>
            </w:r>
          </w:p>
        </w:tc>
        <w:tc>
          <w:tcPr>
            <w:tcW w:w="850" w:type="dxa"/>
            <w:vAlign w:val="center"/>
          </w:tcPr>
          <w:p w14:paraId="5808BE68">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6.60 ± 0.10</w:t>
            </w:r>
            <w:r>
              <w:rPr>
                <w:rFonts w:eastAsia="微软雅黑"/>
                <w:color w:val="000000" w:themeColor="text1"/>
                <w:kern w:val="0"/>
                <w:vertAlign w:val="superscript"/>
                <w14:textFill>
                  <w14:solidFill>
                    <w14:schemeClr w14:val="tx1"/>
                  </w14:solidFill>
                </w14:textFill>
              </w:rPr>
              <w:t>d</w:t>
            </w:r>
          </w:p>
        </w:tc>
        <w:tc>
          <w:tcPr>
            <w:tcW w:w="1134" w:type="dxa"/>
            <w:vAlign w:val="center"/>
          </w:tcPr>
          <w:p w14:paraId="627D855A">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2.23 ± 0.01</w:t>
            </w:r>
            <w:r>
              <w:rPr>
                <w:rFonts w:eastAsia="微软雅黑"/>
                <w:color w:val="000000" w:themeColor="text1"/>
                <w:kern w:val="0"/>
                <w:vertAlign w:val="superscript"/>
                <w14:textFill>
                  <w14:solidFill>
                    <w14:schemeClr w14:val="tx1"/>
                  </w14:solidFill>
                </w14:textFill>
              </w:rPr>
              <w:t>a</w:t>
            </w:r>
          </w:p>
        </w:tc>
        <w:tc>
          <w:tcPr>
            <w:tcW w:w="851" w:type="dxa"/>
            <w:vAlign w:val="center"/>
          </w:tcPr>
          <w:p w14:paraId="0471CB47">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4.42 ± 0.04</w:t>
            </w:r>
            <w:r>
              <w:rPr>
                <w:rFonts w:eastAsia="微软雅黑"/>
                <w:color w:val="000000" w:themeColor="text1"/>
                <w:kern w:val="0"/>
                <w:vertAlign w:val="superscript"/>
                <w14:textFill>
                  <w14:solidFill>
                    <w14:schemeClr w14:val="tx1"/>
                  </w14:solidFill>
                </w14:textFill>
              </w:rPr>
              <w:t>cd</w:t>
            </w:r>
          </w:p>
        </w:tc>
        <w:tc>
          <w:tcPr>
            <w:tcW w:w="992" w:type="dxa"/>
            <w:vAlign w:val="center"/>
          </w:tcPr>
          <w:p w14:paraId="1C9026C1">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1.32 ± 0.036</w:t>
            </w:r>
            <w:r>
              <w:rPr>
                <w:rFonts w:eastAsia="微软雅黑"/>
                <w:color w:val="000000" w:themeColor="text1"/>
                <w:kern w:val="0"/>
                <w:vertAlign w:val="superscript"/>
                <w14:textFill>
                  <w14:solidFill>
                    <w14:schemeClr w14:val="tx1"/>
                  </w14:solidFill>
                </w14:textFill>
              </w:rPr>
              <w:t>a</w:t>
            </w:r>
          </w:p>
        </w:tc>
        <w:tc>
          <w:tcPr>
            <w:tcW w:w="1134" w:type="dxa"/>
            <w:vAlign w:val="center"/>
          </w:tcPr>
          <w:p w14:paraId="612B8A49">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41.97 ± 0.84</w:t>
            </w:r>
            <w:r>
              <w:rPr>
                <w:rFonts w:eastAsia="微软雅黑"/>
                <w:color w:val="000000" w:themeColor="text1"/>
                <w:kern w:val="0"/>
                <w:vertAlign w:val="superscript"/>
                <w14:textFill>
                  <w14:solidFill>
                    <w14:schemeClr w14:val="tx1"/>
                  </w14:solidFill>
                </w14:textFill>
              </w:rPr>
              <w:t>bc</w:t>
            </w:r>
          </w:p>
        </w:tc>
        <w:tc>
          <w:tcPr>
            <w:tcW w:w="1276" w:type="dxa"/>
            <w:vAlign w:val="center"/>
          </w:tcPr>
          <w:p w14:paraId="3C87F076">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 xml:space="preserve">9.33 ± </w:t>
            </w:r>
          </w:p>
          <w:p w14:paraId="5E64F9FE">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0.63</w:t>
            </w:r>
            <w:r>
              <w:rPr>
                <w:rFonts w:eastAsia="微软雅黑"/>
                <w:color w:val="000000" w:themeColor="text1"/>
                <w:kern w:val="0"/>
                <w:vertAlign w:val="superscript"/>
                <w14:textFill>
                  <w14:solidFill>
                    <w14:schemeClr w14:val="tx1"/>
                  </w14:solidFill>
                </w14:textFill>
              </w:rPr>
              <w:t>a</w:t>
            </w:r>
          </w:p>
        </w:tc>
        <w:tc>
          <w:tcPr>
            <w:tcW w:w="1405" w:type="dxa"/>
            <w:vAlign w:val="center"/>
          </w:tcPr>
          <w:p w14:paraId="62D77F8E">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32.63 ± 1.13</w:t>
            </w:r>
            <w:r>
              <w:rPr>
                <w:rFonts w:eastAsia="微软雅黑"/>
                <w:color w:val="000000" w:themeColor="text1"/>
                <w:kern w:val="0"/>
                <w:vertAlign w:val="superscript"/>
                <w14:textFill>
                  <w14:solidFill>
                    <w14:schemeClr w14:val="tx1"/>
                  </w14:solidFill>
                </w14:textFill>
              </w:rPr>
              <w:t>bc</w:t>
            </w:r>
          </w:p>
        </w:tc>
      </w:tr>
      <w:tr w14:paraId="1CFB4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51" w:type="dxa"/>
            <w:vAlign w:val="center"/>
          </w:tcPr>
          <w:p w14:paraId="7EE2BE4C">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w:t>
            </w:r>
            <w:r>
              <w:rPr>
                <w:rFonts w:hint="eastAsia" w:eastAsia="微软雅黑"/>
                <w:color w:val="000000" w:themeColor="text1"/>
                <w:kern w:val="0"/>
                <w:szCs w:val="21"/>
                <w14:textFill>
                  <w14:solidFill>
                    <w14:schemeClr w14:val="tx1"/>
                  </w14:solidFill>
                </w14:textFill>
              </w:rPr>
              <w:t xml:space="preserve"> </w:t>
            </w:r>
            <w:r>
              <w:rPr>
                <w:rFonts w:eastAsia="微软雅黑"/>
                <w:color w:val="000000" w:themeColor="text1"/>
                <w:kern w:val="0"/>
                <w:szCs w:val="21"/>
                <w14:textFill>
                  <w14:solidFill>
                    <w14:schemeClr w14:val="tx1"/>
                  </w14:solidFill>
                </w14:textFill>
              </w:rPr>
              <w:t xml:space="preserve">year </w:t>
            </w:r>
          </w:p>
          <w:p w14:paraId="5BAB66F7">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10-20</w:t>
            </w:r>
          </w:p>
        </w:tc>
        <w:tc>
          <w:tcPr>
            <w:tcW w:w="850" w:type="dxa"/>
            <w:vAlign w:val="center"/>
          </w:tcPr>
          <w:p w14:paraId="5999F59C">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7.00 ± 0.00</w:t>
            </w:r>
            <w:r>
              <w:rPr>
                <w:rFonts w:eastAsia="微软雅黑"/>
                <w:color w:val="000000" w:themeColor="text1"/>
                <w:kern w:val="0"/>
                <w:vertAlign w:val="superscript"/>
                <w14:textFill>
                  <w14:solidFill>
                    <w14:schemeClr w14:val="tx1"/>
                  </w14:solidFill>
                </w14:textFill>
              </w:rPr>
              <w:t>a</w:t>
            </w:r>
          </w:p>
        </w:tc>
        <w:tc>
          <w:tcPr>
            <w:tcW w:w="1134" w:type="dxa"/>
            <w:vAlign w:val="center"/>
          </w:tcPr>
          <w:p w14:paraId="02704063">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1.3</w:t>
            </w:r>
            <w:r>
              <w:rPr>
                <w:rFonts w:hint="eastAsia" w:eastAsia="微软雅黑"/>
                <w:color w:val="000000" w:themeColor="text1"/>
                <w:kern w:val="0"/>
                <w:szCs w:val="21"/>
                <w14:textFill>
                  <w14:solidFill>
                    <w14:schemeClr w14:val="tx1"/>
                  </w14:solidFill>
                </w14:textFill>
              </w:rPr>
              <w:t>6</w:t>
            </w:r>
            <w:r>
              <w:rPr>
                <w:rFonts w:eastAsia="微软雅黑"/>
                <w:color w:val="000000" w:themeColor="text1"/>
                <w:kern w:val="0"/>
                <w:szCs w:val="21"/>
                <w14:textFill>
                  <w14:solidFill>
                    <w14:schemeClr w14:val="tx1"/>
                  </w14:solidFill>
                </w14:textFill>
              </w:rPr>
              <w:t xml:space="preserve"> ± 0.00</w:t>
            </w:r>
            <w:r>
              <w:rPr>
                <w:rFonts w:eastAsia="微软雅黑"/>
                <w:color w:val="000000" w:themeColor="text1"/>
                <w:kern w:val="0"/>
                <w:vertAlign w:val="superscript"/>
                <w14:textFill>
                  <w14:solidFill>
                    <w14:schemeClr w14:val="tx1"/>
                  </w14:solidFill>
                </w14:textFill>
              </w:rPr>
              <w:t>c</w:t>
            </w:r>
          </w:p>
        </w:tc>
        <w:tc>
          <w:tcPr>
            <w:tcW w:w="851" w:type="dxa"/>
            <w:vAlign w:val="center"/>
          </w:tcPr>
          <w:p w14:paraId="2762B9DB">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5.07 ± 0.15</w:t>
            </w:r>
            <w:r>
              <w:rPr>
                <w:rFonts w:eastAsia="微软雅黑"/>
                <w:color w:val="000000" w:themeColor="text1"/>
                <w:kern w:val="0"/>
                <w:vertAlign w:val="superscript"/>
                <w14:textFill>
                  <w14:solidFill>
                    <w14:schemeClr w14:val="tx1"/>
                  </w14:solidFill>
                </w14:textFill>
              </w:rPr>
              <w:t>bc</w:t>
            </w:r>
          </w:p>
        </w:tc>
        <w:tc>
          <w:tcPr>
            <w:tcW w:w="992" w:type="dxa"/>
            <w:vAlign w:val="center"/>
          </w:tcPr>
          <w:p w14:paraId="1180E0A1">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0.63 ± 0.026</w:t>
            </w:r>
            <w:r>
              <w:rPr>
                <w:rFonts w:eastAsia="微软雅黑"/>
                <w:color w:val="000000" w:themeColor="text1"/>
                <w:kern w:val="0"/>
                <w:vertAlign w:val="superscript"/>
                <w14:textFill>
                  <w14:solidFill>
                    <w14:schemeClr w14:val="tx1"/>
                  </w14:solidFill>
                </w14:textFill>
              </w:rPr>
              <w:t>e</w:t>
            </w:r>
          </w:p>
        </w:tc>
        <w:tc>
          <w:tcPr>
            <w:tcW w:w="1134" w:type="dxa"/>
            <w:vAlign w:val="center"/>
          </w:tcPr>
          <w:p w14:paraId="18363158">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41.23 ± 0.88</w:t>
            </w:r>
            <w:r>
              <w:rPr>
                <w:rFonts w:eastAsia="微软雅黑"/>
                <w:color w:val="000000" w:themeColor="text1"/>
                <w:kern w:val="0"/>
                <w:vertAlign w:val="superscript"/>
                <w14:textFill>
                  <w14:solidFill>
                    <w14:schemeClr w14:val="tx1"/>
                  </w14:solidFill>
                </w14:textFill>
              </w:rPr>
              <w:t>bcd</w:t>
            </w:r>
          </w:p>
        </w:tc>
        <w:tc>
          <w:tcPr>
            <w:tcW w:w="1276" w:type="dxa"/>
            <w:vAlign w:val="center"/>
          </w:tcPr>
          <w:p w14:paraId="720FC0ED">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6.27 ± 0.88</w:t>
            </w:r>
            <w:r>
              <w:rPr>
                <w:rFonts w:eastAsia="微软雅黑"/>
                <w:color w:val="000000" w:themeColor="text1"/>
                <w:kern w:val="0"/>
                <w:vertAlign w:val="superscript"/>
                <w14:textFill>
                  <w14:solidFill>
                    <w14:schemeClr w14:val="tx1"/>
                  </w14:solidFill>
                </w14:textFill>
              </w:rPr>
              <w:t>bcd</w:t>
            </w:r>
          </w:p>
        </w:tc>
        <w:tc>
          <w:tcPr>
            <w:tcW w:w="1405" w:type="dxa"/>
            <w:vAlign w:val="center"/>
          </w:tcPr>
          <w:p w14:paraId="61693AA2">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34.97 ± 0.42</w:t>
            </w:r>
            <w:r>
              <w:rPr>
                <w:rFonts w:eastAsia="微软雅黑"/>
                <w:color w:val="000000" w:themeColor="text1"/>
                <w:kern w:val="0"/>
                <w:vertAlign w:val="superscript"/>
                <w14:textFill>
                  <w14:solidFill>
                    <w14:schemeClr w14:val="tx1"/>
                  </w14:solidFill>
                </w14:textFill>
              </w:rPr>
              <w:t>ab</w:t>
            </w:r>
          </w:p>
        </w:tc>
      </w:tr>
      <w:tr w14:paraId="371F2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51" w:type="dxa"/>
            <w:vAlign w:val="center"/>
          </w:tcPr>
          <w:p w14:paraId="6DE56A2D">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 xml:space="preserve">1year </w:t>
            </w:r>
          </w:p>
          <w:p w14:paraId="152722BB">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20-40</w:t>
            </w:r>
          </w:p>
        </w:tc>
        <w:tc>
          <w:tcPr>
            <w:tcW w:w="850" w:type="dxa"/>
            <w:vAlign w:val="center"/>
          </w:tcPr>
          <w:p w14:paraId="196C2672">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6.50 ± 0.00</w:t>
            </w:r>
            <w:r>
              <w:rPr>
                <w:rFonts w:eastAsia="微软雅黑"/>
                <w:color w:val="000000" w:themeColor="text1"/>
                <w:kern w:val="0"/>
                <w:vertAlign w:val="superscript"/>
                <w14:textFill>
                  <w14:solidFill>
                    <w14:schemeClr w14:val="tx1"/>
                  </w14:solidFill>
                </w14:textFill>
              </w:rPr>
              <w:t>e</w:t>
            </w:r>
          </w:p>
        </w:tc>
        <w:tc>
          <w:tcPr>
            <w:tcW w:w="1134" w:type="dxa"/>
            <w:vAlign w:val="center"/>
          </w:tcPr>
          <w:p w14:paraId="650B93F7">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1.1</w:t>
            </w:r>
            <w:r>
              <w:rPr>
                <w:rFonts w:hint="eastAsia" w:eastAsia="微软雅黑"/>
                <w:color w:val="000000" w:themeColor="text1"/>
                <w:kern w:val="0"/>
                <w:szCs w:val="21"/>
                <w14:textFill>
                  <w14:solidFill>
                    <w14:schemeClr w14:val="tx1"/>
                  </w14:solidFill>
                </w14:textFill>
              </w:rPr>
              <w:t>9</w:t>
            </w:r>
            <w:r>
              <w:rPr>
                <w:rFonts w:eastAsia="微软雅黑"/>
                <w:color w:val="000000" w:themeColor="text1"/>
                <w:kern w:val="0"/>
                <w:szCs w:val="21"/>
                <w14:textFill>
                  <w14:solidFill>
                    <w14:schemeClr w14:val="tx1"/>
                  </w14:solidFill>
                </w14:textFill>
              </w:rPr>
              <w:t xml:space="preserve"> ± 0.0</w:t>
            </w:r>
            <w:r>
              <w:rPr>
                <w:rFonts w:hint="eastAsia" w:eastAsia="微软雅黑"/>
                <w:color w:val="000000" w:themeColor="text1"/>
                <w:kern w:val="0"/>
                <w:szCs w:val="21"/>
                <w14:textFill>
                  <w14:solidFill>
                    <w14:schemeClr w14:val="tx1"/>
                  </w14:solidFill>
                </w14:textFill>
              </w:rPr>
              <w:t>1</w:t>
            </w:r>
            <w:r>
              <w:rPr>
                <w:rFonts w:eastAsia="微软雅黑"/>
                <w:color w:val="000000" w:themeColor="text1"/>
                <w:kern w:val="0"/>
                <w:vertAlign w:val="superscript"/>
                <w14:textFill>
                  <w14:solidFill>
                    <w14:schemeClr w14:val="tx1"/>
                  </w14:solidFill>
                </w14:textFill>
              </w:rPr>
              <w:t>e</w:t>
            </w:r>
          </w:p>
        </w:tc>
        <w:tc>
          <w:tcPr>
            <w:tcW w:w="851" w:type="dxa"/>
            <w:vAlign w:val="center"/>
          </w:tcPr>
          <w:p w14:paraId="08385F8C">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4.57 ± 0.07</w:t>
            </w:r>
            <w:r>
              <w:rPr>
                <w:rFonts w:eastAsia="微软雅黑"/>
                <w:color w:val="000000" w:themeColor="text1"/>
                <w:kern w:val="0"/>
                <w:vertAlign w:val="superscript"/>
                <w14:textFill>
                  <w14:solidFill>
                    <w14:schemeClr w14:val="tx1"/>
                  </w14:solidFill>
                </w14:textFill>
              </w:rPr>
              <w:t>cd</w:t>
            </w:r>
          </w:p>
        </w:tc>
        <w:tc>
          <w:tcPr>
            <w:tcW w:w="992" w:type="dxa"/>
            <w:vAlign w:val="center"/>
          </w:tcPr>
          <w:p w14:paraId="75B63827">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0.7</w:t>
            </w:r>
            <w:r>
              <w:rPr>
                <w:rFonts w:hint="eastAsia" w:eastAsia="微软雅黑"/>
                <w:color w:val="000000" w:themeColor="text1"/>
                <w:kern w:val="0"/>
                <w:szCs w:val="21"/>
                <w14:textFill>
                  <w14:solidFill>
                    <w14:schemeClr w14:val="tx1"/>
                  </w14:solidFill>
                </w14:textFill>
              </w:rPr>
              <w:t>5</w:t>
            </w:r>
            <w:r>
              <w:rPr>
                <w:rFonts w:eastAsia="微软雅黑"/>
                <w:color w:val="000000" w:themeColor="text1"/>
                <w:kern w:val="0"/>
                <w:szCs w:val="21"/>
                <w14:textFill>
                  <w14:solidFill>
                    <w14:schemeClr w14:val="tx1"/>
                  </w14:solidFill>
                </w14:textFill>
              </w:rPr>
              <w:t xml:space="preserve"> ± 0.022</w:t>
            </w:r>
            <w:r>
              <w:rPr>
                <w:rFonts w:eastAsia="微软雅黑"/>
                <w:color w:val="000000" w:themeColor="text1"/>
                <w:kern w:val="0"/>
                <w:vertAlign w:val="superscript"/>
                <w14:textFill>
                  <w14:solidFill>
                    <w14:schemeClr w14:val="tx1"/>
                  </w14:solidFill>
                </w14:textFill>
              </w:rPr>
              <w:t>d</w:t>
            </w:r>
          </w:p>
        </w:tc>
        <w:tc>
          <w:tcPr>
            <w:tcW w:w="1134" w:type="dxa"/>
            <w:vAlign w:val="center"/>
          </w:tcPr>
          <w:p w14:paraId="6A951625">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39.70 ± 1.21</w:t>
            </w:r>
            <w:r>
              <w:rPr>
                <w:rFonts w:eastAsia="微软雅黑"/>
                <w:color w:val="000000" w:themeColor="text1"/>
                <w:kern w:val="0"/>
                <w:vertAlign w:val="superscript"/>
                <w14:textFill>
                  <w14:solidFill>
                    <w14:schemeClr w14:val="tx1"/>
                  </w14:solidFill>
                </w14:textFill>
              </w:rPr>
              <w:t>cde</w:t>
            </w:r>
          </w:p>
        </w:tc>
        <w:tc>
          <w:tcPr>
            <w:tcW w:w="1276" w:type="dxa"/>
            <w:vAlign w:val="center"/>
          </w:tcPr>
          <w:p w14:paraId="747F6B85">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5.10 ± 0.61</w:t>
            </w:r>
            <w:r>
              <w:rPr>
                <w:rFonts w:eastAsia="微软雅黑"/>
                <w:color w:val="000000" w:themeColor="text1"/>
                <w:kern w:val="0"/>
                <w:vertAlign w:val="superscript"/>
                <w14:textFill>
                  <w14:solidFill>
                    <w14:schemeClr w14:val="tx1"/>
                  </w14:solidFill>
                </w14:textFill>
              </w:rPr>
              <w:t>cd</w:t>
            </w:r>
          </w:p>
        </w:tc>
        <w:tc>
          <w:tcPr>
            <w:tcW w:w="1405" w:type="dxa"/>
            <w:vAlign w:val="center"/>
          </w:tcPr>
          <w:p w14:paraId="574CC49A">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34.60 ± 0.74</w:t>
            </w:r>
            <w:r>
              <w:rPr>
                <w:rFonts w:eastAsia="微软雅黑"/>
                <w:color w:val="000000" w:themeColor="text1"/>
                <w:kern w:val="0"/>
                <w:vertAlign w:val="superscript"/>
                <w14:textFill>
                  <w14:solidFill>
                    <w14:schemeClr w14:val="tx1"/>
                  </w14:solidFill>
                </w14:textFill>
              </w:rPr>
              <w:t>ab</w:t>
            </w:r>
          </w:p>
        </w:tc>
      </w:tr>
      <w:tr w14:paraId="3D788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51" w:type="dxa"/>
            <w:vAlign w:val="center"/>
          </w:tcPr>
          <w:p w14:paraId="415CE250">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2</w:t>
            </w:r>
            <w:r>
              <w:rPr>
                <w:rFonts w:hint="eastAsia" w:eastAsia="微软雅黑"/>
                <w:color w:val="000000" w:themeColor="text1"/>
                <w:kern w:val="0"/>
                <w:szCs w:val="21"/>
                <w14:textFill>
                  <w14:solidFill>
                    <w14:schemeClr w14:val="tx1"/>
                  </w14:solidFill>
                </w14:textFill>
              </w:rPr>
              <w:t xml:space="preserve"> </w:t>
            </w:r>
            <w:r>
              <w:rPr>
                <w:rFonts w:eastAsia="微软雅黑"/>
                <w:color w:val="000000" w:themeColor="text1"/>
                <w:kern w:val="0"/>
                <w:szCs w:val="21"/>
                <w14:textFill>
                  <w14:solidFill>
                    <w14:schemeClr w14:val="tx1"/>
                  </w14:solidFill>
                </w14:textFill>
              </w:rPr>
              <w:t xml:space="preserve">year </w:t>
            </w:r>
          </w:p>
          <w:p w14:paraId="2362DF12">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0-10</w:t>
            </w:r>
          </w:p>
        </w:tc>
        <w:tc>
          <w:tcPr>
            <w:tcW w:w="850" w:type="dxa"/>
            <w:vAlign w:val="center"/>
          </w:tcPr>
          <w:p w14:paraId="23147E5F">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6.70 ± 0.10</w:t>
            </w:r>
            <w:r>
              <w:rPr>
                <w:rFonts w:eastAsia="微软雅黑"/>
                <w:color w:val="000000" w:themeColor="text1"/>
                <w:kern w:val="0"/>
                <w:vertAlign w:val="superscript"/>
                <w14:textFill>
                  <w14:solidFill>
                    <w14:schemeClr w14:val="tx1"/>
                  </w14:solidFill>
                </w14:textFill>
              </w:rPr>
              <w:t>c</w:t>
            </w:r>
          </w:p>
        </w:tc>
        <w:tc>
          <w:tcPr>
            <w:tcW w:w="1134" w:type="dxa"/>
            <w:vAlign w:val="center"/>
          </w:tcPr>
          <w:p w14:paraId="6440CB44">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2.13 ± 0.0</w:t>
            </w:r>
            <w:r>
              <w:rPr>
                <w:rFonts w:hint="eastAsia" w:eastAsia="微软雅黑"/>
                <w:color w:val="000000" w:themeColor="text1"/>
                <w:kern w:val="0"/>
                <w:szCs w:val="21"/>
                <w14:textFill>
                  <w14:solidFill>
                    <w14:schemeClr w14:val="tx1"/>
                  </w14:solidFill>
                </w14:textFill>
              </w:rPr>
              <w:t>2</w:t>
            </w:r>
            <w:r>
              <w:rPr>
                <w:rFonts w:eastAsia="微软雅黑"/>
                <w:color w:val="000000" w:themeColor="text1"/>
                <w:kern w:val="0"/>
                <w:vertAlign w:val="superscript"/>
                <w14:textFill>
                  <w14:solidFill>
                    <w14:schemeClr w14:val="tx1"/>
                  </w14:solidFill>
                </w14:textFill>
              </w:rPr>
              <w:t>b</w:t>
            </w:r>
          </w:p>
        </w:tc>
        <w:tc>
          <w:tcPr>
            <w:tcW w:w="851" w:type="dxa"/>
            <w:vAlign w:val="center"/>
          </w:tcPr>
          <w:p w14:paraId="24C2D7DB">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5.04 ± 0.12</w:t>
            </w:r>
            <w:r>
              <w:rPr>
                <w:rFonts w:eastAsia="微软雅黑"/>
                <w:color w:val="000000" w:themeColor="text1"/>
                <w:kern w:val="0"/>
                <w:vertAlign w:val="superscript"/>
                <w14:textFill>
                  <w14:solidFill>
                    <w14:schemeClr w14:val="tx1"/>
                  </w14:solidFill>
                </w14:textFill>
              </w:rPr>
              <w:t>bc</w:t>
            </w:r>
          </w:p>
        </w:tc>
        <w:tc>
          <w:tcPr>
            <w:tcW w:w="992" w:type="dxa"/>
            <w:vAlign w:val="center"/>
          </w:tcPr>
          <w:p w14:paraId="61DFB277">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1.18 ± 0.012</w:t>
            </w:r>
            <w:r>
              <w:rPr>
                <w:rFonts w:eastAsia="微软雅黑"/>
                <w:color w:val="000000" w:themeColor="text1"/>
                <w:kern w:val="0"/>
                <w:vertAlign w:val="superscript"/>
                <w14:textFill>
                  <w14:solidFill>
                    <w14:schemeClr w14:val="tx1"/>
                  </w14:solidFill>
                </w14:textFill>
              </w:rPr>
              <w:t>b</w:t>
            </w:r>
          </w:p>
        </w:tc>
        <w:tc>
          <w:tcPr>
            <w:tcW w:w="1134" w:type="dxa"/>
            <w:vAlign w:val="center"/>
          </w:tcPr>
          <w:p w14:paraId="5DCE6B20">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37.60 ± 1.74</w:t>
            </w:r>
            <w:r>
              <w:rPr>
                <w:rFonts w:eastAsia="微软雅黑"/>
                <w:color w:val="000000" w:themeColor="text1"/>
                <w:kern w:val="0"/>
                <w:vertAlign w:val="superscript"/>
                <w14:textFill>
                  <w14:solidFill>
                    <w14:schemeClr w14:val="tx1"/>
                  </w14:solidFill>
                </w14:textFill>
              </w:rPr>
              <w:t>e</w:t>
            </w:r>
          </w:p>
        </w:tc>
        <w:tc>
          <w:tcPr>
            <w:tcW w:w="1276" w:type="dxa"/>
            <w:vAlign w:val="center"/>
          </w:tcPr>
          <w:p w14:paraId="52F09A0B">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7.47 ± 0.98</w:t>
            </w:r>
            <w:r>
              <w:rPr>
                <w:rFonts w:eastAsia="微软雅黑"/>
                <w:color w:val="000000" w:themeColor="text1"/>
                <w:kern w:val="0"/>
                <w:vertAlign w:val="superscript"/>
                <w14:textFill>
                  <w14:solidFill>
                    <w14:schemeClr w14:val="tx1"/>
                  </w14:solidFill>
                </w14:textFill>
              </w:rPr>
              <w:t>abc</w:t>
            </w:r>
          </w:p>
        </w:tc>
        <w:tc>
          <w:tcPr>
            <w:tcW w:w="1405" w:type="dxa"/>
            <w:vAlign w:val="center"/>
          </w:tcPr>
          <w:p w14:paraId="7FACAAC0">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 xml:space="preserve">30.17 ± </w:t>
            </w:r>
          </w:p>
          <w:p w14:paraId="735275A7">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2.68</w:t>
            </w:r>
            <w:r>
              <w:rPr>
                <w:rFonts w:eastAsia="微软雅黑"/>
                <w:color w:val="000000" w:themeColor="text1"/>
                <w:kern w:val="0"/>
                <w:vertAlign w:val="superscript"/>
                <w14:textFill>
                  <w14:solidFill>
                    <w14:schemeClr w14:val="tx1"/>
                  </w14:solidFill>
                </w14:textFill>
              </w:rPr>
              <w:t>c</w:t>
            </w:r>
          </w:p>
        </w:tc>
      </w:tr>
      <w:tr w14:paraId="0328C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51" w:type="dxa"/>
            <w:vAlign w:val="center"/>
          </w:tcPr>
          <w:p w14:paraId="544C0465">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2</w:t>
            </w:r>
            <w:r>
              <w:rPr>
                <w:rFonts w:hint="eastAsia" w:eastAsia="微软雅黑"/>
                <w:color w:val="000000" w:themeColor="text1"/>
                <w:kern w:val="0"/>
                <w:szCs w:val="21"/>
                <w14:textFill>
                  <w14:solidFill>
                    <w14:schemeClr w14:val="tx1"/>
                  </w14:solidFill>
                </w14:textFill>
              </w:rPr>
              <w:t xml:space="preserve"> </w:t>
            </w:r>
            <w:r>
              <w:rPr>
                <w:rFonts w:eastAsia="微软雅黑"/>
                <w:color w:val="000000" w:themeColor="text1"/>
                <w:kern w:val="0"/>
                <w:szCs w:val="21"/>
                <w14:textFill>
                  <w14:solidFill>
                    <w14:schemeClr w14:val="tx1"/>
                  </w14:solidFill>
                </w14:textFill>
              </w:rPr>
              <w:t xml:space="preserve">year </w:t>
            </w:r>
          </w:p>
          <w:p w14:paraId="03517EFF">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10-20</w:t>
            </w:r>
          </w:p>
        </w:tc>
        <w:tc>
          <w:tcPr>
            <w:tcW w:w="850" w:type="dxa"/>
            <w:vAlign w:val="center"/>
          </w:tcPr>
          <w:p w14:paraId="6881AA1E">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6.50 ± 0.00</w:t>
            </w:r>
            <w:r>
              <w:rPr>
                <w:rFonts w:eastAsia="微软雅黑"/>
                <w:color w:val="000000" w:themeColor="text1"/>
                <w:kern w:val="0"/>
                <w:vertAlign w:val="superscript"/>
                <w14:textFill>
                  <w14:solidFill>
                    <w14:schemeClr w14:val="tx1"/>
                  </w14:solidFill>
                </w14:textFill>
              </w:rPr>
              <w:t>e</w:t>
            </w:r>
          </w:p>
        </w:tc>
        <w:tc>
          <w:tcPr>
            <w:tcW w:w="1134" w:type="dxa"/>
            <w:vAlign w:val="center"/>
          </w:tcPr>
          <w:p w14:paraId="5168248E">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1.34 ± 0.01</w:t>
            </w:r>
            <w:r>
              <w:rPr>
                <w:rFonts w:eastAsia="微软雅黑"/>
                <w:color w:val="000000" w:themeColor="text1"/>
                <w:kern w:val="0"/>
                <w:vertAlign w:val="superscript"/>
                <w14:textFill>
                  <w14:solidFill>
                    <w14:schemeClr w14:val="tx1"/>
                  </w14:solidFill>
                </w14:textFill>
              </w:rPr>
              <w:t>c</w:t>
            </w:r>
          </w:p>
        </w:tc>
        <w:tc>
          <w:tcPr>
            <w:tcW w:w="851" w:type="dxa"/>
            <w:vAlign w:val="center"/>
          </w:tcPr>
          <w:p w14:paraId="234F3C65">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4.43 ± 0.07</w:t>
            </w:r>
            <w:r>
              <w:rPr>
                <w:rFonts w:eastAsia="微软雅黑"/>
                <w:color w:val="000000" w:themeColor="text1"/>
                <w:kern w:val="0"/>
                <w:vertAlign w:val="superscript"/>
                <w14:textFill>
                  <w14:solidFill>
                    <w14:schemeClr w14:val="tx1"/>
                  </w14:solidFill>
                </w14:textFill>
              </w:rPr>
              <w:t>cd</w:t>
            </w:r>
          </w:p>
        </w:tc>
        <w:tc>
          <w:tcPr>
            <w:tcW w:w="992" w:type="dxa"/>
            <w:vAlign w:val="center"/>
          </w:tcPr>
          <w:p w14:paraId="31CCBC3E">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0.63 ± 0.018</w:t>
            </w:r>
            <w:r>
              <w:rPr>
                <w:rFonts w:eastAsia="微软雅黑"/>
                <w:color w:val="000000" w:themeColor="text1"/>
                <w:kern w:val="0"/>
                <w:vertAlign w:val="superscript"/>
                <w14:textFill>
                  <w14:solidFill>
                    <w14:schemeClr w14:val="tx1"/>
                  </w14:solidFill>
                </w14:textFill>
              </w:rPr>
              <w:t>e</w:t>
            </w:r>
          </w:p>
        </w:tc>
        <w:tc>
          <w:tcPr>
            <w:tcW w:w="1134" w:type="dxa"/>
            <w:vAlign w:val="center"/>
          </w:tcPr>
          <w:p w14:paraId="165E704A">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40.27 ± 0.71</w:t>
            </w:r>
            <w:r>
              <w:rPr>
                <w:rFonts w:eastAsia="微软雅黑"/>
                <w:color w:val="000000" w:themeColor="text1"/>
                <w:kern w:val="0"/>
                <w:vertAlign w:val="superscript"/>
                <w14:textFill>
                  <w14:solidFill>
                    <w14:schemeClr w14:val="tx1"/>
                  </w14:solidFill>
                </w14:textFill>
              </w:rPr>
              <w:t>cd</w:t>
            </w:r>
          </w:p>
        </w:tc>
        <w:tc>
          <w:tcPr>
            <w:tcW w:w="1276" w:type="dxa"/>
            <w:vAlign w:val="center"/>
          </w:tcPr>
          <w:p w14:paraId="40069196">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5.03 ± 0.12</w:t>
            </w:r>
            <w:r>
              <w:rPr>
                <w:rFonts w:eastAsia="微软雅黑"/>
                <w:color w:val="000000" w:themeColor="text1"/>
                <w:kern w:val="0"/>
                <w:vertAlign w:val="superscript"/>
                <w14:textFill>
                  <w14:solidFill>
                    <w14:schemeClr w14:val="tx1"/>
                  </w14:solidFill>
                </w14:textFill>
              </w:rPr>
              <w:t>cd</w:t>
            </w:r>
          </w:p>
        </w:tc>
        <w:tc>
          <w:tcPr>
            <w:tcW w:w="1405" w:type="dxa"/>
            <w:vAlign w:val="center"/>
          </w:tcPr>
          <w:p w14:paraId="570C0500">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33.90 ± 0.87</w:t>
            </w:r>
            <w:r>
              <w:rPr>
                <w:rFonts w:eastAsia="微软雅黑"/>
                <w:color w:val="000000" w:themeColor="text1"/>
                <w:kern w:val="0"/>
                <w:vertAlign w:val="superscript"/>
                <w14:textFill>
                  <w14:solidFill>
                    <w14:schemeClr w14:val="tx1"/>
                  </w14:solidFill>
                </w14:textFill>
              </w:rPr>
              <w:t>abc</w:t>
            </w:r>
          </w:p>
        </w:tc>
      </w:tr>
      <w:tr w14:paraId="4D8A3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51" w:type="dxa"/>
            <w:tcBorders>
              <w:bottom w:val="single" w:color="auto" w:sz="8" w:space="0"/>
            </w:tcBorders>
            <w:vAlign w:val="center"/>
          </w:tcPr>
          <w:p w14:paraId="4E229E41">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2</w:t>
            </w:r>
            <w:r>
              <w:rPr>
                <w:rFonts w:hint="eastAsia" w:eastAsia="微软雅黑"/>
                <w:color w:val="000000" w:themeColor="text1"/>
                <w:kern w:val="0"/>
                <w:szCs w:val="21"/>
                <w14:textFill>
                  <w14:solidFill>
                    <w14:schemeClr w14:val="tx1"/>
                  </w14:solidFill>
                </w14:textFill>
              </w:rPr>
              <w:t xml:space="preserve"> </w:t>
            </w:r>
            <w:r>
              <w:rPr>
                <w:rFonts w:eastAsia="微软雅黑"/>
                <w:color w:val="000000" w:themeColor="text1"/>
                <w:kern w:val="0"/>
                <w:szCs w:val="21"/>
                <w14:textFill>
                  <w14:solidFill>
                    <w14:schemeClr w14:val="tx1"/>
                  </w14:solidFill>
                </w14:textFill>
              </w:rPr>
              <w:t xml:space="preserve">year </w:t>
            </w:r>
          </w:p>
          <w:p w14:paraId="211E0433">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20-40</w:t>
            </w:r>
          </w:p>
        </w:tc>
        <w:tc>
          <w:tcPr>
            <w:tcW w:w="850" w:type="dxa"/>
            <w:tcBorders>
              <w:bottom w:val="single" w:color="auto" w:sz="8" w:space="0"/>
            </w:tcBorders>
            <w:vAlign w:val="center"/>
          </w:tcPr>
          <w:p w14:paraId="1793E82E">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6.80 ± 0.00</w:t>
            </w:r>
            <w:r>
              <w:rPr>
                <w:rFonts w:eastAsia="微软雅黑"/>
                <w:color w:val="000000" w:themeColor="text1"/>
                <w:kern w:val="0"/>
                <w:vertAlign w:val="superscript"/>
                <w14:textFill>
                  <w14:solidFill>
                    <w14:schemeClr w14:val="tx1"/>
                  </w14:solidFill>
                </w14:textFill>
              </w:rPr>
              <w:t>b</w:t>
            </w:r>
          </w:p>
        </w:tc>
        <w:tc>
          <w:tcPr>
            <w:tcW w:w="1134" w:type="dxa"/>
            <w:tcBorders>
              <w:bottom w:val="single" w:color="auto" w:sz="8" w:space="0"/>
            </w:tcBorders>
            <w:vAlign w:val="center"/>
          </w:tcPr>
          <w:p w14:paraId="203EE369">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1.2</w:t>
            </w:r>
            <w:r>
              <w:rPr>
                <w:rFonts w:hint="eastAsia" w:eastAsia="微软雅黑"/>
                <w:color w:val="000000" w:themeColor="text1"/>
                <w:kern w:val="0"/>
                <w:szCs w:val="21"/>
                <w14:textFill>
                  <w14:solidFill>
                    <w14:schemeClr w14:val="tx1"/>
                  </w14:solidFill>
                </w14:textFill>
              </w:rPr>
              <w:t>8</w:t>
            </w:r>
            <w:r>
              <w:rPr>
                <w:rFonts w:eastAsia="微软雅黑"/>
                <w:color w:val="000000" w:themeColor="text1"/>
                <w:kern w:val="0"/>
                <w:szCs w:val="21"/>
                <w14:textFill>
                  <w14:solidFill>
                    <w14:schemeClr w14:val="tx1"/>
                  </w14:solidFill>
                </w14:textFill>
              </w:rPr>
              <w:t xml:space="preserve"> ± 0.00</w:t>
            </w:r>
            <w:r>
              <w:rPr>
                <w:rFonts w:eastAsia="微软雅黑"/>
                <w:color w:val="000000" w:themeColor="text1"/>
                <w:kern w:val="0"/>
                <w:vertAlign w:val="superscript"/>
                <w14:textFill>
                  <w14:solidFill>
                    <w14:schemeClr w14:val="tx1"/>
                  </w14:solidFill>
                </w14:textFill>
              </w:rPr>
              <w:t>d</w:t>
            </w:r>
          </w:p>
        </w:tc>
        <w:tc>
          <w:tcPr>
            <w:tcW w:w="851" w:type="dxa"/>
            <w:tcBorders>
              <w:bottom w:val="single" w:color="auto" w:sz="8" w:space="0"/>
            </w:tcBorders>
            <w:vAlign w:val="center"/>
          </w:tcPr>
          <w:p w14:paraId="27A6FD8D">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4.13 ± 0.12</w:t>
            </w:r>
            <w:r>
              <w:rPr>
                <w:rFonts w:eastAsia="微软雅黑"/>
                <w:color w:val="000000" w:themeColor="text1"/>
                <w:kern w:val="0"/>
                <w:vertAlign w:val="superscript"/>
                <w14:textFill>
                  <w14:solidFill>
                    <w14:schemeClr w14:val="tx1"/>
                  </w14:solidFill>
                </w14:textFill>
              </w:rPr>
              <w:t>d</w:t>
            </w:r>
          </w:p>
        </w:tc>
        <w:tc>
          <w:tcPr>
            <w:tcW w:w="992" w:type="dxa"/>
            <w:tcBorders>
              <w:bottom w:val="single" w:color="auto" w:sz="8" w:space="0"/>
            </w:tcBorders>
            <w:vAlign w:val="center"/>
          </w:tcPr>
          <w:p w14:paraId="4C59CBDC">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0.65 ± 0.032</w:t>
            </w:r>
            <w:r>
              <w:rPr>
                <w:rFonts w:eastAsia="微软雅黑"/>
                <w:color w:val="000000" w:themeColor="text1"/>
                <w:kern w:val="0"/>
                <w:vertAlign w:val="superscript"/>
                <w14:textFill>
                  <w14:solidFill>
                    <w14:schemeClr w14:val="tx1"/>
                  </w14:solidFill>
                </w14:textFill>
              </w:rPr>
              <w:t>e</w:t>
            </w:r>
          </w:p>
        </w:tc>
        <w:tc>
          <w:tcPr>
            <w:tcW w:w="1134" w:type="dxa"/>
            <w:tcBorders>
              <w:bottom w:val="single" w:color="auto" w:sz="8" w:space="0"/>
            </w:tcBorders>
            <w:vAlign w:val="center"/>
          </w:tcPr>
          <w:p w14:paraId="2BEE9542">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43.73 ± 1.14</w:t>
            </w:r>
            <w:r>
              <w:rPr>
                <w:rFonts w:eastAsia="微软雅黑"/>
                <w:color w:val="000000" w:themeColor="text1"/>
                <w:kern w:val="0"/>
                <w:vertAlign w:val="superscript"/>
                <w14:textFill>
                  <w14:solidFill>
                    <w14:schemeClr w14:val="tx1"/>
                  </w14:solidFill>
                </w14:textFill>
              </w:rPr>
              <w:t>ab</w:t>
            </w:r>
          </w:p>
        </w:tc>
        <w:tc>
          <w:tcPr>
            <w:tcW w:w="1276" w:type="dxa"/>
            <w:tcBorders>
              <w:bottom w:val="single" w:color="auto" w:sz="8" w:space="0"/>
            </w:tcBorders>
            <w:vAlign w:val="center"/>
          </w:tcPr>
          <w:p w14:paraId="7AE0D2C0">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6.77 ± 0.96</w:t>
            </w:r>
            <w:r>
              <w:rPr>
                <w:rFonts w:eastAsia="微软雅黑"/>
                <w:color w:val="000000" w:themeColor="text1"/>
                <w:kern w:val="0"/>
                <w:vertAlign w:val="superscript"/>
                <w14:textFill>
                  <w14:solidFill>
                    <w14:schemeClr w14:val="tx1"/>
                  </w14:solidFill>
                </w14:textFill>
              </w:rPr>
              <w:t>bcd</w:t>
            </w:r>
          </w:p>
        </w:tc>
        <w:tc>
          <w:tcPr>
            <w:tcW w:w="1405" w:type="dxa"/>
            <w:tcBorders>
              <w:bottom w:val="single" w:color="auto" w:sz="8" w:space="0"/>
            </w:tcBorders>
            <w:vAlign w:val="center"/>
          </w:tcPr>
          <w:p w14:paraId="37AA3040">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 xml:space="preserve">36.97 ± </w:t>
            </w:r>
          </w:p>
          <w:p w14:paraId="1E01FE6C">
            <w:pPr>
              <w:widowControl/>
              <w:spacing w:line="360" w:lineRule="auto"/>
              <w:jc w:val="center"/>
              <w:rPr>
                <w:rFonts w:eastAsia="微软雅黑"/>
                <w:color w:val="000000" w:themeColor="text1"/>
                <w:kern w:val="0"/>
                <w:szCs w:val="21"/>
                <w14:textFill>
                  <w14:solidFill>
                    <w14:schemeClr w14:val="tx1"/>
                  </w14:solidFill>
                </w14:textFill>
              </w:rPr>
            </w:pPr>
            <w:r>
              <w:rPr>
                <w:rFonts w:eastAsia="微软雅黑"/>
                <w:color w:val="000000" w:themeColor="text1"/>
                <w:kern w:val="0"/>
                <w:szCs w:val="21"/>
                <w14:textFill>
                  <w14:solidFill>
                    <w14:schemeClr w14:val="tx1"/>
                  </w14:solidFill>
                </w14:textFill>
              </w:rPr>
              <w:t>0.32</w:t>
            </w:r>
            <w:r>
              <w:rPr>
                <w:rFonts w:eastAsia="微软雅黑"/>
                <w:color w:val="000000" w:themeColor="text1"/>
                <w:kern w:val="0"/>
                <w:vertAlign w:val="superscript"/>
                <w14:textFill>
                  <w14:solidFill>
                    <w14:schemeClr w14:val="tx1"/>
                  </w14:solidFill>
                </w14:textFill>
              </w:rPr>
              <w:t>a</w:t>
            </w:r>
          </w:p>
        </w:tc>
      </w:tr>
    </w:tbl>
    <w:p w14:paraId="6240AD6D">
      <w:pPr>
        <w:pStyle w:val="3"/>
        <w:widowControl/>
        <w:spacing w:beforeAutospacing="0" w:afterAutospacing="0" w:line="360" w:lineRule="auto"/>
        <w:rPr>
          <w:sz w:val="22"/>
          <w:szCs w:val="22"/>
        </w:rPr>
      </w:pPr>
    </w:p>
    <w:p w14:paraId="4115C3A7">
      <w:pPr>
        <w:pStyle w:val="3"/>
        <w:widowControl/>
        <w:spacing w:beforeAutospacing="0" w:afterAutospacing="0" w:line="360" w:lineRule="auto"/>
        <w:ind w:firstLine="221" w:firstLineChars="100"/>
        <w:rPr>
          <w:sz w:val="22"/>
          <w:szCs w:val="22"/>
        </w:rPr>
      </w:pPr>
    </w:p>
    <w:p w14:paraId="3F8BC3C3">
      <w:pPr>
        <w:pStyle w:val="3"/>
        <w:widowControl/>
        <w:spacing w:beforeAutospacing="0" w:afterAutospacing="0" w:line="360" w:lineRule="auto"/>
        <w:ind w:firstLine="221" w:firstLineChars="100"/>
        <w:rPr>
          <w:sz w:val="22"/>
          <w:szCs w:val="22"/>
        </w:rPr>
      </w:pPr>
    </w:p>
    <w:p w14:paraId="463F275E">
      <w:pPr>
        <w:pStyle w:val="3"/>
        <w:widowControl/>
        <w:spacing w:beforeAutospacing="0" w:afterAutospacing="0" w:line="360" w:lineRule="auto"/>
        <w:ind w:firstLine="221" w:firstLineChars="100"/>
        <w:rPr>
          <w:sz w:val="22"/>
          <w:szCs w:val="22"/>
        </w:rPr>
      </w:pPr>
    </w:p>
    <w:p w14:paraId="569F0D82">
      <w:pPr>
        <w:pStyle w:val="3"/>
        <w:widowControl/>
        <w:spacing w:beforeAutospacing="0" w:afterAutospacing="0" w:line="360" w:lineRule="auto"/>
        <w:ind w:firstLine="221" w:firstLineChars="100"/>
        <w:rPr>
          <w:sz w:val="22"/>
          <w:szCs w:val="22"/>
        </w:rPr>
      </w:pPr>
    </w:p>
    <w:p w14:paraId="66EBDC91">
      <w:pPr>
        <w:pStyle w:val="3"/>
        <w:widowControl/>
        <w:spacing w:beforeAutospacing="0" w:afterAutospacing="0" w:line="360" w:lineRule="auto"/>
        <w:ind w:firstLine="241" w:firstLineChars="100"/>
        <w:rPr>
          <w:sz w:val="22"/>
          <w:szCs w:val="22"/>
        </w:rPr>
      </w:pPr>
      <w:r>
        <w:drawing>
          <wp:anchor distT="0" distB="0" distL="114300" distR="114300" simplePos="0" relativeHeight="251659264" behindDoc="0" locked="0" layoutInCell="1" allowOverlap="1">
            <wp:simplePos x="0" y="0"/>
            <wp:positionH relativeFrom="margin">
              <wp:posOffset>133350</wp:posOffset>
            </wp:positionH>
            <wp:positionV relativeFrom="paragraph">
              <wp:posOffset>354965</wp:posOffset>
            </wp:positionV>
            <wp:extent cx="4914265" cy="6822440"/>
            <wp:effectExtent l="0" t="0" r="0" b="0"/>
            <wp:wrapNone/>
            <wp:docPr id="1506140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4093"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914316" cy="6822219"/>
                    </a:xfrm>
                    <a:prstGeom prst="rect">
                      <a:avLst/>
                    </a:prstGeom>
                    <a:noFill/>
                    <a:ln>
                      <a:noFill/>
                    </a:ln>
                  </pic:spPr>
                </pic:pic>
              </a:graphicData>
            </a:graphic>
          </wp:anchor>
        </w:drawing>
      </w:r>
    </w:p>
    <w:p w14:paraId="31042E6E">
      <w:pPr>
        <w:pStyle w:val="3"/>
        <w:widowControl/>
        <w:spacing w:beforeAutospacing="0" w:afterAutospacing="0" w:line="360" w:lineRule="auto"/>
        <w:ind w:firstLine="221" w:firstLineChars="100"/>
        <w:rPr>
          <w:sz w:val="22"/>
          <w:szCs w:val="22"/>
        </w:rPr>
      </w:pPr>
    </w:p>
    <w:p w14:paraId="34508D68">
      <w:pPr>
        <w:pStyle w:val="3"/>
        <w:widowControl/>
        <w:spacing w:beforeAutospacing="0" w:afterAutospacing="0" w:line="360" w:lineRule="auto"/>
        <w:ind w:firstLine="221" w:firstLineChars="100"/>
        <w:rPr>
          <w:sz w:val="22"/>
          <w:szCs w:val="22"/>
        </w:rPr>
      </w:pPr>
    </w:p>
    <w:p w14:paraId="6794A82C">
      <w:pPr>
        <w:pStyle w:val="3"/>
        <w:widowControl/>
        <w:spacing w:beforeAutospacing="0" w:afterAutospacing="0" w:line="360" w:lineRule="auto"/>
        <w:ind w:firstLine="221" w:firstLineChars="100"/>
        <w:rPr>
          <w:sz w:val="22"/>
          <w:szCs w:val="22"/>
        </w:rPr>
      </w:pPr>
    </w:p>
    <w:p w14:paraId="457533BB">
      <w:pPr>
        <w:pStyle w:val="3"/>
        <w:widowControl/>
        <w:spacing w:beforeAutospacing="0" w:afterAutospacing="0" w:line="360" w:lineRule="auto"/>
        <w:ind w:firstLine="221" w:firstLineChars="100"/>
        <w:rPr>
          <w:sz w:val="22"/>
          <w:szCs w:val="22"/>
        </w:rPr>
      </w:pPr>
    </w:p>
    <w:p w14:paraId="2445A893">
      <w:pPr>
        <w:pStyle w:val="3"/>
        <w:widowControl/>
        <w:spacing w:beforeAutospacing="0" w:afterAutospacing="0" w:line="360" w:lineRule="auto"/>
        <w:ind w:firstLine="221" w:firstLineChars="100"/>
        <w:rPr>
          <w:sz w:val="22"/>
          <w:szCs w:val="22"/>
        </w:rPr>
      </w:pPr>
    </w:p>
    <w:p w14:paraId="5E6BC00C">
      <w:pPr>
        <w:pStyle w:val="3"/>
        <w:widowControl/>
        <w:spacing w:beforeAutospacing="0" w:afterAutospacing="0" w:line="360" w:lineRule="auto"/>
        <w:ind w:firstLine="221" w:firstLineChars="100"/>
        <w:rPr>
          <w:sz w:val="22"/>
          <w:szCs w:val="22"/>
        </w:rPr>
      </w:pPr>
    </w:p>
    <w:p w14:paraId="0C83F745">
      <w:pPr>
        <w:pStyle w:val="3"/>
        <w:widowControl/>
        <w:spacing w:beforeAutospacing="0" w:afterAutospacing="0" w:line="360" w:lineRule="auto"/>
        <w:ind w:firstLine="221" w:firstLineChars="100"/>
        <w:rPr>
          <w:sz w:val="22"/>
          <w:szCs w:val="22"/>
        </w:rPr>
      </w:pPr>
    </w:p>
    <w:p w14:paraId="695E66DF">
      <w:pPr>
        <w:pStyle w:val="3"/>
        <w:widowControl/>
        <w:spacing w:beforeAutospacing="0" w:afterAutospacing="0" w:line="360" w:lineRule="auto"/>
        <w:ind w:firstLine="221" w:firstLineChars="100"/>
        <w:rPr>
          <w:sz w:val="22"/>
          <w:szCs w:val="22"/>
        </w:rPr>
      </w:pPr>
    </w:p>
    <w:p w14:paraId="621B28DD">
      <w:pPr>
        <w:pStyle w:val="3"/>
        <w:widowControl/>
        <w:spacing w:beforeAutospacing="0" w:afterAutospacing="0" w:line="360" w:lineRule="auto"/>
        <w:ind w:firstLine="221" w:firstLineChars="100"/>
        <w:rPr>
          <w:sz w:val="22"/>
          <w:szCs w:val="22"/>
        </w:rPr>
      </w:pPr>
    </w:p>
    <w:p w14:paraId="39D0D8E7">
      <w:pPr>
        <w:pStyle w:val="3"/>
        <w:widowControl/>
        <w:spacing w:beforeAutospacing="0" w:afterAutospacing="0" w:line="360" w:lineRule="auto"/>
        <w:ind w:firstLine="221" w:firstLineChars="100"/>
        <w:rPr>
          <w:sz w:val="22"/>
          <w:szCs w:val="22"/>
        </w:rPr>
      </w:pPr>
    </w:p>
    <w:p w14:paraId="3FB2631F">
      <w:pPr>
        <w:pStyle w:val="3"/>
        <w:widowControl/>
        <w:spacing w:beforeAutospacing="0" w:afterAutospacing="0" w:line="360" w:lineRule="auto"/>
        <w:ind w:firstLine="221" w:firstLineChars="100"/>
        <w:rPr>
          <w:sz w:val="22"/>
          <w:szCs w:val="22"/>
        </w:rPr>
      </w:pPr>
    </w:p>
    <w:p w14:paraId="199DF574">
      <w:pPr>
        <w:pStyle w:val="3"/>
        <w:widowControl/>
        <w:spacing w:beforeAutospacing="0" w:afterAutospacing="0" w:line="360" w:lineRule="auto"/>
        <w:ind w:firstLine="221" w:firstLineChars="100"/>
        <w:rPr>
          <w:sz w:val="22"/>
          <w:szCs w:val="22"/>
        </w:rPr>
      </w:pPr>
    </w:p>
    <w:p w14:paraId="7130876A">
      <w:pPr>
        <w:pStyle w:val="3"/>
        <w:widowControl/>
        <w:spacing w:beforeAutospacing="0" w:afterAutospacing="0" w:line="360" w:lineRule="auto"/>
        <w:ind w:firstLine="221" w:firstLineChars="100"/>
        <w:rPr>
          <w:sz w:val="22"/>
          <w:szCs w:val="22"/>
        </w:rPr>
      </w:pPr>
    </w:p>
    <w:p w14:paraId="27900C8B">
      <w:pPr>
        <w:pStyle w:val="3"/>
        <w:widowControl/>
        <w:spacing w:beforeAutospacing="0" w:afterAutospacing="0" w:line="360" w:lineRule="auto"/>
        <w:ind w:firstLine="221" w:firstLineChars="100"/>
        <w:rPr>
          <w:sz w:val="22"/>
          <w:szCs w:val="22"/>
        </w:rPr>
      </w:pPr>
    </w:p>
    <w:p w14:paraId="4E4B4E86">
      <w:pPr>
        <w:pStyle w:val="3"/>
        <w:widowControl/>
        <w:spacing w:beforeAutospacing="0" w:afterAutospacing="0" w:line="360" w:lineRule="auto"/>
        <w:ind w:firstLine="221" w:firstLineChars="100"/>
        <w:rPr>
          <w:sz w:val="22"/>
          <w:szCs w:val="22"/>
        </w:rPr>
      </w:pPr>
    </w:p>
    <w:p w14:paraId="1E29E818">
      <w:pPr>
        <w:pStyle w:val="3"/>
        <w:widowControl/>
        <w:spacing w:beforeAutospacing="0" w:afterAutospacing="0" w:line="360" w:lineRule="auto"/>
        <w:ind w:firstLine="221" w:firstLineChars="100"/>
        <w:rPr>
          <w:sz w:val="22"/>
          <w:szCs w:val="22"/>
        </w:rPr>
      </w:pPr>
    </w:p>
    <w:p w14:paraId="312CEB21"/>
    <w:p w14:paraId="13124CDB">
      <w:pPr>
        <w:pStyle w:val="3"/>
        <w:widowControl/>
        <w:spacing w:beforeAutospacing="0" w:afterAutospacing="0" w:line="360" w:lineRule="auto"/>
        <w:ind w:firstLine="221" w:firstLineChars="100"/>
        <w:rPr>
          <w:sz w:val="22"/>
          <w:szCs w:val="22"/>
        </w:rPr>
      </w:pPr>
    </w:p>
    <w:p w14:paraId="746E460C">
      <w:pPr>
        <w:jc w:val="center"/>
        <w:rPr>
          <w:b/>
          <w:bCs/>
        </w:rPr>
      </w:pPr>
      <w:r>
        <w:rPr>
          <w:rFonts w:hint="eastAsia"/>
          <w:b/>
          <w:bCs/>
        </w:rPr>
        <w:t>图1 马尾松林下栽培茯苓对土壤养分的影响</w:t>
      </w:r>
    </w:p>
    <w:p w14:paraId="142EEF85">
      <w:pPr>
        <w:pStyle w:val="3"/>
        <w:widowControl/>
        <w:spacing w:beforeAutospacing="0" w:afterAutospacing="0" w:line="360" w:lineRule="auto"/>
        <w:ind w:firstLine="221" w:firstLineChars="100"/>
        <w:rPr>
          <w:b/>
          <w:bCs/>
          <w:sz w:val="22"/>
          <w:szCs w:val="22"/>
        </w:rPr>
      </w:pPr>
    </w:p>
    <w:p w14:paraId="120F3F76">
      <w:pPr>
        <w:pStyle w:val="3"/>
        <w:widowControl/>
        <w:spacing w:beforeAutospacing="0" w:afterAutospacing="0" w:line="360" w:lineRule="auto"/>
        <w:ind w:firstLine="221" w:firstLineChars="100"/>
        <w:rPr>
          <w:sz w:val="22"/>
          <w:szCs w:val="22"/>
        </w:rPr>
      </w:pPr>
      <w:r>
        <w:rPr>
          <w:sz w:val="22"/>
          <w:szCs w:val="22"/>
        </w:rPr>
        <w:t>（2）备料与备场</w:t>
      </w:r>
    </w:p>
    <w:p w14:paraId="65926187">
      <w:pPr>
        <w:widowControl/>
        <w:tabs>
          <w:tab w:val="center" w:pos="4201"/>
          <w:tab w:val="right" w:leader="dot" w:pos="9298"/>
        </w:tabs>
        <w:autoSpaceDE w:val="0"/>
        <w:autoSpaceDN w:val="0"/>
        <w:spacing w:line="360" w:lineRule="auto"/>
        <w:ind w:firstLine="422" w:firstLineChars="200"/>
        <w:outlineLvl w:val="1"/>
        <w:rPr>
          <w:rFonts w:hint="eastAsia" w:ascii="宋体"/>
          <w:kern w:val="0"/>
          <w:szCs w:val="24"/>
        </w:rPr>
      </w:pPr>
      <w:r>
        <w:rPr>
          <w:rFonts w:hint="eastAsia" w:ascii="宋体"/>
          <w:b/>
          <w:bCs/>
          <w:kern w:val="0"/>
          <w:szCs w:val="24"/>
        </w:rPr>
        <w:t>树蔸筛选与处理：</w:t>
      </w:r>
      <w:r>
        <w:rPr>
          <w:rFonts w:hint="eastAsia" w:ascii="宋体"/>
          <w:kern w:val="0"/>
          <w:szCs w:val="24"/>
        </w:rPr>
        <w:t>选择林地阳坡，1a-2a年砍伐、直径≥10cm、未腐朽的树兜。</w:t>
      </w:r>
      <w:r>
        <w:rPr>
          <w:rFonts w:hint="eastAsia" w:ascii="宋体"/>
          <w:kern w:val="0"/>
          <w:szCs w:val="21"/>
        </w:rPr>
        <w:t>清除树蔸周边杂草、灌木和石块，接种前1-3个月，</w:t>
      </w:r>
      <w:r>
        <w:rPr>
          <w:rFonts w:hint="eastAsia" w:ascii="宋体"/>
          <w:kern w:val="0"/>
          <w:szCs w:val="24"/>
        </w:rPr>
        <w:t>对树蔸地上部分和地下部分粗跟削皮留筋进行晾晒。</w:t>
      </w:r>
    </w:p>
    <w:p w14:paraId="5933A0F0">
      <w:pPr>
        <w:widowControl/>
        <w:tabs>
          <w:tab w:val="center" w:pos="4201"/>
          <w:tab w:val="right" w:leader="dot" w:pos="9298"/>
        </w:tabs>
        <w:autoSpaceDE w:val="0"/>
        <w:autoSpaceDN w:val="0"/>
        <w:spacing w:line="360" w:lineRule="auto"/>
        <w:ind w:firstLine="422" w:firstLineChars="200"/>
        <w:jc w:val="center"/>
        <w:outlineLvl w:val="1"/>
        <w:rPr>
          <w:rFonts w:hint="default" w:ascii="宋体" w:eastAsia="宋体"/>
          <w:b/>
          <w:bCs/>
          <w:kern w:val="0"/>
          <w:szCs w:val="24"/>
          <w:lang w:val="en-US" w:eastAsia="zh-CN"/>
        </w:rPr>
      </w:pPr>
      <w:r>
        <w:rPr>
          <w:rFonts w:hint="eastAsia" w:ascii="宋体"/>
          <w:b/>
          <w:bCs/>
          <w:kern w:val="0"/>
          <w:szCs w:val="24"/>
          <w:lang w:val="en-US" w:eastAsia="zh-CN"/>
        </w:rPr>
        <w:t>表3 马尾松林下栽培茯苓备料与备场要求与方法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2AF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2"/>
            <w:vAlign w:val="center"/>
          </w:tcPr>
          <w:p w14:paraId="6B500A14">
            <w:pPr>
              <w:jc w:val="center"/>
              <w:rPr>
                <w:rFonts w:hint="eastAsia" w:ascii="宋体" w:hAnsi="宋体" w:eastAsia="宋体"/>
              </w:rPr>
            </w:pPr>
            <w:r>
              <w:rPr>
                <w:rFonts w:hint="eastAsia" w:ascii="宋体" w:hAnsi="宋体" w:eastAsia="宋体"/>
              </w:rPr>
              <w:t>项目</w:t>
            </w:r>
          </w:p>
        </w:tc>
        <w:tc>
          <w:tcPr>
            <w:tcW w:w="2131" w:type="dxa"/>
            <w:vAlign w:val="center"/>
          </w:tcPr>
          <w:p w14:paraId="2E62EBAD">
            <w:pPr>
              <w:jc w:val="center"/>
              <w:rPr>
                <w:rFonts w:hint="eastAsia" w:ascii="宋体" w:hAnsi="宋体" w:eastAsia="宋体"/>
              </w:rPr>
            </w:pPr>
            <w:r>
              <w:rPr>
                <w:rFonts w:hint="eastAsia" w:ascii="宋体" w:hAnsi="宋体" w:eastAsia="宋体"/>
              </w:rPr>
              <w:t>要求</w:t>
            </w:r>
          </w:p>
        </w:tc>
        <w:tc>
          <w:tcPr>
            <w:tcW w:w="2131" w:type="dxa"/>
            <w:vAlign w:val="center"/>
          </w:tcPr>
          <w:p w14:paraId="61914E9A">
            <w:pPr>
              <w:jc w:val="center"/>
              <w:rPr>
                <w:rFonts w:hint="eastAsia" w:ascii="宋体" w:hAnsi="宋体" w:eastAsia="宋体"/>
              </w:rPr>
            </w:pPr>
            <w:r>
              <w:rPr>
                <w:rFonts w:hint="eastAsia" w:ascii="宋体" w:hAnsi="宋体" w:eastAsia="宋体"/>
              </w:rPr>
              <w:t>实验方法</w:t>
            </w:r>
          </w:p>
        </w:tc>
      </w:tr>
      <w:tr w14:paraId="5BA6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2"/>
            <w:vAlign w:val="center"/>
          </w:tcPr>
          <w:p w14:paraId="6AAF8F0E">
            <w:pPr>
              <w:jc w:val="both"/>
              <w:rPr>
                <w:rFonts w:hint="eastAsia" w:ascii="宋体" w:hAnsi="宋体" w:eastAsia="宋体"/>
              </w:rPr>
            </w:pPr>
            <w:r>
              <w:rPr>
                <w:rFonts w:hint="eastAsia" w:ascii="宋体" w:hAnsi="宋体" w:eastAsia="宋体"/>
              </w:rPr>
              <w:t>树种选择</w:t>
            </w:r>
          </w:p>
        </w:tc>
        <w:tc>
          <w:tcPr>
            <w:tcW w:w="2131" w:type="dxa"/>
            <w:vAlign w:val="center"/>
          </w:tcPr>
          <w:p w14:paraId="0D48B57A">
            <w:pPr>
              <w:jc w:val="both"/>
              <w:rPr>
                <w:rFonts w:hint="eastAsia" w:ascii="宋体" w:hAnsi="宋体" w:eastAsia="宋体"/>
              </w:rPr>
            </w:pPr>
            <w:r>
              <w:rPr>
                <w:rFonts w:hint="eastAsia" w:ascii="宋体" w:hAnsi="宋体" w:eastAsia="宋体"/>
              </w:rPr>
              <w:t>健康或者感染松材线虫的马尾松树蔸</w:t>
            </w:r>
          </w:p>
        </w:tc>
        <w:tc>
          <w:tcPr>
            <w:tcW w:w="2131" w:type="dxa"/>
            <w:vMerge w:val="restart"/>
            <w:vAlign w:val="center"/>
          </w:tcPr>
          <w:p w14:paraId="4F0EFC8D">
            <w:pPr>
              <w:jc w:val="both"/>
              <w:rPr>
                <w:rFonts w:hint="eastAsia" w:ascii="宋体" w:hAnsi="宋体" w:eastAsia="宋体"/>
              </w:rPr>
            </w:pPr>
            <w:r>
              <w:rPr>
                <w:rFonts w:ascii="宋体" w:hAnsi="宋体" w:eastAsia="宋体"/>
              </w:rPr>
              <w:t>目视检</w:t>
            </w:r>
            <w:r>
              <w:rPr>
                <w:rFonts w:hint="eastAsia" w:ascii="宋体" w:hAnsi="宋体" w:eastAsia="宋体"/>
              </w:rPr>
              <w:t>查</w:t>
            </w:r>
          </w:p>
        </w:tc>
      </w:tr>
      <w:tr w14:paraId="4429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2B4596FF">
            <w:pPr>
              <w:jc w:val="both"/>
              <w:rPr>
                <w:rFonts w:hint="eastAsia" w:ascii="宋体" w:hAnsi="宋体" w:eastAsia="宋体"/>
              </w:rPr>
            </w:pPr>
            <w:r>
              <w:rPr>
                <w:rFonts w:hint="eastAsia" w:ascii="宋体" w:hAnsi="宋体" w:eastAsia="宋体"/>
              </w:rPr>
              <w:t>树蔸筛选</w:t>
            </w:r>
          </w:p>
        </w:tc>
        <w:tc>
          <w:tcPr>
            <w:tcW w:w="2130" w:type="dxa"/>
            <w:vAlign w:val="center"/>
          </w:tcPr>
          <w:p w14:paraId="68C29881">
            <w:pPr>
              <w:jc w:val="both"/>
              <w:rPr>
                <w:rFonts w:hint="eastAsia" w:ascii="宋体" w:hAnsi="宋体" w:eastAsia="宋体"/>
              </w:rPr>
            </w:pPr>
            <w:r>
              <w:rPr>
                <w:rFonts w:hint="eastAsia" w:ascii="宋体" w:hAnsi="宋体" w:eastAsia="宋体"/>
              </w:rPr>
              <w:t>砍伐时间</w:t>
            </w:r>
          </w:p>
        </w:tc>
        <w:tc>
          <w:tcPr>
            <w:tcW w:w="2131" w:type="dxa"/>
            <w:vAlign w:val="center"/>
          </w:tcPr>
          <w:p w14:paraId="6F4CAF99">
            <w:pPr>
              <w:jc w:val="both"/>
              <w:rPr>
                <w:rFonts w:hint="eastAsia" w:ascii="宋体" w:hAnsi="宋体" w:eastAsia="宋体"/>
              </w:rPr>
            </w:pPr>
            <w:r>
              <w:rPr>
                <w:rFonts w:hint="eastAsia" w:ascii="宋体" w:hAnsi="宋体" w:eastAsia="宋体"/>
              </w:rPr>
              <w:t>1到2年内砍伐遗留</w:t>
            </w:r>
          </w:p>
        </w:tc>
        <w:tc>
          <w:tcPr>
            <w:tcW w:w="2131" w:type="dxa"/>
            <w:vMerge w:val="continue"/>
            <w:vAlign w:val="center"/>
          </w:tcPr>
          <w:p w14:paraId="1DE3DD81">
            <w:pPr>
              <w:jc w:val="both"/>
              <w:rPr>
                <w:rFonts w:hint="eastAsia" w:ascii="宋体" w:hAnsi="宋体" w:eastAsia="宋体"/>
              </w:rPr>
            </w:pPr>
          </w:p>
        </w:tc>
      </w:tr>
      <w:tr w14:paraId="2CEF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1E093478">
            <w:pPr>
              <w:jc w:val="both"/>
              <w:rPr>
                <w:rFonts w:hint="eastAsia" w:ascii="宋体" w:hAnsi="宋体" w:eastAsia="宋体"/>
              </w:rPr>
            </w:pPr>
          </w:p>
        </w:tc>
        <w:tc>
          <w:tcPr>
            <w:tcW w:w="2130" w:type="dxa"/>
            <w:vAlign w:val="center"/>
          </w:tcPr>
          <w:p w14:paraId="0A61FB5D">
            <w:pPr>
              <w:jc w:val="both"/>
              <w:rPr>
                <w:rFonts w:hint="eastAsia" w:ascii="宋体" w:hAnsi="宋体" w:eastAsia="宋体"/>
              </w:rPr>
            </w:pPr>
            <w:r>
              <w:rPr>
                <w:rFonts w:hint="eastAsia" w:ascii="宋体" w:hAnsi="宋体" w:eastAsia="宋体"/>
              </w:rPr>
              <w:t>位点</w:t>
            </w:r>
          </w:p>
        </w:tc>
        <w:tc>
          <w:tcPr>
            <w:tcW w:w="2131" w:type="dxa"/>
            <w:vAlign w:val="center"/>
          </w:tcPr>
          <w:p w14:paraId="3C28C6FF">
            <w:pPr>
              <w:jc w:val="both"/>
              <w:rPr>
                <w:rFonts w:hint="eastAsia" w:ascii="宋体" w:hAnsi="宋体" w:eastAsia="宋体"/>
              </w:rPr>
            </w:pPr>
            <w:r>
              <w:rPr>
                <w:rFonts w:hint="eastAsia" w:ascii="宋体" w:hAnsi="宋体" w:eastAsia="宋体"/>
              </w:rPr>
              <w:t>林地阳坡</w:t>
            </w:r>
          </w:p>
        </w:tc>
        <w:tc>
          <w:tcPr>
            <w:tcW w:w="2131" w:type="dxa"/>
            <w:vMerge w:val="continue"/>
            <w:vAlign w:val="center"/>
          </w:tcPr>
          <w:p w14:paraId="64DCF416">
            <w:pPr>
              <w:jc w:val="both"/>
              <w:rPr>
                <w:rFonts w:hint="eastAsia" w:ascii="宋体" w:hAnsi="宋体" w:eastAsia="宋体"/>
              </w:rPr>
            </w:pPr>
          </w:p>
        </w:tc>
      </w:tr>
      <w:tr w14:paraId="5F94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339B5181">
            <w:pPr>
              <w:jc w:val="both"/>
              <w:rPr>
                <w:rFonts w:hint="eastAsia" w:ascii="宋体" w:hAnsi="宋体" w:eastAsia="宋体"/>
              </w:rPr>
            </w:pPr>
          </w:p>
        </w:tc>
        <w:tc>
          <w:tcPr>
            <w:tcW w:w="2130" w:type="dxa"/>
            <w:vAlign w:val="center"/>
          </w:tcPr>
          <w:p w14:paraId="41D2E33B">
            <w:pPr>
              <w:jc w:val="both"/>
              <w:rPr>
                <w:rFonts w:hint="eastAsia" w:ascii="宋体" w:hAnsi="宋体" w:eastAsia="宋体"/>
              </w:rPr>
            </w:pPr>
            <w:r>
              <w:rPr>
                <w:rFonts w:hint="eastAsia" w:ascii="宋体" w:hAnsi="宋体" w:eastAsia="宋体"/>
              </w:rPr>
              <w:t>状况</w:t>
            </w:r>
          </w:p>
        </w:tc>
        <w:tc>
          <w:tcPr>
            <w:tcW w:w="2131" w:type="dxa"/>
            <w:vAlign w:val="center"/>
          </w:tcPr>
          <w:p w14:paraId="1EF7E728">
            <w:pPr>
              <w:jc w:val="both"/>
              <w:rPr>
                <w:rFonts w:hint="eastAsia" w:ascii="宋体" w:hAnsi="宋体" w:eastAsia="宋体"/>
              </w:rPr>
            </w:pPr>
            <w:r>
              <w:rPr>
                <w:rFonts w:hint="eastAsia" w:ascii="宋体" w:hAnsi="宋体" w:eastAsia="宋体"/>
              </w:rPr>
              <w:t>无腐败、细菌、白蚁等污染，无松节油产生</w:t>
            </w:r>
          </w:p>
        </w:tc>
        <w:tc>
          <w:tcPr>
            <w:tcW w:w="2131" w:type="dxa"/>
            <w:vMerge w:val="continue"/>
            <w:vAlign w:val="center"/>
          </w:tcPr>
          <w:p w14:paraId="6F32A843">
            <w:pPr>
              <w:jc w:val="both"/>
              <w:rPr>
                <w:rFonts w:hint="eastAsia" w:ascii="宋体" w:hAnsi="宋体" w:eastAsia="宋体"/>
              </w:rPr>
            </w:pPr>
          </w:p>
        </w:tc>
      </w:tr>
      <w:tr w14:paraId="20C0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vMerge w:val="continue"/>
            <w:vAlign w:val="center"/>
          </w:tcPr>
          <w:p w14:paraId="0FAE1245">
            <w:pPr>
              <w:jc w:val="both"/>
              <w:rPr>
                <w:rFonts w:hint="eastAsia" w:ascii="宋体" w:hAnsi="宋体" w:eastAsia="宋体"/>
              </w:rPr>
            </w:pPr>
          </w:p>
        </w:tc>
        <w:tc>
          <w:tcPr>
            <w:tcW w:w="2130" w:type="dxa"/>
            <w:vAlign w:val="center"/>
          </w:tcPr>
          <w:p w14:paraId="24F0D264">
            <w:pPr>
              <w:jc w:val="both"/>
              <w:rPr>
                <w:rFonts w:hint="eastAsia" w:ascii="宋体" w:hAnsi="宋体" w:eastAsia="宋体"/>
              </w:rPr>
            </w:pPr>
            <w:r>
              <w:rPr>
                <w:rFonts w:hint="eastAsia" w:ascii="宋体" w:hAnsi="宋体" w:eastAsia="宋体"/>
              </w:rPr>
              <w:t>尺寸</w:t>
            </w:r>
          </w:p>
        </w:tc>
        <w:tc>
          <w:tcPr>
            <w:tcW w:w="2131" w:type="dxa"/>
            <w:vAlign w:val="center"/>
          </w:tcPr>
          <w:p w14:paraId="4D6D4E2F">
            <w:pPr>
              <w:jc w:val="both"/>
              <w:rPr>
                <w:rFonts w:hint="eastAsia" w:ascii="宋体" w:hAnsi="宋体" w:eastAsia="宋体"/>
              </w:rPr>
            </w:pPr>
            <w:r>
              <w:rPr>
                <w:rFonts w:hint="eastAsia" w:ascii="宋体" w:hAnsi="宋体" w:eastAsia="宋体"/>
              </w:rPr>
              <w:t>树蔸直径≥10cm最佳</w:t>
            </w:r>
          </w:p>
        </w:tc>
        <w:tc>
          <w:tcPr>
            <w:tcW w:w="2131" w:type="dxa"/>
            <w:vAlign w:val="center"/>
          </w:tcPr>
          <w:p w14:paraId="51A26738">
            <w:pPr>
              <w:jc w:val="both"/>
              <w:rPr>
                <w:rFonts w:hint="eastAsia" w:ascii="宋体" w:hAnsi="宋体" w:eastAsia="宋体"/>
              </w:rPr>
            </w:pPr>
            <w:r>
              <w:rPr>
                <w:rFonts w:hint="eastAsia" w:ascii="宋体" w:hAnsi="宋体" w:eastAsia="宋体"/>
              </w:rPr>
              <w:t>直尺测量</w:t>
            </w:r>
          </w:p>
        </w:tc>
      </w:tr>
    </w:tbl>
    <w:p w14:paraId="551C61A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before="157" w:beforeLines="50" w:line="360" w:lineRule="auto"/>
        <w:ind w:firstLine="422" w:firstLineChars="200"/>
        <w:textAlignment w:val="auto"/>
        <w:outlineLvl w:val="1"/>
        <w:rPr>
          <w:rFonts w:hint="eastAsia" w:ascii="宋体"/>
          <w:kern w:val="0"/>
          <w:szCs w:val="24"/>
        </w:rPr>
      </w:pPr>
      <w:r>
        <w:rPr>
          <w:rFonts w:hint="eastAsia" w:ascii="宋体"/>
          <w:b/>
          <w:bCs/>
          <w:kern w:val="0"/>
          <w:szCs w:val="24"/>
        </w:rPr>
        <w:t>袋料种植准备：</w:t>
      </w:r>
      <w:r>
        <w:rPr>
          <w:rFonts w:hint="eastAsia" w:ascii="宋体"/>
          <w:kern w:val="0"/>
          <w:szCs w:val="24"/>
        </w:rPr>
        <w:t>将马尾松枝条（带松针）、松材线虫病疫木、松木块等粉碎，按配比加入辅料，混匀并调节含水率至60%后装袋</w:t>
      </w:r>
      <w:r>
        <w:rPr>
          <w:rFonts w:hint="eastAsia" w:ascii="宋体"/>
          <w:kern w:val="0"/>
          <w:szCs w:val="24"/>
          <w:highlight w:val="none"/>
        </w:rPr>
        <w:t>，</w:t>
      </w:r>
      <w:r>
        <w:rPr>
          <w:rFonts w:hint="eastAsia" w:ascii="宋体"/>
          <w:b/>
          <w:bCs/>
          <w:kern w:val="0"/>
          <w:szCs w:val="24"/>
          <w:highlight w:val="none"/>
        </w:rPr>
        <w:t>100℃灭菌12h</w:t>
      </w:r>
      <w:r>
        <w:rPr>
          <w:rFonts w:hint="eastAsia" w:ascii="宋体"/>
          <w:kern w:val="0"/>
          <w:szCs w:val="24"/>
          <w:highlight w:val="none"/>
        </w:rPr>
        <w:t>，</w:t>
      </w:r>
      <w:r>
        <w:rPr>
          <w:rFonts w:hint="eastAsia" w:ascii="宋体"/>
          <w:kern w:val="0"/>
          <w:szCs w:val="24"/>
        </w:rPr>
        <w:t>自然冷却后，在无菌环境下接种茯苓菌种，25℃恒温培养至菌丝满袋。</w:t>
      </w:r>
    </w:p>
    <w:p w14:paraId="014A39A3">
      <w:pPr>
        <w:widowControl/>
        <w:tabs>
          <w:tab w:val="center" w:pos="4201"/>
          <w:tab w:val="right" w:leader="dot" w:pos="9298"/>
        </w:tabs>
        <w:autoSpaceDE w:val="0"/>
        <w:autoSpaceDN w:val="0"/>
        <w:spacing w:line="360" w:lineRule="auto"/>
        <w:ind w:firstLine="420" w:firstLineChars="200"/>
        <w:outlineLvl w:val="1"/>
        <w:rPr>
          <w:rFonts w:hint="eastAsia" w:ascii="宋体"/>
          <w:color w:val="000000" w:themeColor="text1"/>
          <w:kern w:val="0"/>
          <w:szCs w:val="24"/>
          <w14:textFill>
            <w14:solidFill>
              <w14:schemeClr w14:val="tx1"/>
            </w14:solidFill>
          </w14:textFill>
        </w:rPr>
      </w:pPr>
      <w:r>
        <w:rPr>
          <w:rFonts w:hint="eastAsia" w:ascii="宋体"/>
          <w:color w:val="000000" w:themeColor="text1"/>
          <w:kern w:val="0"/>
          <w:szCs w:val="24"/>
          <w14:textFill>
            <w14:solidFill>
              <w14:schemeClr w14:val="tx1"/>
            </w14:solidFill>
          </w14:textFill>
        </w:rPr>
        <w:t>为验证上述灭菌工艺对松材线虫的灭活效果，开展了不同温度条件下松材线虫热失活试验。试验线虫从</w:t>
      </w:r>
      <w:r>
        <w:rPr>
          <w:rFonts w:hint="eastAsia" w:ascii="宋体"/>
          <w:color w:val="000000" w:themeColor="text1"/>
          <w:kern w:val="0"/>
          <w:szCs w:val="24"/>
          <w:lang w:val="en-US" w:eastAsia="zh-CN"/>
          <w14:textFill>
            <w14:solidFill>
              <w14:schemeClr w14:val="tx1"/>
            </w14:solidFill>
          </w14:textFill>
        </w:rPr>
        <w:t>马尾松病疫木木屑中</w:t>
      </w:r>
      <w:r>
        <w:rPr>
          <w:rFonts w:hint="eastAsia" w:ascii="宋体"/>
          <w:color w:val="000000" w:themeColor="text1"/>
          <w:kern w:val="0"/>
          <w:szCs w:val="24"/>
          <w14:textFill>
            <w14:solidFill>
              <w14:schemeClr w14:val="tx1"/>
            </w14:solidFill>
          </w14:textFill>
        </w:rPr>
        <w:t>分离获得，每次取0.1 mL置于载玻片上。载玻片与加热装置直接接触，在显微镜下连续观察松材线虫的活动状态。试验设置40℃、45℃、50℃、55℃、60℃和65℃</w:t>
      </w:r>
      <w:r>
        <w:rPr>
          <w:rFonts w:hint="eastAsia" w:ascii="宋体"/>
          <w:color w:val="000000" w:themeColor="text1"/>
          <w:kern w:val="0"/>
          <w:szCs w:val="24"/>
          <w:lang w:val="en-US" w:eastAsia="zh-CN"/>
          <w14:textFill>
            <w14:solidFill>
              <w14:schemeClr w14:val="tx1"/>
            </w14:solidFill>
          </w14:textFill>
        </w:rPr>
        <w:t xml:space="preserve"> 6个</w:t>
      </w:r>
      <w:r>
        <w:rPr>
          <w:rFonts w:hint="eastAsia" w:ascii="宋体"/>
          <w:color w:val="000000" w:themeColor="text1"/>
          <w:kern w:val="0"/>
          <w:szCs w:val="24"/>
          <w14:textFill>
            <w14:solidFill>
              <w14:schemeClr w14:val="tx1"/>
            </w14:solidFill>
          </w14:textFill>
        </w:rPr>
        <w:t>处理，每个温度设置5次重复，分别记录</w:t>
      </w:r>
      <w:r>
        <w:rPr>
          <w:rFonts w:hint="eastAsia" w:ascii="宋体"/>
          <w:color w:val="000000" w:themeColor="text1"/>
          <w:kern w:val="0"/>
          <w:szCs w:val="24"/>
          <w:lang w:val="en-US" w:eastAsia="zh-CN"/>
          <w14:textFill>
            <w14:solidFill>
              <w14:schemeClr w14:val="tx1"/>
            </w14:solidFill>
          </w14:textFill>
        </w:rPr>
        <w:t>松材线虫</w:t>
      </w:r>
      <w:r>
        <w:rPr>
          <w:rFonts w:hint="eastAsia" w:ascii="宋体"/>
          <w:color w:val="000000" w:themeColor="text1"/>
          <w:kern w:val="0"/>
          <w:szCs w:val="24"/>
          <w14:textFill>
            <w14:solidFill>
              <w14:schemeClr w14:val="tx1"/>
            </w14:solidFill>
          </w14:textFill>
        </w:rPr>
        <w:t>首条死亡时间（Tfirst）、半数死亡时间（T50）和全部死亡时间（T100）。同时</w:t>
      </w:r>
      <w:r>
        <w:rPr>
          <w:rFonts w:hint="eastAsia" w:ascii="宋体"/>
          <w:color w:val="000000" w:themeColor="text1"/>
          <w:kern w:val="0"/>
          <w:szCs w:val="24"/>
          <w:lang w:eastAsia="zh-CN"/>
          <w14:textFill>
            <w14:solidFill>
              <w14:schemeClr w14:val="tx1"/>
            </w14:solidFill>
          </w14:textFill>
        </w:rPr>
        <w:t>，</w:t>
      </w:r>
      <w:r>
        <w:rPr>
          <w:rFonts w:hint="eastAsia" w:ascii="宋体"/>
          <w:color w:val="000000" w:themeColor="text1"/>
          <w:kern w:val="0"/>
          <w:szCs w:val="24"/>
          <w14:textFill>
            <w14:solidFill>
              <w14:schemeClr w14:val="tx1"/>
            </w14:solidFill>
          </w14:textFill>
        </w:rPr>
        <w:t>设置25℃室温对照，连续观察48h，5次重复共观察335条线虫，其中333条存活，存活率为99.40%，表明供试线虫具有较高的初始活性。</w:t>
      </w:r>
    </w:p>
    <w:p w14:paraId="12C8CCD6">
      <w:pPr>
        <w:widowControl/>
        <w:tabs>
          <w:tab w:val="center" w:pos="4201"/>
          <w:tab w:val="right" w:leader="dot" w:pos="9298"/>
        </w:tabs>
        <w:autoSpaceDE w:val="0"/>
        <w:autoSpaceDN w:val="0"/>
        <w:spacing w:line="360" w:lineRule="auto"/>
        <w:ind w:firstLine="420" w:firstLineChars="200"/>
        <w:outlineLvl w:val="1"/>
        <w:rPr>
          <w:rFonts w:hint="eastAsia" w:ascii="宋体"/>
          <w:color w:val="000000" w:themeColor="text1"/>
          <w:kern w:val="0"/>
          <w:szCs w:val="24"/>
          <w14:textFill>
            <w14:solidFill>
              <w14:schemeClr w14:val="tx1"/>
            </w14:solidFill>
          </w14:textFill>
        </w:rPr>
      </w:pPr>
      <w:r>
        <w:rPr>
          <w:rFonts w:hint="eastAsia" w:ascii="宋体"/>
          <w:color w:val="000000" w:themeColor="text1"/>
          <w:kern w:val="0"/>
          <w:szCs w:val="24"/>
          <w14:textFill>
            <w14:solidFill>
              <w14:schemeClr w14:val="tx1"/>
            </w14:solidFill>
          </w14:textFill>
        </w:rPr>
        <w:t>结果表明，随着处理温度升高，松材线虫的首条死亡时间、半数死亡时间和全部死亡时间均明显缩短（图1）。45、50、55、60和65 ℃条件下，松材线虫全部死亡时间分别为（65.04±8.75）、（13.02±1.50）、（2.59±0.89）、（1.13±0.31）和（0.62±0.09）min。45～65 ℃范围内，全部死亡时间缩短约105倍，温度每升高10 ℃，全部死亡时间平均缩短约10.58倍。65 ℃处理时，5次重复的全部死亡时间为29.81～41.41 s，平均为37.17 s；处理后在室温条件下恢复观察30 min以上，45～65 ℃各处理均未发现线虫复苏。</w:t>
      </w:r>
    </w:p>
    <w:p w14:paraId="06BA36DE">
      <w:pPr>
        <w:widowControl/>
        <w:tabs>
          <w:tab w:val="center" w:pos="4201"/>
          <w:tab w:val="right" w:leader="dot" w:pos="9298"/>
        </w:tabs>
        <w:autoSpaceDE w:val="0"/>
        <w:autoSpaceDN w:val="0"/>
        <w:spacing w:line="360" w:lineRule="auto"/>
        <w:ind w:firstLine="420" w:firstLineChars="200"/>
        <w:jc w:val="center"/>
        <w:outlineLvl w:val="1"/>
        <w:rPr>
          <w:rFonts w:hint="eastAsia" w:ascii="宋体"/>
          <w:kern w:val="0"/>
          <w:szCs w:val="24"/>
          <w:lang w:val="en-US" w:eastAsia="zh-CN"/>
        </w:rPr>
      </w:pPr>
    </w:p>
    <w:p w14:paraId="2D898B2C">
      <w:pPr>
        <w:widowControl/>
        <w:tabs>
          <w:tab w:val="center" w:pos="4201"/>
          <w:tab w:val="right" w:leader="dot" w:pos="9298"/>
        </w:tabs>
        <w:autoSpaceDE w:val="0"/>
        <w:autoSpaceDN w:val="0"/>
        <w:spacing w:line="360" w:lineRule="auto"/>
        <w:ind w:firstLine="420" w:firstLineChars="200"/>
        <w:jc w:val="center"/>
        <w:outlineLvl w:val="1"/>
        <w:rPr>
          <w:rFonts w:hint="eastAsia" w:ascii="宋体"/>
          <w:kern w:val="0"/>
          <w:szCs w:val="24"/>
          <w:lang w:val="en-US" w:eastAsia="zh-CN"/>
        </w:rPr>
      </w:pPr>
    </w:p>
    <w:p w14:paraId="6CC65A53">
      <w:pPr>
        <w:widowControl/>
        <w:tabs>
          <w:tab w:val="center" w:pos="4201"/>
          <w:tab w:val="right" w:leader="dot" w:pos="9298"/>
        </w:tabs>
        <w:autoSpaceDE w:val="0"/>
        <w:autoSpaceDN w:val="0"/>
        <w:spacing w:line="360" w:lineRule="auto"/>
        <w:ind w:firstLine="422" w:firstLineChars="200"/>
        <w:jc w:val="center"/>
        <w:outlineLvl w:val="1"/>
        <w:rPr>
          <w:rFonts w:hint="default" w:ascii="宋体"/>
          <w:b/>
          <w:bCs/>
          <w:color w:val="FF0000"/>
          <w:kern w:val="0"/>
          <w:szCs w:val="24"/>
          <w:lang w:val="en-US"/>
        </w:rPr>
      </w:pPr>
      <w:r>
        <w:rPr>
          <w:rFonts w:hint="eastAsia" w:ascii="宋体"/>
          <w:b/>
          <w:bCs/>
          <w:kern w:val="0"/>
          <w:szCs w:val="24"/>
          <w:lang w:val="en-US" w:eastAsia="zh-CN"/>
        </w:rPr>
        <w:t>表4 不同温度杀灭松材线虫试验记录</w:t>
      </w:r>
    </w:p>
    <w:tbl>
      <w:tblPr>
        <w:tblStyle w:val="9"/>
        <w:tblW w:w="8381"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2"/>
        <w:gridCol w:w="837"/>
        <w:gridCol w:w="725"/>
        <w:gridCol w:w="1775"/>
        <w:gridCol w:w="1394"/>
        <w:gridCol w:w="1700"/>
        <w:gridCol w:w="1118"/>
      </w:tblGrid>
      <w:tr w14:paraId="5E1B2A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bottom w:val="single" w:color="auto" w:sz="12" w:space="0"/>
            </w:tcBorders>
          </w:tcPr>
          <w:p w14:paraId="30A26D1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温度</w:t>
            </w:r>
          </w:p>
        </w:tc>
        <w:tc>
          <w:tcPr>
            <w:tcW w:w="837" w:type="dxa"/>
            <w:tcBorders>
              <w:bottom w:val="single" w:color="auto" w:sz="12" w:space="0"/>
            </w:tcBorders>
          </w:tcPr>
          <w:p w14:paraId="0D249E1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重复</w:t>
            </w:r>
          </w:p>
        </w:tc>
        <w:tc>
          <w:tcPr>
            <w:tcW w:w="725" w:type="dxa"/>
            <w:tcBorders>
              <w:bottom w:val="single" w:color="auto" w:sz="12" w:space="0"/>
            </w:tcBorders>
          </w:tcPr>
          <w:p w14:paraId="76A82EC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虫数</w:t>
            </w:r>
          </w:p>
        </w:tc>
        <w:tc>
          <w:tcPr>
            <w:tcW w:w="1775" w:type="dxa"/>
            <w:tcBorders>
              <w:bottom w:val="single" w:color="auto" w:sz="12" w:space="0"/>
            </w:tcBorders>
          </w:tcPr>
          <w:p w14:paraId="0597971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第一条死亡时间</w:t>
            </w:r>
          </w:p>
        </w:tc>
        <w:tc>
          <w:tcPr>
            <w:tcW w:w="1394" w:type="dxa"/>
            <w:tcBorders>
              <w:bottom w:val="single" w:color="auto" w:sz="12" w:space="0"/>
            </w:tcBorders>
          </w:tcPr>
          <w:p w14:paraId="06BF256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半数死亡时间</w:t>
            </w:r>
          </w:p>
        </w:tc>
        <w:tc>
          <w:tcPr>
            <w:tcW w:w="1700" w:type="dxa"/>
            <w:tcBorders>
              <w:bottom w:val="single" w:color="auto" w:sz="12" w:space="0"/>
            </w:tcBorders>
          </w:tcPr>
          <w:p w14:paraId="4912E343">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100%死亡时间</w:t>
            </w:r>
          </w:p>
        </w:tc>
        <w:tc>
          <w:tcPr>
            <w:tcW w:w="1118" w:type="dxa"/>
            <w:tcBorders>
              <w:bottom w:val="single" w:color="auto" w:sz="12" w:space="0"/>
            </w:tcBorders>
          </w:tcPr>
          <w:p w14:paraId="79AF92C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是否复苏</w:t>
            </w:r>
          </w:p>
        </w:tc>
      </w:tr>
      <w:tr w14:paraId="4D8CF1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op w:val="single" w:color="auto" w:sz="12" w:space="0"/>
              <w:tl2br w:val="nil"/>
              <w:tr2bl w:val="nil"/>
            </w:tcBorders>
          </w:tcPr>
          <w:p w14:paraId="5230088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40℃</w:t>
            </w:r>
          </w:p>
        </w:tc>
        <w:tc>
          <w:tcPr>
            <w:tcW w:w="837" w:type="dxa"/>
            <w:tcBorders>
              <w:top w:val="single" w:color="auto" w:sz="12" w:space="0"/>
              <w:tl2br w:val="nil"/>
              <w:tr2bl w:val="nil"/>
            </w:tcBorders>
          </w:tcPr>
          <w:p w14:paraId="46A5657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1</w:t>
            </w:r>
          </w:p>
        </w:tc>
        <w:tc>
          <w:tcPr>
            <w:tcW w:w="725" w:type="dxa"/>
            <w:tcBorders>
              <w:top w:val="single" w:color="auto" w:sz="12" w:space="0"/>
              <w:tl2br w:val="nil"/>
              <w:tr2bl w:val="nil"/>
            </w:tcBorders>
          </w:tcPr>
          <w:p w14:paraId="12A730E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76</w:t>
            </w:r>
          </w:p>
        </w:tc>
        <w:tc>
          <w:tcPr>
            <w:tcW w:w="1775" w:type="dxa"/>
            <w:tcBorders>
              <w:top w:val="single" w:color="auto" w:sz="12" w:space="0"/>
              <w:tl2br w:val="nil"/>
              <w:tr2bl w:val="nil"/>
            </w:tcBorders>
          </w:tcPr>
          <w:p w14:paraId="285A6DE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4分03秒19</w:t>
            </w:r>
          </w:p>
        </w:tc>
        <w:tc>
          <w:tcPr>
            <w:tcW w:w="1394" w:type="dxa"/>
            <w:tcBorders>
              <w:top w:val="single" w:color="auto" w:sz="12" w:space="0"/>
              <w:tl2br w:val="nil"/>
              <w:tr2bl w:val="nil"/>
            </w:tcBorders>
          </w:tcPr>
          <w:p w14:paraId="39EF372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w:t>
            </w:r>
          </w:p>
        </w:tc>
        <w:tc>
          <w:tcPr>
            <w:tcW w:w="1700" w:type="dxa"/>
            <w:tcBorders>
              <w:top w:val="single" w:color="auto" w:sz="12" w:space="0"/>
              <w:tl2br w:val="nil"/>
              <w:tr2bl w:val="nil"/>
            </w:tcBorders>
          </w:tcPr>
          <w:p w14:paraId="47701D9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w:t>
            </w:r>
          </w:p>
        </w:tc>
        <w:tc>
          <w:tcPr>
            <w:tcW w:w="1118" w:type="dxa"/>
            <w:tcBorders>
              <w:top w:val="single" w:color="auto" w:sz="12" w:space="0"/>
              <w:tl2br w:val="nil"/>
              <w:tr2bl w:val="nil"/>
            </w:tcBorders>
          </w:tcPr>
          <w:p w14:paraId="65A3519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62073D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34F81BB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40℃</w:t>
            </w:r>
          </w:p>
        </w:tc>
        <w:tc>
          <w:tcPr>
            <w:tcW w:w="837" w:type="dxa"/>
            <w:tcBorders>
              <w:tl2br w:val="nil"/>
              <w:tr2bl w:val="nil"/>
            </w:tcBorders>
          </w:tcPr>
          <w:p w14:paraId="3B40F164">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2</w:t>
            </w:r>
          </w:p>
        </w:tc>
        <w:tc>
          <w:tcPr>
            <w:tcW w:w="725" w:type="dxa"/>
            <w:tcBorders>
              <w:tl2br w:val="nil"/>
              <w:tr2bl w:val="nil"/>
            </w:tcBorders>
          </w:tcPr>
          <w:p w14:paraId="44B3993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68</w:t>
            </w:r>
          </w:p>
        </w:tc>
        <w:tc>
          <w:tcPr>
            <w:tcW w:w="1775" w:type="dxa"/>
            <w:tcBorders>
              <w:tl2br w:val="nil"/>
              <w:tr2bl w:val="nil"/>
            </w:tcBorders>
          </w:tcPr>
          <w:p w14:paraId="69181581">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3分06秒11</w:t>
            </w:r>
          </w:p>
        </w:tc>
        <w:tc>
          <w:tcPr>
            <w:tcW w:w="1394" w:type="dxa"/>
            <w:tcBorders>
              <w:tl2br w:val="nil"/>
              <w:tr2bl w:val="nil"/>
            </w:tcBorders>
          </w:tcPr>
          <w:p w14:paraId="21507ED4">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w:t>
            </w:r>
          </w:p>
        </w:tc>
        <w:tc>
          <w:tcPr>
            <w:tcW w:w="1700" w:type="dxa"/>
            <w:tcBorders>
              <w:tl2br w:val="nil"/>
              <w:tr2bl w:val="nil"/>
            </w:tcBorders>
          </w:tcPr>
          <w:p w14:paraId="4456B48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w:t>
            </w:r>
          </w:p>
        </w:tc>
        <w:tc>
          <w:tcPr>
            <w:tcW w:w="1118" w:type="dxa"/>
            <w:tcBorders>
              <w:tl2br w:val="nil"/>
              <w:tr2bl w:val="nil"/>
            </w:tcBorders>
          </w:tcPr>
          <w:p w14:paraId="5E12A57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7D03E2F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jc w:val="center"/>
        </w:trPr>
        <w:tc>
          <w:tcPr>
            <w:tcW w:w="832" w:type="dxa"/>
            <w:tcBorders>
              <w:tl2br w:val="nil"/>
              <w:tr2bl w:val="nil"/>
            </w:tcBorders>
          </w:tcPr>
          <w:p w14:paraId="4DB6DDD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40℃</w:t>
            </w:r>
          </w:p>
        </w:tc>
        <w:tc>
          <w:tcPr>
            <w:tcW w:w="837" w:type="dxa"/>
            <w:tcBorders>
              <w:tl2br w:val="nil"/>
              <w:tr2bl w:val="nil"/>
            </w:tcBorders>
          </w:tcPr>
          <w:p w14:paraId="3392397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3</w:t>
            </w:r>
          </w:p>
        </w:tc>
        <w:tc>
          <w:tcPr>
            <w:tcW w:w="725" w:type="dxa"/>
            <w:tcBorders>
              <w:tl2br w:val="nil"/>
              <w:tr2bl w:val="nil"/>
            </w:tcBorders>
          </w:tcPr>
          <w:p w14:paraId="4067216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44</w:t>
            </w:r>
          </w:p>
        </w:tc>
        <w:tc>
          <w:tcPr>
            <w:tcW w:w="1775" w:type="dxa"/>
            <w:tcBorders>
              <w:tl2br w:val="nil"/>
              <w:tr2bl w:val="nil"/>
            </w:tcBorders>
          </w:tcPr>
          <w:p w14:paraId="43667C2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4分54秒34</w:t>
            </w:r>
          </w:p>
        </w:tc>
        <w:tc>
          <w:tcPr>
            <w:tcW w:w="1394" w:type="dxa"/>
            <w:tcBorders>
              <w:tl2br w:val="nil"/>
              <w:tr2bl w:val="nil"/>
            </w:tcBorders>
          </w:tcPr>
          <w:p w14:paraId="35533401">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w:t>
            </w:r>
          </w:p>
        </w:tc>
        <w:tc>
          <w:tcPr>
            <w:tcW w:w="1700" w:type="dxa"/>
            <w:tcBorders>
              <w:tl2br w:val="nil"/>
              <w:tr2bl w:val="nil"/>
            </w:tcBorders>
          </w:tcPr>
          <w:p w14:paraId="3A7B8814">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w:t>
            </w:r>
          </w:p>
        </w:tc>
        <w:tc>
          <w:tcPr>
            <w:tcW w:w="1118" w:type="dxa"/>
            <w:tcBorders>
              <w:tl2br w:val="nil"/>
              <w:tr2bl w:val="nil"/>
            </w:tcBorders>
          </w:tcPr>
          <w:p w14:paraId="2B02A90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5F1740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6DF79781">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40℃</w:t>
            </w:r>
          </w:p>
        </w:tc>
        <w:tc>
          <w:tcPr>
            <w:tcW w:w="837" w:type="dxa"/>
            <w:tcBorders>
              <w:tl2br w:val="nil"/>
              <w:tr2bl w:val="nil"/>
            </w:tcBorders>
          </w:tcPr>
          <w:p w14:paraId="35B2A88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4</w:t>
            </w:r>
          </w:p>
        </w:tc>
        <w:tc>
          <w:tcPr>
            <w:tcW w:w="725" w:type="dxa"/>
            <w:tcBorders>
              <w:tl2br w:val="nil"/>
              <w:tr2bl w:val="nil"/>
            </w:tcBorders>
          </w:tcPr>
          <w:p w14:paraId="269B3E9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52</w:t>
            </w:r>
          </w:p>
        </w:tc>
        <w:tc>
          <w:tcPr>
            <w:tcW w:w="1775" w:type="dxa"/>
            <w:tcBorders>
              <w:tl2br w:val="nil"/>
              <w:tr2bl w:val="nil"/>
            </w:tcBorders>
          </w:tcPr>
          <w:p w14:paraId="3C06B5B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5分10秒56</w:t>
            </w:r>
          </w:p>
        </w:tc>
        <w:tc>
          <w:tcPr>
            <w:tcW w:w="1394" w:type="dxa"/>
            <w:tcBorders>
              <w:tl2br w:val="nil"/>
              <w:tr2bl w:val="nil"/>
            </w:tcBorders>
          </w:tcPr>
          <w:p w14:paraId="6E6CE1F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w:t>
            </w:r>
          </w:p>
        </w:tc>
        <w:tc>
          <w:tcPr>
            <w:tcW w:w="1700" w:type="dxa"/>
            <w:tcBorders>
              <w:tl2br w:val="nil"/>
              <w:tr2bl w:val="nil"/>
            </w:tcBorders>
          </w:tcPr>
          <w:p w14:paraId="2105626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w:t>
            </w:r>
          </w:p>
        </w:tc>
        <w:tc>
          <w:tcPr>
            <w:tcW w:w="1118" w:type="dxa"/>
            <w:tcBorders>
              <w:tl2br w:val="nil"/>
              <w:tr2bl w:val="nil"/>
            </w:tcBorders>
          </w:tcPr>
          <w:p w14:paraId="1CAA6F3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410C67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4335354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40℃</w:t>
            </w:r>
          </w:p>
        </w:tc>
        <w:tc>
          <w:tcPr>
            <w:tcW w:w="837" w:type="dxa"/>
            <w:tcBorders>
              <w:tl2br w:val="nil"/>
              <w:tr2bl w:val="nil"/>
            </w:tcBorders>
          </w:tcPr>
          <w:p w14:paraId="247403D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5</w:t>
            </w:r>
          </w:p>
        </w:tc>
        <w:tc>
          <w:tcPr>
            <w:tcW w:w="725" w:type="dxa"/>
            <w:tcBorders>
              <w:tl2br w:val="nil"/>
              <w:tr2bl w:val="nil"/>
            </w:tcBorders>
          </w:tcPr>
          <w:p w14:paraId="75FC36F8">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62</w:t>
            </w:r>
          </w:p>
        </w:tc>
        <w:tc>
          <w:tcPr>
            <w:tcW w:w="1775" w:type="dxa"/>
            <w:tcBorders>
              <w:tl2br w:val="nil"/>
              <w:tr2bl w:val="nil"/>
            </w:tcBorders>
          </w:tcPr>
          <w:p w14:paraId="44BFE3F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4分28秒84</w:t>
            </w:r>
          </w:p>
        </w:tc>
        <w:tc>
          <w:tcPr>
            <w:tcW w:w="1394" w:type="dxa"/>
            <w:tcBorders>
              <w:tl2br w:val="nil"/>
              <w:tr2bl w:val="nil"/>
            </w:tcBorders>
          </w:tcPr>
          <w:p w14:paraId="466F94E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w:t>
            </w:r>
          </w:p>
        </w:tc>
        <w:tc>
          <w:tcPr>
            <w:tcW w:w="1700" w:type="dxa"/>
            <w:tcBorders>
              <w:tl2br w:val="nil"/>
              <w:tr2bl w:val="nil"/>
            </w:tcBorders>
          </w:tcPr>
          <w:p w14:paraId="599A9D8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w:t>
            </w:r>
          </w:p>
        </w:tc>
        <w:tc>
          <w:tcPr>
            <w:tcW w:w="1118" w:type="dxa"/>
            <w:tcBorders>
              <w:tl2br w:val="nil"/>
              <w:tr2bl w:val="nil"/>
            </w:tcBorders>
          </w:tcPr>
          <w:p w14:paraId="5C1BFF2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0E930E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1191047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45℃</w:t>
            </w:r>
          </w:p>
        </w:tc>
        <w:tc>
          <w:tcPr>
            <w:tcW w:w="837" w:type="dxa"/>
            <w:tcBorders>
              <w:tl2br w:val="nil"/>
              <w:tr2bl w:val="nil"/>
            </w:tcBorders>
          </w:tcPr>
          <w:p w14:paraId="05A2EC3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1</w:t>
            </w:r>
          </w:p>
        </w:tc>
        <w:tc>
          <w:tcPr>
            <w:tcW w:w="725" w:type="dxa"/>
            <w:tcBorders>
              <w:tl2br w:val="nil"/>
              <w:tr2bl w:val="nil"/>
            </w:tcBorders>
          </w:tcPr>
          <w:p w14:paraId="37E74AF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55</w:t>
            </w:r>
          </w:p>
        </w:tc>
        <w:tc>
          <w:tcPr>
            <w:tcW w:w="1775" w:type="dxa"/>
            <w:tcBorders>
              <w:tl2br w:val="nil"/>
              <w:tr2bl w:val="nil"/>
            </w:tcBorders>
          </w:tcPr>
          <w:p w14:paraId="64987758">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2分22秒95</w:t>
            </w:r>
          </w:p>
        </w:tc>
        <w:tc>
          <w:tcPr>
            <w:tcW w:w="1394" w:type="dxa"/>
            <w:tcBorders>
              <w:tl2br w:val="nil"/>
              <w:tr2bl w:val="nil"/>
            </w:tcBorders>
          </w:tcPr>
          <w:p w14:paraId="1507B40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5分08秒85</w:t>
            </w:r>
          </w:p>
        </w:tc>
        <w:tc>
          <w:tcPr>
            <w:tcW w:w="1700" w:type="dxa"/>
            <w:tcBorders>
              <w:tl2br w:val="nil"/>
              <w:tr2bl w:val="nil"/>
            </w:tcBorders>
          </w:tcPr>
          <w:p w14:paraId="38FE3A8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58分59秒53</w:t>
            </w:r>
          </w:p>
        </w:tc>
        <w:tc>
          <w:tcPr>
            <w:tcW w:w="1118" w:type="dxa"/>
            <w:tcBorders>
              <w:tl2br w:val="nil"/>
              <w:tr2bl w:val="nil"/>
            </w:tcBorders>
            <w:vAlign w:val="top"/>
          </w:tcPr>
          <w:p w14:paraId="1EB228FF">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1238A5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jc w:val="center"/>
        </w:trPr>
        <w:tc>
          <w:tcPr>
            <w:tcW w:w="832" w:type="dxa"/>
            <w:tcBorders>
              <w:tl2br w:val="nil"/>
              <w:tr2bl w:val="nil"/>
            </w:tcBorders>
          </w:tcPr>
          <w:p w14:paraId="566360E3">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45℃</w:t>
            </w:r>
          </w:p>
        </w:tc>
        <w:tc>
          <w:tcPr>
            <w:tcW w:w="837" w:type="dxa"/>
            <w:tcBorders>
              <w:tl2br w:val="nil"/>
              <w:tr2bl w:val="nil"/>
            </w:tcBorders>
          </w:tcPr>
          <w:p w14:paraId="514CA5F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2</w:t>
            </w:r>
          </w:p>
        </w:tc>
        <w:tc>
          <w:tcPr>
            <w:tcW w:w="725" w:type="dxa"/>
            <w:tcBorders>
              <w:tl2br w:val="nil"/>
              <w:tr2bl w:val="nil"/>
            </w:tcBorders>
          </w:tcPr>
          <w:p w14:paraId="24609EA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58</w:t>
            </w:r>
          </w:p>
        </w:tc>
        <w:tc>
          <w:tcPr>
            <w:tcW w:w="1775" w:type="dxa"/>
            <w:tcBorders>
              <w:tl2br w:val="nil"/>
              <w:tr2bl w:val="nil"/>
            </w:tcBorders>
          </w:tcPr>
          <w:p w14:paraId="7B29ACC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1分37秒95</w:t>
            </w:r>
          </w:p>
        </w:tc>
        <w:tc>
          <w:tcPr>
            <w:tcW w:w="1394" w:type="dxa"/>
            <w:tcBorders>
              <w:tl2br w:val="nil"/>
              <w:tr2bl w:val="nil"/>
            </w:tcBorders>
          </w:tcPr>
          <w:p w14:paraId="57E8D42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2分34秒17</w:t>
            </w:r>
          </w:p>
        </w:tc>
        <w:tc>
          <w:tcPr>
            <w:tcW w:w="1700" w:type="dxa"/>
            <w:tcBorders>
              <w:tl2br w:val="nil"/>
              <w:tr2bl w:val="nil"/>
            </w:tcBorders>
          </w:tcPr>
          <w:p w14:paraId="1BFDA451">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1小时07分52秒</w:t>
            </w:r>
          </w:p>
        </w:tc>
        <w:tc>
          <w:tcPr>
            <w:tcW w:w="1118" w:type="dxa"/>
            <w:tcBorders>
              <w:tl2br w:val="nil"/>
              <w:tr2bl w:val="nil"/>
            </w:tcBorders>
            <w:vAlign w:val="top"/>
          </w:tcPr>
          <w:p w14:paraId="4E354A1F">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5C993E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656E8E0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45℃</w:t>
            </w:r>
          </w:p>
        </w:tc>
        <w:tc>
          <w:tcPr>
            <w:tcW w:w="837" w:type="dxa"/>
            <w:tcBorders>
              <w:tl2br w:val="nil"/>
              <w:tr2bl w:val="nil"/>
            </w:tcBorders>
          </w:tcPr>
          <w:p w14:paraId="75D11B28">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3</w:t>
            </w:r>
          </w:p>
        </w:tc>
        <w:tc>
          <w:tcPr>
            <w:tcW w:w="725" w:type="dxa"/>
            <w:tcBorders>
              <w:tl2br w:val="nil"/>
              <w:tr2bl w:val="nil"/>
            </w:tcBorders>
          </w:tcPr>
          <w:p w14:paraId="4DBBD298">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53</w:t>
            </w:r>
          </w:p>
        </w:tc>
        <w:tc>
          <w:tcPr>
            <w:tcW w:w="1775" w:type="dxa"/>
            <w:tcBorders>
              <w:tl2br w:val="nil"/>
              <w:tr2bl w:val="nil"/>
            </w:tcBorders>
          </w:tcPr>
          <w:p w14:paraId="650575C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2分47秒12</w:t>
            </w:r>
          </w:p>
        </w:tc>
        <w:tc>
          <w:tcPr>
            <w:tcW w:w="1394" w:type="dxa"/>
            <w:tcBorders>
              <w:tl2br w:val="nil"/>
              <w:tr2bl w:val="nil"/>
            </w:tcBorders>
          </w:tcPr>
          <w:p w14:paraId="54735A4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4分19秒33</w:t>
            </w:r>
          </w:p>
        </w:tc>
        <w:tc>
          <w:tcPr>
            <w:tcW w:w="1700" w:type="dxa"/>
            <w:tcBorders>
              <w:tl2br w:val="nil"/>
              <w:tr2bl w:val="nil"/>
            </w:tcBorders>
          </w:tcPr>
          <w:p w14:paraId="548C5433">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56分33秒34</w:t>
            </w:r>
          </w:p>
        </w:tc>
        <w:tc>
          <w:tcPr>
            <w:tcW w:w="1118" w:type="dxa"/>
            <w:tcBorders>
              <w:tl2br w:val="nil"/>
              <w:tr2bl w:val="nil"/>
            </w:tcBorders>
            <w:vAlign w:val="top"/>
          </w:tcPr>
          <w:p w14:paraId="1B1BE4AD">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58F76EE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4A78CB11">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45℃</w:t>
            </w:r>
          </w:p>
        </w:tc>
        <w:tc>
          <w:tcPr>
            <w:tcW w:w="837" w:type="dxa"/>
            <w:tcBorders>
              <w:tl2br w:val="nil"/>
              <w:tr2bl w:val="nil"/>
            </w:tcBorders>
          </w:tcPr>
          <w:p w14:paraId="66EB9F94">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4</w:t>
            </w:r>
          </w:p>
        </w:tc>
        <w:tc>
          <w:tcPr>
            <w:tcW w:w="725" w:type="dxa"/>
            <w:tcBorders>
              <w:tl2br w:val="nil"/>
              <w:tr2bl w:val="nil"/>
            </w:tcBorders>
          </w:tcPr>
          <w:p w14:paraId="75F3AB0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49</w:t>
            </w:r>
          </w:p>
        </w:tc>
        <w:tc>
          <w:tcPr>
            <w:tcW w:w="1775" w:type="dxa"/>
            <w:tcBorders>
              <w:tl2br w:val="nil"/>
              <w:tr2bl w:val="nil"/>
            </w:tcBorders>
          </w:tcPr>
          <w:p w14:paraId="7F62DAC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5分12秒03</w:t>
            </w:r>
          </w:p>
        </w:tc>
        <w:tc>
          <w:tcPr>
            <w:tcW w:w="1394" w:type="dxa"/>
            <w:tcBorders>
              <w:tl2br w:val="nil"/>
              <w:tr2bl w:val="nil"/>
            </w:tcBorders>
          </w:tcPr>
          <w:p w14:paraId="6BF4EDC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6分39秒77</w:t>
            </w:r>
          </w:p>
        </w:tc>
        <w:tc>
          <w:tcPr>
            <w:tcW w:w="1700" w:type="dxa"/>
            <w:tcBorders>
              <w:tl2br w:val="nil"/>
              <w:tr2bl w:val="nil"/>
            </w:tcBorders>
          </w:tcPr>
          <w:p w14:paraId="1E63744D">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1小时18分41秒</w:t>
            </w:r>
          </w:p>
        </w:tc>
        <w:tc>
          <w:tcPr>
            <w:tcW w:w="1118" w:type="dxa"/>
            <w:tcBorders>
              <w:tl2br w:val="nil"/>
              <w:tr2bl w:val="nil"/>
            </w:tcBorders>
            <w:vAlign w:val="top"/>
          </w:tcPr>
          <w:p w14:paraId="6A60A97E">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781D26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6E817134">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45℃</w:t>
            </w:r>
          </w:p>
        </w:tc>
        <w:tc>
          <w:tcPr>
            <w:tcW w:w="837" w:type="dxa"/>
            <w:tcBorders>
              <w:tl2br w:val="nil"/>
              <w:tr2bl w:val="nil"/>
            </w:tcBorders>
          </w:tcPr>
          <w:p w14:paraId="240CDFD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5</w:t>
            </w:r>
          </w:p>
        </w:tc>
        <w:tc>
          <w:tcPr>
            <w:tcW w:w="725" w:type="dxa"/>
            <w:tcBorders>
              <w:tl2br w:val="nil"/>
              <w:tr2bl w:val="nil"/>
            </w:tcBorders>
          </w:tcPr>
          <w:p w14:paraId="346A782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61</w:t>
            </w:r>
          </w:p>
        </w:tc>
        <w:tc>
          <w:tcPr>
            <w:tcW w:w="1775" w:type="dxa"/>
            <w:tcBorders>
              <w:tl2br w:val="nil"/>
              <w:tr2bl w:val="nil"/>
            </w:tcBorders>
          </w:tcPr>
          <w:p w14:paraId="2B4F65B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3分50秒44</w:t>
            </w:r>
          </w:p>
        </w:tc>
        <w:tc>
          <w:tcPr>
            <w:tcW w:w="1394" w:type="dxa"/>
            <w:tcBorders>
              <w:tl2br w:val="nil"/>
              <w:tr2bl w:val="nil"/>
            </w:tcBorders>
          </w:tcPr>
          <w:p w14:paraId="7ED06CE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5分19秒62</w:t>
            </w:r>
          </w:p>
        </w:tc>
        <w:tc>
          <w:tcPr>
            <w:tcW w:w="1700" w:type="dxa"/>
            <w:tcBorders>
              <w:tl2br w:val="nil"/>
              <w:tr2bl w:val="nil"/>
            </w:tcBorders>
          </w:tcPr>
          <w:p w14:paraId="796BB98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1小时02分65秒</w:t>
            </w:r>
          </w:p>
        </w:tc>
        <w:tc>
          <w:tcPr>
            <w:tcW w:w="1118" w:type="dxa"/>
            <w:tcBorders>
              <w:tl2br w:val="nil"/>
              <w:tr2bl w:val="nil"/>
            </w:tcBorders>
            <w:vAlign w:val="top"/>
          </w:tcPr>
          <w:p w14:paraId="45F5C7D1">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55B239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jc w:val="center"/>
        </w:trPr>
        <w:tc>
          <w:tcPr>
            <w:tcW w:w="832" w:type="dxa"/>
            <w:tcBorders>
              <w:tl2br w:val="nil"/>
              <w:tr2bl w:val="nil"/>
            </w:tcBorders>
          </w:tcPr>
          <w:p w14:paraId="0221D54D">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50℃</w:t>
            </w:r>
          </w:p>
        </w:tc>
        <w:tc>
          <w:tcPr>
            <w:tcW w:w="837" w:type="dxa"/>
            <w:tcBorders>
              <w:tl2br w:val="nil"/>
              <w:tr2bl w:val="nil"/>
            </w:tcBorders>
          </w:tcPr>
          <w:p w14:paraId="28C6324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1</w:t>
            </w:r>
          </w:p>
        </w:tc>
        <w:tc>
          <w:tcPr>
            <w:tcW w:w="725" w:type="dxa"/>
            <w:tcBorders>
              <w:tl2br w:val="nil"/>
              <w:tr2bl w:val="nil"/>
            </w:tcBorders>
          </w:tcPr>
          <w:p w14:paraId="7BBE72B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50</w:t>
            </w:r>
          </w:p>
        </w:tc>
        <w:tc>
          <w:tcPr>
            <w:tcW w:w="1775" w:type="dxa"/>
            <w:tcBorders>
              <w:tl2br w:val="nil"/>
              <w:tr2bl w:val="nil"/>
            </w:tcBorders>
          </w:tcPr>
          <w:p w14:paraId="4C4A63A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38秒18</w:t>
            </w:r>
          </w:p>
        </w:tc>
        <w:tc>
          <w:tcPr>
            <w:tcW w:w="1394" w:type="dxa"/>
            <w:tcBorders>
              <w:tl2br w:val="nil"/>
              <w:tr2bl w:val="nil"/>
            </w:tcBorders>
          </w:tcPr>
          <w:p w14:paraId="10C4B24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55秒46</w:t>
            </w:r>
          </w:p>
        </w:tc>
        <w:tc>
          <w:tcPr>
            <w:tcW w:w="1700" w:type="dxa"/>
            <w:tcBorders>
              <w:tl2br w:val="nil"/>
              <w:tr2bl w:val="nil"/>
            </w:tcBorders>
          </w:tcPr>
          <w:p w14:paraId="5598E10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13分19秒21</w:t>
            </w:r>
          </w:p>
        </w:tc>
        <w:tc>
          <w:tcPr>
            <w:tcW w:w="1118" w:type="dxa"/>
            <w:tcBorders>
              <w:tl2br w:val="nil"/>
              <w:tr2bl w:val="nil"/>
            </w:tcBorders>
            <w:vAlign w:val="top"/>
          </w:tcPr>
          <w:p w14:paraId="519E6246">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48628D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218154A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50℃</w:t>
            </w:r>
          </w:p>
        </w:tc>
        <w:tc>
          <w:tcPr>
            <w:tcW w:w="837" w:type="dxa"/>
            <w:tcBorders>
              <w:tl2br w:val="nil"/>
              <w:tr2bl w:val="nil"/>
            </w:tcBorders>
          </w:tcPr>
          <w:p w14:paraId="589877B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2</w:t>
            </w:r>
          </w:p>
        </w:tc>
        <w:tc>
          <w:tcPr>
            <w:tcW w:w="725" w:type="dxa"/>
            <w:tcBorders>
              <w:tl2br w:val="nil"/>
              <w:tr2bl w:val="nil"/>
            </w:tcBorders>
          </w:tcPr>
          <w:p w14:paraId="76D8A553">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46</w:t>
            </w:r>
          </w:p>
        </w:tc>
        <w:tc>
          <w:tcPr>
            <w:tcW w:w="1775" w:type="dxa"/>
            <w:tcBorders>
              <w:tl2br w:val="nil"/>
              <w:tr2bl w:val="nil"/>
            </w:tcBorders>
          </w:tcPr>
          <w:p w14:paraId="4D2CF12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2分34秒02</w:t>
            </w:r>
          </w:p>
        </w:tc>
        <w:tc>
          <w:tcPr>
            <w:tcW w:w="1394" w:type="dxa"/>
            <w:tcBorders>
              <w:tl2br w:val="nil"/>
              <w:tr2bl w:val="nil"/>
            </w:tcBorders>
          </w:tcPr>
          <w:p w14:paraId="6675F1F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6分07秒22</w:t>
            </w:r>
          </w:p>
        </w:tc>
        <w:tc>
          <w:tcPr>
            <w:tcW w:w="1700" w:type="dxa"/>
            <w:tcBorders>
              <w:tl2br w:val="nil"/>
              <w:tr2bl w:val="nil"/>
            </w:tcBorders>
          </w:tcPr>
          <w:p w14:paraId="447E0818">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11分27秒38</w:t>
            </w:r>
          </w:p>
        </w:tc>
        <w:tc>
          <w:tcPr>
            <w:tcW w:w="1118" w:type="dxa"/>
            <w:tcBorders>
              <w:tl2br w:val="nil"/>
              <w:tr2bl w:val="nil"/>
            </w:tcBorders>
            <w:vAlign w:val="top"/>
          </w:tcPr>
          <w:p w14:paraId="22B45917">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501D68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5A24A56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50℃</w:t>
            </w:r>
          </w:p>
        </w:tc>
        <w:tc>
          <w:tcPr>
            <w:tcW w:w="837" w:type="dxa"/>
            <w:tcBorders>
              <w:tl2br w:val="nil"/>
              <w:tr2bl w:val="nil"/>
            </w:tcBorders>
          </w:tcPr>
          <w:p w14:paraId="3DB7EE4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3</w:t>
            </w:r>
          </w:p>
        </w:tc>
        <w:tc>
          <w:tcPr>
            <w:tcW w:w="725" w:type="dxa"/>
            <w:tcBorders>
              <w:tl2br w:val="nil"/>
              <w:tr2bl w:val="nil"/>
            </w:tcBorders>
          </w:tcPr>
          <w:p w14:paraId="081F352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56</w:t>
            </w:r>
          </w:p>
        </w:tc>
        <w:tc>
          <w:tcPr>
            <w:tcW w:w="1775" w:type="dxa"/>
            <w:tcBorders>
              <w:tl2br w:val="nil"/>
              <w:tr2bl w:val="nil"/>
            </w:tcBorders>
          </w:tcPr>
          <w:p w14:paraId="6B00067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54秒24</w:t>
            </w:r>
          </w:p>
        </w:tc>
        <w:tc>
          <w:tcPr>
            <w:tcW w:w="1394" w:type="dxa"/>
            <w:tcBorders>
              <w:tl2br w:val="nil"/>
              <w:tr2bl w:val="nil"/>
            </w:tcBorders>
          </w:tcPr>
          <w:p w14:paraId="4415EA8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2分11秒58</w:t>
            </w:r>
          </w:p>
        </w:tc>
        <w:tc>
          <w:tcPr>
            <w:tcW w:w="1700" w:type="dxa"/>
            <w:tcBorders>
              <w:tl2br w:val="nil"/>
              <w:tr2bl w:val="nil"/>
            </w:tcBorders>
          </w:tcPr>
          <w:p w14:paraId="6672647D">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11分40秒23</w:t>
            </w:r>
          </w:p>
        </w:tc>
        <w:tc>
          <w:tcPr>
            <w:tcW w:w="1118" w:type="dxa"/>
            <w:tcBorders>
              <w:tl2br w:val="nil"/>
              <w:tr2bl w:val="nil"/>
            </w:tcBorders>
            <w:vAlign w:val="top"/>
          </w:tcPr>
          <w:p w14:paraId="6ED0246F">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5A1605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19BDA2E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50℃</w:t>
            </w:r>
          </w:p>
        </w:tc>
        <w:tc>
          <w:tcPr>
            <w:tcW w:w="837" w:type="dxa"/>
            <w:tcBorders>
              <w:tl2br w:val="nil"/>
              <w:tr2bl w:val="nil"/>
            </w:tcBorders>
          </w:tcPr>
          <w:p w14:paraId="374FB78D">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4</w:t>
            </w:r>
          </w:p>
        </w:tc>
        <w:tc>
          <w:tcPr>
            <w:tcW w:w="725" w:type="dxa"/>
            <w:tcBorders>
              <w:tl2br w:val="nil"/>
              <w:tr2bl w:val="nil"/>
            </w:tcBorders>
          </w:tcPr>
          <w:p w14:paraId="058A817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57</w:t>
            </w:r>
          </w:p>
        </w:tc>
        <w:tc>
          <w:tcPr>
            <w:tcW w:w="1775" w:type="dxa"/>
            <w:tcBorders>
              <w:tl2br w:val="nil"/>
              <w:tr2bl w:val="nil"/>
            </w:tcBorders>
          </w:tcPr>
          <w:p w14:paraId="3B39775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35秒27</w:t>
            </w:r>
          </w:p>
        </w:tc>
        <w:tc>
          <w:tcPr>
            <w:tcW w:w="1394" w:type="dxa"/>
            <w:tcBorders>
              <w:tl2br w:val="nil"/>
              <w:tr2bl w:val="nil"/>
            </w:tcBorders>
          </w:tcPr>
          <w:p w14:paraId="15F838E3">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2分05秒57</w:t>
            </w:r>
          </w:p>
        </w:tc>
        <w:tc>
          <w:tcPr>
            <w:tcW w:w="1700" w:type="dxa"/>
            <w:tcBorders>
              <w:tl2br w:val="nil"/>
              <w:tr2bl w:val="nil"/>
            </w:tcBorders>
          </w:tcPr>
          <w:p w14:paraId="2785070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13分35秒</w:t>
            </w:r>
          </w:p>
        </w:tc>
        <w:tc>
          <w:tcPr>
            <w:tcW w:w="1118" w:type="dxa"/>
            <w:tcBorders>
              <w:tl2br w:val="nil"/>
              <w:tr2bl w:val="nil"/>
            </w:tcBorders>
            <w:vAlign w:val="top"/>
          </w:tcPr>
          <w:p w14:paraId="05120CCE">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0F561D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jc w:val="center"/>
        </w:trPr>
        <w:tc>
          <w:tcPr>
            <w:tcW w:w="832" w:type="dxa"/>
            <w:tcBorders>
              <w:tl2br w:val="nil"/>
              <w:tr2bl w:val="nil"/>
            </w:tcBorders>
          </w:tcPr>
          <w:p w14:paraId="20DF0B5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50℃</w:t>
            </w:r>
          </w:p>
        </w:tc>
        <w:tc>
          <w:tcPr>
            <w:tcW w:w="837" w:type="dxa"/>
            <w:tcBorders>
              <w:tl2br w:val="nil"/>
              <w:tr2bl w:val="nil"/>
            </w:tcBorders>
          </w:tcPr>
          <w:p w14:paraId="236A98D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5</w:t>
            </w:r>
          </w:p>
        </w:tc>
        <w:tc>
          <w:tcPr>
            <w:tcW w:w="725" w:type="dxa"/>
            <w:tcBorders>
              <w:tl2br w:val="nil"/>
              <w:tr2bl w:val="nil"/>
            </w:tcBorders>
          </w:tcPr>
          <w:p w14:paraId="7A4A86B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47</w:t>
            </w:r>
          </w:p>
        </w:tc>
        <w:tc>
          <w:tcPr>
            <w:tcW w:w="1775" w:type="dxa"/>
            <w:tcBorders>
              <w:tl2br w:val="nil"/>
              <w:tr2bl w:val="nil"/>
            </w:tcBorders>
          </w:tcPr>
          <w:p w14:paraId="2F353FF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40秒01</w:t>
            </w:r>
          </w:p>
        </w:tc>
        <w:tc>
          <w:tcPr>
            <w:tcW w:w="1394" w:type="dxa"/>
            <w:tcBorders>
              <w:tl2br w:val="nil"/>
              <w:tr2bl w:val="nil"/>
            </w:tcBorders>
          </w:tcPr>
          <w:p w14:paraId="0FB2E19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1分34秒33</w:t>
            </w:r>
          </w:p>
        </w:tc>
        <w:tc>
          <w:tcPr>
            <w:tcW w:w="1700" w:type="dxa"/>
            <w:tcBorders>
              <w:tl2br w:val="nil"/>
              <w:tr2bl w:val="nil"/>
            </w:tcBorders>
          </w:tcPr>
          <w:p w14:paraId="0DCE48D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15分05秒38</w:t>
            </w:r>
          </w:p>
        </w:tc>
        <w:tc>
          <w:tcPr>
            <w:tcW w:w="1118" w:type="dxa"/>
            <w:tcBorders>
              <w:tl2br w:val="nil"/>
              <w:tr2bl w:val="nil"/>
            </w:tcBorders>
            <w:vAlign w:val="top"/>
          </w:tcPr>
          <w:p w14:paraId="59D9937A">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48A33E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327024E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55℃</w:t>
            </w:r>
          </w:p>
        </w:tc>
        <w:tc>
          <w:tcPr>
            <w:tcW w:w="837" w:type="dxa"/>
            <w:tcBorders>
              <w:tl2br w:val="nil"/>
              <w:tr2bl w:val="nil"/>
            </w:tcBorders>
          </w:tcPr>
          <w:p w14:paraId="2146BA7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1</w:t>
            </w:r>
          </w:p>
        </w:tc>
        <w:tc>
          <w:tcPr>
            <w:tcW w:w="725" w:type="dxa"/>
            <w:tcBorders>
              <w:tl2br w:val="nil"/>
              <w:tr2bl w:val="nil"/>
            </w:tcBorders>
          </w:tcPr>
          <w:p w14:paraId="00EEACC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48</w:t>
            </w:r>
          </w:p>
        </w:tc>
        <w:tc>
          <w:tcPr>
            <w:tcW w:w="1775" w:type="dxa"/>
            <w:tcBorders>
              <w:tl2br w:val="nil"/>
              <w:tr2bl w:val="nil"/>
            </w:tcBorders>
          </w:tcPr>
          <w:p w14:paraId="2897305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26秒17</w:t>
            </w:r>
          </w:p>
        </w:tc>
        <w:tc>
          <w:tcPr>
            <w:tcW w:w="1394" w:type="dxa"/>
            <w:tcBorders>
              <w:tl2br w:val="nil"/>
              <w:tr2bl w:val="nil"/>
            </w:tcBorders>
          </w:tcPr>
          <w:p w14:paraId="7A7F016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37秒21</w:t>
            </w:r>
          </w:p>
        </w:tc>
        <w:tc>
          <w:tcPr>
            <w:tcW w:w="1700" w:type="dxa"/>
            <w:tcBorders>
              <w:tl2br w:val="nil"/>
              <w:tr2bl w:val="nil"/>
            </w:tcBorders>
          </w:tcPr>
          <w:p w14:paraId="5E204FA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1分14秒33</w:t>
            </w:r>
          </w:p>
        </w:tc>
        <w:tc>
          <w:tcPr>
            <w:tcW w:w="1118" w:type="dxa"/>
            <w:tcBorders>
              <w:tl2br w:val="nil"/>
              <w:tr2bl w:val="nil"/>
            </w:tcBorders>
            <w:vAlign w:val="top"/>
          </w:tcPr>
          <w:p w14:paraId="4C429957">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7BFF800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2B69C6D1">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55℃</w:t>
            </w:r>
          </w:p>
        </w:tc>
        <w:tc>
          <w:tcPr>
            <w:tcW w:w="837" w:type="dxa"/>
            <w:tcBorders>
              <w:tl2br w:val="nil"/>
              <w:tr2bl w:val="nil"/>
            </w:tcBorders>
          </w:tcPr>
          <w:p w14:paraId="7E7A2DD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2</w:t>
            </w:r>
          </w:p>
        </w:tc>
        <w:tc>
          <w:tcPr>
            <w:tcW w:w="725" w:type="dxa"/>
            <w:tcBorders>
              <w:tl2br w:val="nil"/>
              <w:tr2bl w:val="nil"/>
            </w:tcBorders>
          </w:tcPr>
          <w:p w14:paraId="346015B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63</w:t>
            </w:r>
          </w:p>
        </w:tc>
        <w:tc>
          <w:tcPr>
            <w:tcW w:w="1775" w:type="dxa"/>
            <w:tcBorders>
              <w:tl2br w:val="nil"/>
              <w:tr2bl w:val="nil"/>
            </w:tcBorders>
          </w:tcPr>
          <w:p w14:paraId="7A1C5E0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59秒75</w:t>
            </w:r>
          </w:p>
        </w:tc>
        <w:tc>
          <w:tcPr>
            <w:tcW w:w="1394" w:type="dxa"/>
            <w:tcBorders>
              <w:tl2br w:val="nil"/>
              <w:tr2bl w:val="nil"/>
            </w:tcBorders>
          </w:tcPr>
          <w:p w14:paraId="2E1A09E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1分11秒61</w:t>
            </w:r>
          </w:p>
        </w:tc>
        <w:tc>
          <w:tcPr>
            <w:tcW w:w="1700" w:type="dxa"/>
            <w:tcBorders>
              <w:tl2br w:val="nil"/>
              <w:tr2bl w:val="nil"/>
            </w:tcBorders>
          </w:tcPr>
          <w:p w14:paraId="24444CA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3分30秒72</w:t>
            </w:r>
          </w:p>
        </w:tc>
        <w:tc>
          <w:tcPr>
            <w:tcW w:w="1118" w:type="dxa"/>
            <w:tcBorders>
              <w:tl2br w:val="nil"/>
              <w:tr2bl w:val="nil"/>
            </w:tcBorders>
            <w:vAlign w:val="top"/>
          </w:tcPr>
          <w:p w14:paraId="2FF11AD7">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440DF0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63B302F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55℃</w:t>
            </w:r>
          </w:p>
        </w:tc>
        <w:tc>
          <w:tcPr>
            <w:tcW w:w="837" w:type="dxa"/>
            <w:tcBorders>
              <w:tl2br w:val="nil"/>
              <w:tr2bl w:val="nil"/>
            </w:tcBorders>
          </w:tcPr>
          <w:p w14:paraId="046BB8F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3</w:t>
            </w:r>
          </w:p>
        </w:tc>
        <w:tc>
          <w:tcPr>
            <w:tcW w:w="725" w:type="dxa"/>
            <w:tcBorders>
              <w:tl2br w:val="nil"/>
              <w:tr2bl w:val="nil"/>
            </w:tcBorders>
          </w:tcPr>
          <w:p w14:paraId="4CB995D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45</w:t>
            </w:r>
          </w:p>
        </w:tc>
        <w:tc>
          <w:tcPr>
            <w:tcW w:w="1775" w:type="dxa"/>
            <w:tcBorders>
              <w:tl2br w:val="nil"/>
              <w:tr2bl w:val="nil"/>
            </w:tcBorders>
          </w:tcPr>
          <w:p w14:paraId="361ABDD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34秒24</w:t>
            </w:r>
          </w:p>
        </w:tc>
        <w:tc>
          <w:tcPr>
            <w:tcW w:w="1394" w:type="dxa"/>
            <w:tcBorders>
              <w:tl2br w:val="nil"/>
              <w:tr2bl w:val="nil"/>
            </w:tcBorders>
          </w:tcPr>
          <w:p w14:paraId="1C1FBC9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42秒92</w:t>
            </w:r>
          </w:p>
        </w:tc>
        <w:tc>
          <w:tcPr>
            <w:tcW w:w="1700" w:type="dxa"/>
            <w:tcBorders>
              <w:tl2br w:val="nil"/>
              <w:tr2bl w:val="nil"/>
            </w:tcBorders>
          </w:tcPr>
          <w:p w14:paraId="20F83C5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3分15秒79</w:t>
            </w:r>
          </w:p>
        </w:tc>
        <w:tc>
          <w:tcPr>
            <w:tcW w:w="1118" w:type="dxa"/>
            <w:tcBorders>
              <w:tl2br w:val="nil"/>
              <w:tr2bl w:val="nil"/>
            </w:tcBorders>
            <w:vAlign w:val="top"/>
          </w:tcPr>
          <w:p w14:paraId="33485E8E">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5931A6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jc w:val="center"/>
        </w:trPr>
        <w:tc>
          <w:tcPr>
            <w:tcW w:w="832" w:type="dxa"/>
            <w:tcBorders>
              <w:tl2br w:val="nil"/>
              <w:tr2bl w:val="nil"/>
            </w:tcBorders>
          </w:tcPr>
          <w:p w14:paraId="49691148">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55℃</w:t>
            </w:r>
          </w:p>
        </w:tc>
        <w:tc>
          <w:tcPr>
            <w:tcW w:w="837" w:type="dxa"/>
            <w:tcBorders>
              <w:tl2br w:val="nil"/>
              <w:tr2bl w:val="nil"/>
            </w:tcBorders>
          </w:tcPr>
          <w:p w14:paraId="4EF49AA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4</w:t>
            </w:r>
          </w:p>
        </w:tc>
        <w:tc>
          <w:tcPr>
            <w:tcW w:w="725" w:type="dxa"/>
            <w:tcBorders>
              <w:tl2br w:val="nil"/>
              <w:tr2bl w:val="nil"/>
            </w:tcBorders>
          </w:tcPr>
          <w:p w14:paraId="7329C97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69</w:t>
            </w:r>
          </w:p>
        </w:tc>
        <w:tc>
          <w:tcPr>
            <w:tcW w:w="1775" w:type="dxa"/>
            <w:tcBorders>
              <w:tl2br w:val="nil"/>
              <w:tr2bl w:val="nil"/>
            </w:tcBorders>
          </w:tcPr>
          <w:p w14:paraId="32970D4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32秒08</w:t>
            </w:r>
          </w:p>
        </w:tc>
        <w:tc>
          <w:tcPr>
            <w:tcW w:w="1394" w:type="dxa"/>
            <w:tcBorders>
              <w:tl2br w:val="nil"/>
              <w:tr2bl w:val="nil"/>
            </w:tcBorders>
          </w:tcPr>
          <w:p w14:paraId="5AD451A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52秒19</w:t>
            </w:r>
          </w:p>
        </w:tc>
        <w:tc>
          <w:tcPr>
            <w:tcW w:w="1700" w:type="dxa"/>
            <w:tcBorders>
              <w:tl2br w:val="nil"/>
              <w:tr2bl w:val="nil"/>
            </w:tcBorders>
          </w:tcPr>
          <w:p w14:paraId="3383D59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2分21秒76</w:t>
            </w:r>
          </w:p>
        </w:tc>
        <w:tc>
          <w:tcPr>
            <w:tcW w:w="1118" w:type="dxa"/>
            <w:tcBorders>
              <w:tl2br w:val="nil"/>
              <w:tr2bl w:val="nil"/>
            </w:tcBorders>
            <w:vAlign w:val="top"/>
          </w:tcPr>
          <w:p w14:paraId="52ECC699">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6DFCF3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13F6436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55℃</w:t>
            </w:r>
          </w:p>
        </w:tc>
        <w:tc>
          <w:tcPr>
            <w:tcW w:w="837" w:type="dxa"/>
            <w:tcBorders>
              <w:tl2br w:val="nil"/>
              <w:tr2bl w:val="nil"/>
            </w:tcBorders>
          </w:tcPr>
          <w:p w14:paraId="0B99429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5</w:t>
            </w:r>
          </w:p>
        </w:tc>
        <w:tc>
          <w:tcPr>
            <w:tcW w:w="725" w:type="dxa"/>
            <w:tcBorders>
              <w:tl2br w:val="nil"/>
              <w:tr2bl w:val="nil"/>
            </w:tcBorders>
          </w:tcPr>
          <w:p w14:paraId="1C7929A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53</w:t>
            </w:r>
          </w:p>
        </w:tc>
        <w:tc>
          <w:tcPr>
            <w:tcW w:w="1775" w:type="dxa"/>
            <w:tcBorders>
              <w:tl2br w:val="nil"/>
              <w:tr2bl w:val="nil"/>
            </w:tcBorders>
          </w:tcPr>
          <w:p w14:paraId="41B9039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37秒65</w:t>
            </w:r>
          </w:p>
        </w:tc>
        <w:tc>
          <w:tcPr>
            <w:tcW w:w="1394" w:type="dxa"/>
            <w:tcBorders>
              <w:tl2br w:val="nil"/>
              <w:tr2bl w:val="nil"/>
            </w:tcBorders>
          </w:tcPr>
          <w:p w14:paraId="7144063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1分06秒50</w:t>
            </w:r>
          </w:p>
        </w:tc>
        <w:tc>
          <w:tcPr>
            <w:tcW w:w="1700" w:type="dxa"/>
            <w:tcBorders>
              <w:tl2br w:val="nil"/>
              <w:tr2bl w:val="nil"/>
            </w:tcBorders>
          </w:tcPr>
          <w:p w14:paraId="7C1EBCC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2分33秒33</w:t>
            </w:r>
          </w:p>
        </w:tc>
        <w:tc>
          <w:tcPr>
            <w:tcW w:w="1118" w:type="dxa"/>
            <w:tcBorders>
              <w:tl2br w:val="nil"/>
              <w:tr2bl w:val="nil"/>
            </w:tcBorders>
            <w:vAlign w:val="top"/>
          </w:tcPr>
          <w:p w14:paraId="2F41CFD6">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399979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221058A4">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60℃</w:t>
            </w:r>
          </w:p>
        </w:tc>
        <w:tc>
          <w:tcPr>
            <w:tcW w:w="837" w:type="dxa"/>
            <w:tcBorders>
              <w:tl2br w:val="nil"/>
              <w:tr2bl w:val="nil"/>
            </w:tcBorders>
          </w:tcPr>
          <w:p w14:paraId="5B978641">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1</w:t>
            </w:r>
          </w:p>
        </w:tc>
        <w:tc>
          <w:tcPr>
            <w:tcW w:w="725" w:type="dxa"/>
            <w:tcBorders>
              <w:tl2br w:val="nil"/>
              <w:tr2bl w:val="nil"/>
            </w:tcBorders>
          </w:tcPr>
          <w:p w14:paraId="7707FB38">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46</w:t>
            </w:r>
          </w:p>
        </w:tc>
        <w:tc>
          <w:tcPr>
            <w:tcW w:w="1775" w:type="dxa"/>
            <w:tcBorders>
              <w:tl2br w:val="nil"/>
              <w:tr2bl w:val="nil"/>
            </w:tcBorders>
          </w:tcPr>
          <w:p w14:paraId="32B5CB6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4秒71</w:t>
            </w:r>
          </w:p>
        </w:tc>
        <w:tc>
          <w:tcPr>
            <w:tcW w:w="1394" w:type="dxa"/>
            <w:tcBorders>
              <w:tl2br w:val="nil"/>
              <w:tr2bl w:val="nil"/>
            </w:tcBorders>
          </w:tcPr>
          <w:p w14:paraId="11A759A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9秒87</w:t>
            </w:r>
          </w:p>
        </w:tc>
        <w:tc>
          <w:tcPr>
            <w:tcW w:w="1700" w:type="dxa"/>
            <w:tcBorders>
              <w:tl2br w:val="nil"/>
              <w:tr2bl w:val="nil"/>
            </w:tcBorders>
          </w:tcPr>
          <w:p w14:paraId="3EB80653">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34秒76</w:t>
            </w:r>
          </w:p>
        </w:tc>
        <w:tc>
          <w:tcPr>
            <w:tcW w:w="1118" w:type="dxa"/>
            <w:tcBorders>
              <w:tl2br w:val="nil"/>
              <w:tr2bl w:val="nil"/>
            </w:tcBorders>
            <w:vAlign w:val="top"/>
          </w:tcPr>
          <w:p w14:paraId="1881D353">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380096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400EE14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60℃</w:t>
            </w:r>
          </w:p>
        </w:tc>
        <w:tc>
          <w:tcPr>
            <w:tcW w:w="837" w:type="dxa"/>
            <w:tcBorders>
              <w:tl2br w:val="nil"/>
              <w:tr2bl w:val="nil"/>
            </w:tcBorders>
          </w:tcPr>
          <w:p w14:paraId="6B2ADA3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2</w:t>
            </w:r>
          </w:p>
        </w:tc>
        <w:tc>
          <w:tcPr>
            <w:tcW w:w="725" w:type="dxa"/>
            <w:tcBorders>
              <w:tl2br w:val="nil"/>
              <w:tr2bl w:val="nil"/>
            </w:tcBorders>
          </w:tcPr>
          <w:p w14:paraId="64FE4EF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48</w:t>
            </w:r>
          </w:p>
        </w:tc>
        <w:tc>
          <w:tcPr>
            <w:tcW w:w="1775" w:type="dxa"/>
            <w:tcBorders>
              <w:tl2br w:val="nil"/>
              <w:tr2bl w:val="nil"/>
            </w:tcBorders>
          </w:tcPr>
          <w:p w14:paraId="3CEE956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12秒15</w:t>
            </w:r>
          </w:p>
        </w:tc>
        <w:tc>
          <w:tcPr>
            <w:tcW w:w="1394" w:type="dxa"/>
            <w:tcBorders>
              <w:tl2br w:val="nil"/>
              <w:tr2bl w:val="nil"/>
            </w:tcBorders>
          </w:tcPr>
          <w:p w14:paraId="2C65289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18秒91</w:t>
            </w:r>
          </w:p>
        </w:tc>
        <w:tc>
          <w:tcPr>
            <w:tcW w:w="1700" w:type="dxa"/>
            <w:tcBorders>
              <w:tl2br w:val="nil"/>
              <w:tr2bl w:val="nil"/>
            </w:tcBorders>
          </w:tcPr>
          <w:p w14:paraId="4B58124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1分20秒68</w:t>
            </w:r>
          </w:p>
        </w:tc>
        <w:tc>
          <w:tcPr>
            <w:tcW w:w="1118" w:type="dxa"/>
            <w:tcBorders>
              <w:tl2br w:val="nil"/>
              <w:tr2bl w:val="nil"/>
            </w:tcBorders>
            <w:vAlign w:val="top"/>
          </w:tcPr>
          <w:p w14:paraId="52688FAF">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5D4BFB1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jc w:val="center"/>
        </w:trPr>
        <w:tc>
          <w:tcPr>
            <w:tcW w:w="832" w:type="dxa"/>
            <w:tcBorders>
              <w:tl2br w:val="nil"/>
              <w:tr2bl w:val="nil"/>
            </w:tcBorders>
          </w:tcPr>
          <w:p w14:paraId="2C0A11A4">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60℃</w:t>
            </w:r>
          </w:p>
        </w:tc>
        <w:tc>
          <w:tcPr>
            <w:tcW w:w="837" w:type="dxa"/>
            <w:tcBorders>
              <w:tl2br w:val="nil"/>
              <w:tr2bl w:val="nil"/>
            </w:tcBorders>
          </w:tcPr>
          <w:p w14:paraId="7D63350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3</w:t>
            </w:r>
          </w:p>
        </w:tc>
        <w:tc>
          <w:tcPr>
            <w:tcW w:w="725" w:type="dxa"/>
            <w:tcBorders>
              <w:tl2br w:val="nil"/>
              <w:tr2bl w:val="nil"/>
            </w:tcBorders>
          </w:tcPr>
          <w:p w14:paraId="27E3790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52</w:t>
            </w:r>
          </w:p>
        </w:tc>
        <w:tc>
          <w:tcPr>
            <w:tcW w:w="1775" w:type="dxa"/>
            <w:tcBorders>
              <w:tl2br w:val="nil"/>
              <w:tr2bl w:val="nil"/>
            </w:tcBorders>
          </w:tcPr>
          <w:p w14:paraId="4E395A6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17秒83</w:t>
            </w:r>
          </w:p>
        </w:tc>
        <w:tc>
          <w:tcPr>
            <w:tcW w:w="1394" w:type="dxa"/>
            <w:tcBorders>
              <w:tl2br w:val="nil"/>
              <w:tr2bl w:val="nil"/>
            </w:tcBorders>
          </w:tcPr>
          <w:p w14:paraId="643A02D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27秒9</w:t>
            </w:r>
          </w:p>
        </w:tc>
        <w:tc>
          <w:tcPr>
            <w:tcW w:w="1700" w:type="dxa"/>
            <w:tcBorders>
              <w:tl2br w:val="nil"/>
              <w:tr2bl w:val="nil"/>
            </w:tcBorders>
          </w:tcPr>
          <w:p w14:paraId="0DCB5F1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1分12秒87</w:t>
            </w:r>
          </w:p>
        </w:tc>
        <w:tc>
          <w:tcPr>
            <w:tcW w:w="1118" w:type="dxa"/>
            <w:tcBorders>
              <w:tl2br w:val="nil"/>
              <w:tr2bl w:val="nil"/>
            </w:tcBorders>
            <w:vAlign w:val="top"/>
          </w:tcPr>
          <w:p w14:paraId="26BE9C91">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60ED8B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6FEFD4B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60℃</w:t>
            </w:r>
          </w:p>
        </w:tc>
        <w:tc>
          <w:tcPr>
            <w:tcW w:w="837" w:type="dxa"/>
            <w:tcBorders>
              <w:tl2br w:val="nil"/>
              <w:tr2bl w:val="nil"/>
            </w:tcBorders>
          </w:tcPr>
          <w:p w14:paraId="0217632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4</w:t>
            </w:r>
          </w:p>
        </w:tc>
        <w:tc>
          <w:tcPr>
            <w:tcW w:w="725" w:type="dxa"/>
            <w:tcBorders>
              <w:tl2br w:val="nil"/>
              <w:tr2bl w:val="nil"/>
            </w:tcBorders>
          </w:tcPr>
          <w:p w14:paraId="5B78FF8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64</w:t>
            </w:r>
          </w:p>
        </w:tc>
        <w:tc>
          <w:tcPr>
            <w:tcW w:w="1775" w:type="dxa"/>
            <w:tcBorders>
              <w:tl2br w:val="nil"/>
              <w:tr2bl w:val="nil"/>
            </w:tcBorders>
          </w:tcPr>
          <w:p w14:paraId="1CDDBAB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8秒23</w:t>
            </w:r>
          </w:p>
        </w:tc>
        <w:tc>
          <w:tcPr>
            <w:tcW w:w="1394" w:type="dxa"/>
            <w:tcBorders>
              <w:tl2br w:val="nil"/>
              <w:tr2bl w:val="nil"/>
            </w:tcBorders>
          </w:tcPr>
          <w:p w14:paraId="6487796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31秒26</w:t>
            </w:r>
          </w:p>
        </w:tc>
        <w:tc>
          <w:tcPr>
            <w:tcW w:w="1700" w:type="dxa"/>
            <w:tcBorders>
              <w:tl2br w:val="nil"/>
              <w:tr2bl w:val="nil"/>
            </w:tcBorders>
          </w:tcPr>
          <w:p w14:paraId="3C4D35B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1分13秒98</w:t>
            </w:r>
          </w:p>
        </w:tc>
        <w:tc>
          <w:tcPr>
            <w:tcW w:w="1118" w:type="dxa"/>
            <w:tcBorders>
              <w:tl2br w:val="nil"/>
              <w:tr2bl w:val="nil"/>
            </w:tcBorders>
            <w:vAlign w:val="top"/>
          </w:tcPr>
          <w:p w14:paraId="74348C22">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56BDB3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18C355C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60℃</w:t>
            </w:r>
          </w:p>
        </w:tc>
        <w:tc>
          <w:tcPr>
            <w:tcW w:w="837" w:type="dxa"/>
            <w:tcBorders>
              <w:tl2br w:val="nil"/>
              <w:tr2bl w:val="nil"/>
            </w:tcBorders>
          </w:tcPr>
          <w:p w14:paraId="74A3CDE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5</w:t>
            </w:r>
          </w:p>
        </w:tc>
        <w:tc>
          <w:tcPr>
            <w:tcW w:w="725" w:type="dxa"/>
            <w:tcBorders>
              <w:tl2br w:val="nil"/>
              <w:tr2bl w:val="nil"/>
            </w:tcBorders>
          </w:tcPr>
          <w:p w14:paraId="0F8C9FC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66</w:t>
            </w:r>
          </w:p>
        </w:tc>
        <w:tc>
          <w:tcPr>
            <w:tcW w:w="1775" w:type="dxa"/>
            <w:tcBorders>
              <w:tl2br w:val="nil"/>
              <w:tr2bl w:val="nil"/>
            </w:tcBorders>
          </w:tcPr>
          <w:p w14:paraId="2E6D6D24">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23秒66</w:t>
            </w:r>
          </w:p>
        </w:tc>
        <w:tc>
          <w:tcPr>
            <w:tcW w:w="1394" w:type="dxa"/>
            <w:tcBorders>
              <w:tl2br w:val="nil"/>
              <w:tr2bl w:val="nil"/>
            </w:tcBorders>
          </w:tcPr>
          <w:p w14:paraId="352F6D0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39秒27</w:t>
            </w:r>
          </w:p>
        </w:tc>
        <w:tc>
          <w:tcPr>
            <w:tcW w:w="1700" w:type="dxa"/>
            <w:tcBorders>
              <w:tl2br w:val="nil"/>
              <w:tr2bl w:val="nil"/>
            </w:tcBorders>
          </w:tcPr>
          <w:p w14:paraId="5AA0E911">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1分16秒80</w:t>
            </w:r>
          </w:p>
        </w:tc>
        <w:tc>
          <w:tcPr>
            <w:tcW w:w="1118" w:type="dxa"/>
            <w:tcBorders>
              <w:tl2br w:val="nil"/>
              <w:tr2bl w:val="nil"/>
            </w:tcBorders>
            <w:vAlign w:val="top"/>
          </w:tcPr>
          <w:p w14:paraId="1D09B210">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01BACE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20E8CCC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65℃</w:t>
            </w:r>
          </w:p>
        </w:tc>
        <w:tc>
          <w:tcPr>
            <w:tcW w:w="837" w:type="dxa"/>
            <w:tcBorders>
              <w:tl2br w:val="nil"/>
              <w:tr2bl w:val="nil"/>
            </w:tcBorders>
          </w:tcPr>
          <w:p w14:paraId="0ED8E02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1</w:t>
            </w:r>
          </w:p>
        </w:tc>
        <w:tc>
          <w:tcPr>
            <w:tcW w:w="725" w:type="dxa"/>
            <w:tcBorders>
              <w:tl2br w:val="nil"/>
              <w:tr2bl w:val="nil"/>
            </w:tcBorders>
          </w:tcPr>
          <w:p w14:paraId="02BE659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52</w:t>
            </w:r>
          </w:p>
        </w:tc>
        <w:tc>
          <w:tcPr>
            <w:tcW w:w="1775" w:type="dxa"/>
            <w:tcBorders>
              <w:tl2br w:val="nil"/>
              <w:tr2bl w:val="nil"/>
            </w:tcBorders>
          </w:tcPr>
          <w:p w14:paraId="03D9E41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16秒66</w:t>
            </w:r>
          </w:p>
        </w:tc>
        <w:tc>
          <w:tcPr>
            <w:tcW w:w="1394" w:type="dxa"/>
            <w:tcBorders>
              <w:tl2br w:val="nil"/>
              <w:tr2bl w:val="nil"/>
            </w:tcBorders>
          </w:tcPr>
          <w:p w14:paraId="32E2F0C8">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21秒62</w:t>
            </w:r>
          </w:p>
        </w:tc>
        <w:tc>
          <w:tcPr>
            <w:tcW w:w="1700" w:type="dxa"/>
            <w:tcBorders>
              <w:tl2br w:val="nil"/>
              <w:tr2bl w:val="nil"/>
            </w:tcBorders>
          </w:tcPr>
          <w:p w14:paraId="4CA69AA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32秒73</w:t>
            </w:r>
          </w:p>
        </w:tc>
        <w:tc>
          <w:tcPr>
            <w:tcW w:w="1118" w:type="dxa"/>
            <w:tcBorders>
              <w:tl2br w:val="nil"/>
              <w:tr2bl w:val="nil"/>
            </w:tcBorders>
            <w:vAlign w:val="top"/>
          </w:tcPr>
          <w:p w14:paraId="33454BEF">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3CB68B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jc w:val="center"/>
        </w:trPr>
        <w:tc>
          <w:tcPr>
            <w:tcW w:w="832" w:type="dxa"/>
            <w:tcBorders>
              <w:tl2br w:val="nil"/>
              <w:tr2bl w:val="nil"/>
            </w:tcBorders>
          </w:tcPr>
          <w:p w14:paraId="2324F6D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65℃</w:t>
            </w:r>
          </w:p>
        </w:tc>
        <w:tc>
          <w:tcPr>
            <w:tcW w:w="837" w:type="dxa"/>
            <w:tcBorders>
              <w:tl2br w:val="nil"/>
              <w:tr2bl w:val="nil"/>
            </w:tcBorders>
          </w:tcPr>
          <w:p w14:paraId="21E10A2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2</w:t>
            </w:r>
          </w:p>
        </w:tc>
        <w:tc>
          <w:tcPr>
            <w:tcW w:w="725" w:type="dxa"/>
            <w:tcBorders>
              <w:tl2br w:val="nil"/>
              <w:tr2bl w:val="nil"/>
            </w:tcBorders>
          </w:tcPr>
          <w:p w14:paraId="69749F2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53</w:t>
            </w:r>
          </w:p>
        </w:tc>
        <w:tc>
          <w:tcPr>
            <w:tcW w:w="1775" w:type="dxa"/>
            <w:tcBorders>
              <w:tl2br w:val="nil"/>
              <w:tr2bl w:val="nil"/>
            </w:tcBorders>
          </w:tcPr>
          <w:p w14:paraId="07D7A71E">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14秒47</w:t>
            </w:r>
          </w:p>
        </w:tc>
        <w:tc>
          <w:tcPr>
            <w:tcW w:w="1394" w:type="dxa"/>
            <w:tcBorders>
              <w:tl2br w:val="nil"/>
              <w:tr2bl w:val="nil"/>
            </w:tcBorders>
          </w:tcPr>
          <w:p w14:paraId="09460A1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22秒93</w:t>
            </w:r>
          </w:p>
        </w:tc>
        <w:tc>
          <w:tcPr>
            <w:tcW w:w="1700" w:type="dxa"/>
            <w:tcBorders>
              <w:tl2br w:val="nil"/>
              <w:tr2bl w:val="nil"/>
            </w:tcBorders>
          </w:tcPr>
          <w:p w14:paraId="7904E224">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29秒81</w:t>
            </w:r>
          </w:p>
        </w:tc>
        <w:tc>
          <w:tcPr>
            <w:tcW w:w="1118" w:type="dxa"/>
            <w:tcBorders>
              <w:tl2br w:val="nil"/>
              <w:tr2bl w:val="nil"/>
            </w:tcBorders>
            <w:vAlign w:val="top"/>
          </w:tcPr>
          <w:p w14:paraId="1E375D17">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3C04C5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46CB7793">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65℃</w:t>
            </w:r>
          </w:p>
        </w:tc>
        <w:tc>
          <w:tcPr>
            <w:tcW w:w="837" w:type="dxa"/>
            <w:tcBorders>
              <w:tl2br w:val="nil"/>
              <w:tr2bl w:val="nil"/>
            </w:tcBorders>
          </w:tcPr>
          <w:p w14:paraId="18AABA8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3</w:t>
            </w:r>
          </w:p>
        </w:tc>
        <w:tc>
          <w:tcPr>
            <w:tcW w:w="725" w:type="dxa"/>
            <w:tcBorders>
              <w:tl2br w:val="nil"/>
              <w:tr2bl w:val="nil"/>
            </w:tcBorders>
          </w:tcPr>
          <w:p w14:paraId="69CDD31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44</w:t>
            </w:r>
          </w:p>
        </w:tc>
        <w:tc>
          <w:tcPr>
            <w:tcW w:w="1775" w:type="dxa"/>
            <w:tcBorders>
              <w:tl2br w:val="nil"/>
              <w:tr2bl w:val="nil"/>
            </w:tcBorders>
          </w:tcPr>
          <w:p w14:paraId="3D44275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14秒93</w:t>
            </w:r>
          </w:p>
        </w:tc>
        <w:tc>
          <w:tcPr>
            <w:tcW w:w="1394" w:type="dxa"/>
            <w:tcBorders>
              <w:tl2br w:val="nil"/>
              <w:tr2bl w:val="nil"/>
            </w:tcBorders>
          </w:tcPr>
          <w:p w14:paraId="40FF647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17秒76</w:t>
            </w:r>
          </w:p>
        </w:tc>
        <w:tc>
          <w:tcPr>
            <w:tcW w:w="1700" w:type="dxa"/>
            <w:tcBorders>
              <w:tl2br w:val="nil"/>
              <w:tr2bl w:val="nil"/>
            </w:tcBorders>
          </w:tcPr>
          <w:p w14:paraId="036C120D">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40秒60</w:t>
            </w:r>
          </w:p>
        </w:tc>
        <w:tc>
          <w:tcPr>
            <w:tcW w:w="1118" w:type="dxa"/>
            <w:tcBorders>
              <w:tl2br w:val="nil"/>
              <w:tr2bl w:val="nil"/>
            </w:tcBorders>
            <w:vAlign w:val="top"/>
          </w:tcPr>
          <w:p w14:paraId="2A633294">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718FCE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618C22F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65℃</w:t>
            </w:r>
          </w:p>
        </w:tc>
        <w:tc>
          <w:tcPr>
            <w:tcW w:w="837" w:type="dxa"/>
            <w:tcBorders>
              <w:tl2br w:val="nil"/>
              <w:tr2bl w:val="nil"/>
            </w:tcBorders>
          </w:tcPr>
          <w:p w14:paraId="047858E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Rep 4</w:t>
            </w:r>
          </w:p>
        </w:tc>
        <w:tc>
          <w:tcPr>
            <w:tcW w:w="725" w:type="dxa"/>
            <w:tcBorders>
              <w:tl2br w:val="nil"/>
              <w:tr2bl w:val="nil"/>
            </w:tcBorders>
          </w:tcPr>
          <w:p w14:paraId="395B816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57</w:t>
            </w:r>
          </w:p>
        </w:tc>
        <w:tc>
          <w:tcPr>
            <w:tcW w:w="1775" w:type="dxa"/>
            <w:tcBorders>
              <w:tl2br w:val="nil"/>
              <w:tr2bl w:val="nil"/>
            </w:tcBorders>
          </w:tcPr>
          <w:p w14:paraId="5232CBA4">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9秒78</w:t>
            </w:r>
          </w:p>
        </w:tc>
        <w:tc>
          <w:tcPr>
            <w:tcW w:w="1394" w:type="dxa"/>
            <w:tcBorders>
              <w:tl2br w:val="nil"/>
              <w:tr2bl w:val="nil"/>
            </w:tcBorders>
          </w:tcPr>
          <w:p w14:paraId="089C406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14秒84</w:t>
            </w:r>
          </w:p>
        </w:tc>
        <w:tc>
          <w:tcPr>
            <w:tcW w:w="1700" w:type="dxa"/>
            <w:tcBorders>
              <w:tl2br w:val="nil"/>
              <w:tr2bl w:val="nil"/>
            </w:tcBorders>
          </w:tcPr>
          <w:p w14:paraId="56A5FB9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41秒28</w:t>
            </w:r>
          </w:p>
        </w:tc>
        <w:tc>
          <w:tcPr>
            <w:tcW w:w="1118" w:type="dxa"/>
            <w:tcBorders>
              <w:tl2br w:val="nil"/>
              <w:tr2bl w:val="nil"/>
            </w:tcBorders>
            <w:vAlign w:val="top"/>
          </w:tcPr>
          <w:p w14:paraId="7C87E895">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cs="Times New Roman Regular"/>
                <w:kern w:val="0"/>
                <w:sz w:val="18"/>
                <w:szCs w:val="18"/>
                <w:vertAlign w:val="baseline"/>
                <w:lang w:val="en-US" w:eastAsia="zh-CN"/>
              </w:rPr>
            </w:pPr>
            <w:r>
              <w:rPr>
                <w:rFonts w:hint="default" w:ascii="Times New Roman Regular" w:hAnsi="Times New Roman Regular" w:cs="Times New Roman Regular"/>
                <w:sz w:val="18"/>
                <w:szCs w:val="18"/>
              </w:rPr>
              <w:t>否</w:t>
            </w:r>
          </w:p>
        </w:tc>
      </w:tr>
      <w:tr w14:paraId="2425A9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2" w:type="dxa"/>
            <w:tcBorders>
              <w:tl2br w:val="nil"/>
              <w:tr2bl w:val="nil"/>
            </w:tcBorders>
          </w:tcPr>
          <w:p w14:paraId="5AE0832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65℃</w:t>
            </w:r>
          </w:p>
        </w:tc>
        <w:tc>
          <w:tcPr>
            <w:tcW w:w="837" w:type="dxa"/>
            <w:tcBorders>
              <w:tl2br w:val="nil"/>
              <w:tr2bl w:val="nil"/>
            </w:tcBorders>
          </w:tcPr>
          <w:p w14:paraId="7572E0E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sz w:val="18"/>
                <w:szCs w:val="18"/>
                <w:lang w:val="en-US" w:eastAsia="zh-CN"/>
              </w:rPr>
            </w:pPr>
            <w:r>
              <w:rPr>
                <w:rFonts w:hint="default" w:ascii="Times New Roman Regular" w:hAnsi="Times New Roman Regular" w:cs="Times New Roman Regular"/>
                <w:sz w:val="18"/>
                <w:szCs w:val="18"/>
              </w:rPr>
              <w:t xml:space="preserve">Rep </w:t>
            </w:r>
            <w:r>
              <w:rPr>
                <w:rFonts w:hint="default" w:ascii="Times New Roman Regular" w:hAnsi="Times New Roman Regular" w:cs="Times New Roman Regular"/>
                <w:sz w:val="18"/>
                <w:szCs w:val="18"/>
                <w:lang w:val="en-US" w:eastAsia="zh-CN"/>
              </w:rPr>
              <w:t>5</w:t>
            </w:r>
          </w:p>
        </w:tc>
        <w:tc>
          <w:tcPr>
            <w:tcW w:w="725" w:type="dxa"/>
            <w:tcBorders>
              <w:tl2br w:val="nil"/>
              <w:tr2bl w:val="nil"/>
            </w:tcBorders>
          </w:tcPr>
          <w:p w14:paraId="6106CA0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sz w:val="18"/>
                <w:szCs w:val="18"/>
                <w:lang w:val="en-US" w:eastAsia="zh-CN"/>
              </w:rPr>
            </w:pPr>
            <w:r>
              <w:rPr>
                <w:rFonts w:hint="default" w:ascii="Times New Roman Regular" w:hAnsi="Times New Roman Regular" w:cs="Times New Roman Regular"/>
                <w:sz w:val="18"/>
                <w:szCs w:val="18"/>
                <w:lang w:val="en-US" w:eastAsia="zh-CN"/>
              </w:rPr>
              <w:t>60</w:t>
            </w:r>
          </w:p>
        </w:tc>
        <w:tc>
          <w:tcPr>
            <w:tcW w:w="1775" w:type="dxa"/>
            <w:tcBorders>
              <w:tl2br w:val="nil"/>
              <w:tr2bl w:val="nil"/>
            </w:tcBorders>
          </w:tcPr>
          <w:p w14:paraId="123048A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sz w:val="18"/>
                <w:szCs w:val="18"/>
                <w:lang w:val="en-US" w:eastAsia="zh-CN"/>
              </w:rPr>
            </w:pPr>
            <w:r>
              <w:rPr>
                <w:rFonts w:hint="default" w:ascii="Times New Roman Regular" w:hAnsi="Times New Roman Regular" w:cs="Times New Roman Regular"/>
                <w:sz w:val="18"/>
                <w:szCs w:val="18"/>
                <w:lang w:val="en-US" w:eastAsia="zh-CN"/>
              </w:rPr>
              <w:t>9秒76</w:t>
            </w:r>
          </w:p>
        </w:tc>
        <w:tc>
          <w:tcPr>
            <w:tcW w:w="1394" w:type="dxa"/>
            <w:tcBorders>
              <w:tl2br w:val="nil"/>
              <w:tr2bl w:val="nil"/>
            </w:tcBorders>
          </w:tcPr>
          <w:p w14:paraId="17E51A72">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sz w:val="18"/>
                <w:szCs w:val="18"/>
                <w:lang w:val="en-US" w:eastAsia="zh-CN"/>
              </w:rPr>
            </w:pPr>
            <w:r>
              <w:rPr>
                <w:rFonts w:hint="default" w:ascii="Times New Roman Regular" w:hAnsi="Times New Roman Regular" w:cs="Times New Roman Regular"/>
                <w:sz w:val="18"/>
                <w:szCs w:val="18"/>
                <w:lang w:val="en-US" w:eastAsia="zh-CN"/>
              </w:rPr>
              <w:t>23秒56</w:t>
            </w:r>
          </w:p>
        </w:tc>
        <w:tc>
          <w:tcPr>
            <w:tcW w:w="1700" w:type="dxa"/>
            <w:tcBorders>
              <w:tl2br w:val="nil"/>
              <w:tr2bl w:val="nil"/>
            </w:tcBorders>
          </w:tcPr>
          <w:p w14:paraId="2C6FF2B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sz w:val="18"/>
                <w:szCs w:val="18"/>
                <w:lang w:val="en-US" w:eastAsia="zh-CN"/>
              </w:rPr>
            </w:pPr>
            <w:r>
              <w:rPr>
                <w:rFonts w:hint="default" w:ascii="Times New Roman Regular" w:hAnsi="Times New Roman Regular" w:cs="Times New Roman Regular"/>
                <w:sz w:val="18"/>
                <w:szCs w:val="18"/>
                <w:lang w:val="en-US" w:eastAsia="zh-CN"/>
              </w:rPr>
              <w:t>41秒41</w:t>
            </w:r>
          </w:p>
        </w:tc>
        <w:tc>
          <w:tcPr>
            <w:tcW w:w="1118" w:type="dxa"/>
            <w:tcBorders>
              <w:tl2br w:val="nil"/>
              <w:tr2bl w:val="nil"/>
            </w:tcBorders>
            <w:vAlign w:val="top"/>
          </w:tcPr>
          <w:p w14:paraId="46FB16F0">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Regular" w:hAnsi="Times New Roman Regular" w:eastAsia="宋体" w:cs="Times New Roman Regular"/>
                <w:sz w:val="18"/>
                <w:szCs w:val="18"/>
                <w:lang w:val="en-US" w:eastAsia="zh-CN"/>
              </w:rPr>
            </w:pPr>
            <w:r>
              <w:rPr>
                <w:rFonts w:hint="default" w:ascii="Times New Roman Regular" w:hAnsi="Times New Roman Regular" w:cs="Times New Roman Regular"/>
                <w:sz w:val="18"/>
                <w:szCs w:val="18"/>
              </w:rPr>
              <w:t>否</w:t>
            </w:r>
          </w:p>
        </w:tc>
      </w:tr>
    </w:tbl>
    <w:p w14:paraId="0E25448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jc w:val="center"/>
        <w:textAlignment w:val="auto"/>
        <w:outlineLvl w:val="1"/>
        <w:rPr>
          <w:rFonts w:hint="eastAsia" w:ascii="宋体"/>
          <w:color w:val="000000" w:themeColor="text1"/>
          <w:kern w:val="0"/>
          <w:szCs w:val="24"/>
          <w:lang w:eastAsia="zh-CN"/>
          <w14:textFill>
            <w14:solidFill>
              <w14:schemeClr w14:val="tx1"/>
            </w14:solidFill>
          </w14:textFill>
        </w:rPr>
      </w:pPr>
      <w:r>
        <w:rPr>
          <w:rFonts w:hint="eastAsia" w:ascii="宋体" w:eastAsia="宋体"/>
          <w:color w:val="FF0000"/>
          <w:kern w:val="0"/>
          <w:szCs w:val="24"/>
          <w:lang w:eastAsia="zh-CN"/>
        </w:rPr>
        <w:drawing>
          <wp:inline distT="0" distB="0" distL="114300" distR="114300">
            <wp:extent cx="5268595" cy="1872615"/>
            <wp:effectExtent l="0" t="0" r="0" b="0"/>
            <wp:docPr id="1" name="图片 1" descr="图1_松材线虫关键死亡事件温度响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1_松材线虫关键死亡事件温度响应"/>
                    <pic:cNvPicPr>
                      <a:picLocks noChangeAspect="1"/>
                    </pic:cNvPicPr>
                  </pic:nvPicPr>
                  <pic:blipFill>
                    <a:blip r:embed="rId7"/>
                    <a:srcRect t="7089"/>
                    <a:stretch>
                      <a:fillRect/>
                    </a:stretch>
                  </pic:blipFill>
                  <pic:spPr>
                    <a:xfrm>
                      <a:off x="0" y="0"/>
                      <a:ext cx="5268595" cy="1872615"/>
                    </a:xfrm>
                    <a:prstGeom prst="rect">
                      <a:avLst/>
                    </a:prstGeom>
                  </pic:spPr>
                </pic:pic>
              </a:graphicData>
            </a:graphic>
          </wp:inline>
        </w:drawing>
      </w:r>
      <w:r>
        <w:rPr>
          <w:rFonts w:hint="eastAsia" w:ascii="宋体"/>
          <w:b/>
          <w:bCs/>
          <w:color w:val="000000" w:themeColor="text1"/>
          <w:kern w:val="0"/>
          <w:szCs w:val="24"/>
          <w:lang w:val="en-US" w:eastAsia="zh-CN"/>
          <w14:textFill>
            <w14:solidFill>
              <w14:schemeClr w14:val="tx1"/>
            </w14:solidFill>
          </w14:textFill>
        </w:rPr>
        <w:t xml:space="preserve">图2 </w:t>
      </w:r>
      <w:r>
        <w:rPr>
          <w:rFonts w:hint="eastAsia" w:ascii="宋体"/>
          <w:color w:val="000000" w:themeColor="text1"/>
          <w:kern w:val="0"/>
          <w:szCs w:val="24"/>
          <w:lang w:val="en-US" w:eastAsia="zh-CN"/>
          <w14:textFill>
            <w14:solidFill>
              <w14:schemeClr w14:val="tx1"/>
            </w14:solidFill>
          </w14:textFill>
        </w:rPr>
        <w:t xml:space="preserve"> </w:t>
      </w:r>
      <w:r>
        <w:rPr>
          <w:rFonts w:hint="eastAsia" w:ascii="宋体"/>
          <w:color w:val="000000" w:themeColor="text1"/>
          <w:kern w:val="0"/>
          <w:szCs w:val="24"/>
          <w14:textFill>
            <w14:solidFill>
              <w14:schemeClr w14:val="tx1"/>
            </w14:solidFill>
          </w14:textFill>
        </w:rPr>
        <w:t>松材线虫三类关键死亡事件时间对处理温度的响应</w:t>
      </w:r>
    </w:p>
    <w:p w14:paraId="178677D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firstLine="420" w:firstLineChars="200"/>
        <w:jc w:val="left"/>
        <w:textAlignment w:val="auto"/>
        <w:outlineLvl w:val="1"/>
        <w:rPr>
          <w:rFonts w:hint="default" w:ascii="Times New Roman" w:hAnsi="Times New Roman" w:cs="Times New Roman"/>
          <w:color w:val="000000" w:themeColor="text1"/>
          <w:kern w:val="0"/>
          <w:szCs w:val="24"/>
          <w14:textFill>
            <w14:solidFill>
              <w14:schemeClr w14:val="tx1"/>
            </w14:solidFill>
          </w14:textFill>
        </w:rPr>
      </w:pPr>
      <w:r>
        <w:rPr>
          <w:rFonts w:hint="default" w:ascii="Times New Roman" w:hAnsi="Times New Roman" w:cs="Times New Roman"/>
          <w:color w:val="000000" w:themeColor="text1"/>
          <w:kern w:val="0"/>
          <w:szCs w:val="24"/>
          <w:lang w:val="en-US" w:eastAsia="zh-CN"/>
          <w14:textFill>
            <w14:solidFill>
              <w14:schemeClr w14:val="tx1"/>
            </w14:solidFill>
          </w14:textFill>
        </w:rPr>
        <w:t>如图2所示，</w:t>
      </w:r>
      <w:r>
        <w:rPr>
          <w:rFonts w:hint="default" w:ascii="Times New Roman" w:hAnsi="Times New Roman" w:cs="Times New Roman"/>
          <w:color w:val="000000" w:themeColor="text1"/>
          <w:kern w:val="0"/>
          <w:szCs w:val="24"/>
          <w14:textFill>
            <w14:solidFill>
              <w14:schemeClr w14:val="tx1"/>
            </w14:solidFill>
          </w14:textFill>
        </w:rPr>
        <w:t>Tfirst、T50和T100分别表示</w:t>
      </w:r>
      <w:r>
        <w:rPr>
          <w:rFonts w:hint="default" w:ascii="Times New Roman" w:hAnsi="Times New Roman" w:cs="Times New Roman"/>
          <w:color w:val="000000" w:themeColor="text1"/>
          <w:kern w:val="0"/>
          <w:szCs w:val="24"/>
          <w:lang w:val="en-US" w:eastAsia="zh-CN"/>
          <w14:textFill>
            <w14:solidFill>
              <w14:schemeClr w14:val="tx1"/>
            </w14:solidFill>
          </w14:textFill>
        </w:rPr>
        <w:t>不同温度下</w:t>
      </w:r>
      <w:r>
        <w:rPr>
          <w:rFonts w:hint="default" w:ascii="Times New Roman" w:hAnsi="Times New Roman" w:cs="Times New Roman"/>
          <w:color w:val="000000" w:themeColor="text1"/>
          <w:kern w:val="0"/>
          <w:szCs w:val="24"/>
          <w14:textFill>
            <w14:solidFill>
              <w14:schemeClr w14:val="tx1"/>
            </w14:solidFill>
          </w14:textFill>
        </w:rPr>
        <w:t>首条</w:t>
      </w:r>
      <w:r>
        <w:rPr>
          <w:rFonts w:hint="default" w:ascii="Times New Roman" w:hAnsi="Times New Roman" w:cs="Times New Roman"/>
          <w:color w:val="000000" w:themeColor="text1"/>
          <w:kern w:val="0"/>
          <w:szCs w:val="24"/>
          <w:lang w:val="en-US" w:eastAsia="zh-CN"/>
          <w14:textFill>
            <w14:solidFill>
              <w14:schemeClr w14:val="tx1"/>
            </w14:solidFill>
          </w14:textFill>
        </w:rPr>
        <w:t>松材线虫的</w:t>
      </w:r>
      <w:r>
        <w:rPr>
          <w:rFonts w:hint="default" w:ascii="Times New Roman" w:hAnsi="Times New Roman" w:cs="Times New Roman"/>
          <w:color w:val="000000" w:themeColor="text1"/>
          <w:kern w:val="0"/>
          <w:szCs w:val="24"/>
          <w14:textFill>
            <w14:solidFill>
              <w14:schemeClr w14:val="tx1"/>
            </w14:solidFill>
          </w14:textFill>
        </w:rPr>
        <w:t>死亡时间、半数死亡时间和全部死亡时间；数据为5次重复的均值及标准差。进一步分析表明，低温条件下松材线虫群体存在较为明显的死亡拖尾，即多数线虫死亡后，少量耐热个体仍需经过较长时间才能完全死亡。45℃下，半数死亡至全部死亡阶段占全部死亡时间的（92.59±2.07）%；随着温度升高，死亡扩展阶段明显缩短，65℃该比例下降至（44.09±16.52）%（图</w:t>
      </w:r>
      <w:r>
        <w:rPr>
          <w:rFonts w:hint="eastAsia" w:ascii="Times New Roman" w:hAnsi="Times New Roman" w:cs="Times New Roman"/>
          <w:color w:val="000000" w:themeColor="text1"/>
          <w:kern w:val="0"/>
          <w:szCs w:val="24"/>
          <w:lang w:val="en-US" w:eastAsia="zh-CN"/>
          <w14:textFill>
            <w14:solidFill>
              <w14:schemeClr w14:val="tx1"/>
            </w14:solidFill>
          </w14:textFill>
        </w:rPr>
        <w:t>3</w:t>
      </w:r>
      <w:r>
        <w:rPr>
          <w:rFonts w:hint="default" w:ascii="Times New Roman" w:hAnsi="Times New Roman" w:cs="Times New Roman"/>
          <w:color w:val="000000" w:themeColor="text1"/>
          <w:kern w:val="0"/>
          <w:szCs w:val="24"/>
          <w14:textFill>
            <w14:solidFill>
              <w14:schemeClr w14:val="tx1"/>
            </w14:solidFill>
          </w14:textFill>
        </w:rPr>
        <w:t>）。表明提高处理温度不仅能够使松材线虫更早死亡，而且能够明显压缩耐热个体的死亡拖尾，实现群体快速、完全灭活。</w:t>
      </w:r>
    </w:p>
    <w:p w14:paraId="6208954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firstLine="0" w:firstLineChars="0"/>
        <w:jc w:val="center"/>
        <w:textAlignment w:val="auto"/>
        <w:outlineLvl w:val="1"/>
        <w:rPr>
          <w:rFonts w:hint="eastAsia" w:ascii="宋体" w:eastAsia="宋体"/>
          <w:color w:val="FF0000"/>
          <w:kern w:val="0"/>
          <w:szCs w:val="24"/>
          <w:lang w:eastAsia="zh-CN"/>
        </w:rPr>
      </w:pPr>
      <w:r>
        <w:rPr>
          <w:rFonts w:hint="eastAsia" w:ascii="宋体" w:eastAsia="宋体"/>
          <w:color w:val="FF0000"/>
          <w:kern w:val="0"/>
          <w:szCs w:val="24"/>
          <w:lang w:eastAsia="zh-CN"/>
        </w:rPr>
        <w:drawing>
          <wp:inline distT="0" distB="0" distL="114300" distR="114300">
            <wp:extent cx="5271135" cy="2205355"/>
            <wp:effectExtent l="0" t="0" r="0" b="0"/>
            <wp:docPr id="2" name="图片 2" descr="图2_松材线虫死亡扩展阶段及死亡拖尾占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2_松材线虫死亡扩展阶段及死亡拖尾占比"/>
                    <pic:cNvPicPr>
                      <a:picLocks noChangeAspect="1"/>
                    </pic:cNvPicPr>
                  </pic:nvPicPr>
                  <pic:blipFill>
                    <a:blip r:embed="rId8"/>
                    <a:srcRect t="8485"/>
                    <a:stretch>
                      <a:fillRect/>
                    </a:stretch>
                  </pic:blipFill>
                  <pic:spPr>
                    <a:xfrm>
                      <a:off x="0" y="0"/>
                      <a:ext cx="5271135" cy="2205355"/>
                    </a:xfrm>
                    <a:prstGeom prst="rect">
                      <a:avLst/>
                    </a:prstGeom>
                  </pic:spPr>
                </pic:pic>
              </a:graphicData>
            </a:graphic>
          </wp:inline>
        </w:drawing>
      </w:r>
    </w:p>
    <w:p w14:paraId="57FCFBCC">
      <w:pPr>
        <w:widowControl/>
        <w:tabs>
          <w:tab w:val="center" w:pos="4201"/>
          <w:tab w:val="right" w:leader="dot" w:pos="9298"/>
        </w:tabs>
        <w:autoSpaceDE w:val="0"/>
        <w:autoSpaceDN w:val="0"/>
        <w:spacing w:line="360" w:lineRule="auto"/>
        <w:ind w:firstLine="422" w:firstLineChars="200"/>
        <w:jc w:val="center"/>
        <w:outlineLvl w:val="1"/>
        <w:rPr>
          <w:rFonts w:hint="eastAsia" w:ascii="宋体"/>
          <w:b/>
          <w:bCs/>
          <w:color w:val="000000" w:themeColor="text1"/>
          <w:kern w:val="0"/>
          <w:szCs w:val="24"/>
          <w:lang w:eastAsia="zh-CN"/>
          <w14:textFill>
            <w14:solidFill>
              <w14:schemeClr w14:val="tx1"/>
            </w14:solidFill>
          </w14:textFill>
        </w:rPr>
      </w:pPr>
      <w:r>
        <w:rPr>
          <w:rFonts w:hint="eastAsia" w:ascii="宋体"/>
          <w:b/>
          <w:bCs/>
          <w:color w:val="000000" w:themeColor="text1"/>
          <w:kern w:val="0"/>
          <w:szCs w:val="24"/>
          <w14:textFill>
            <w14:solidFill>
              <w14:schemeClr w14:val="tx1"/>
            </w14:solidFill>
          </w14:textFill>
        </w:rPr>
        <w:t>图</w:t>
      </w:r>
      <w:r>
        <w:rPr>
          <w:rFonts w:hint="eastAsia" w:ascii="宋体"/>
          <w:b/>
          <w:bCs/>
          <w:color w:val="000000" w:themeColor="text1"/>
          <w:kern w:val="0"/>
          <w:szCs w:val="24"/>
          <w:lang w:val="en-US" w:eastAsia="zh-CN"/>
          <w14:textFill>
            <w14:solidFill>
              <w14:schemeClr w14:val="tx1"/>
            </w14:solidFill>
          </w14:textFill>
        </w:rPr>
        <w:t xml:space="preserve">3 </w:t>
      </w:r>
      <w:r>
        <w:rPr>
          <w:rFonts w:hint="eastAsia" w:ascii="宋体"/>
          <w:b/>
          <w:bCs/>
          <w:color w:val="000000" w:themeColor="text1"/>
          <w:kern w:val="0"/>
          <w:szCs w:val="24"/>
          <w14:textFill>
            <w14:solidFill>
              <w14:schemeClr w14:val="tx1"/>
            </w14:solidFill>
          </w14:textFill>
        </w:rPr>
        <w:t>不同温度下松材线虫死亡扩展阶段及死亡拖尾占比</w:t>
      </w:r>
      <w:r>
        <w:rPr>
          <w:rFonts w:hint="eastAsia" w:ascii="宋体"/>
          <w:b/>
          <w:bCs/>
          <w:color w:val="000000" w:themeColor="text1"/>
          <w:kern w:val="0"/>
          <w:szCs w:val="24"/>
          <w:lang w:eastAsia="zh-CN"/>
          <w14:textFill>
            <w14:solidFill>
              <w14:schemeClr w14:val="tx1"/>
            </w14:solidFill>
          </w14:textFill>
        </w:rPr>
        <w:t>。</w:t>
      </w:r>
    </w:p>
    <w:p w14:paraId="4E71E8DB">
      <w:pPr>
        <w:widowControl/>
        <w:tabs>
          <w:tab w:val="center" w:pos="4201"/>
          <w:tab w:val="right" w:leader="dot" w:pos="9298"/>
        </w:tabs>
        <w:autoSpaceDE w:val="0"/>
        <w:autoSpaceDN w:val="0"/>
        <w:spacing w:line="360" w:lineRule="auto"/>
        <w:ind w:firstLine="420" w:firstLineChars="200"/>
        <w:outlineLvl w:val="1"/>
        <w:rPr>
          <w:rFonts w:hint="eastAsia" w:ascii="宋体"/>
          <w:color w:val="000000" w:themeColor="text1"/>
          <w:kern w:val="0"/>
          <w:szCs w:val="24"/>
          <w14:textFill>
            <w14:solidFill>
              <w14:schemeClr w14:val="tx1"/>
            </w14:solidFill>
          </w14:textFill>
        </w:rPr>
      </w:pPr>
      <w:r>
        <w:rPr>
          <w:rFonts w:hint="eastAsia" w:ascii="宋体"/>
          <w:color w:val="000000" w:themeColor="text1"/>
          <w:kern w:val="0"/>
          <w:szCs w:val="24"/>
          <w:lang w:val="en-US" w:eastAsia="zh-CN"/>
          <w14:textFill>
            <w14:solidFill>
              <w14:schemeClr w14:val="tx1"/>
            </w14:solidFill>
          </w14:textFill>
        </w:rPr>
        <w:t>如图3所示，</w:t>
      </w:r>
      <w:r>
        <w:rPr>
          <w:rFonts w:hint="eastAsia" w:ascii="宋体"/>
          <w:color w:val="000000" w:themeColor="text1"/>
          <w:kern w:val="0"/>
          <w:szCs w:val="24"/>
          <w14:textFill>
            <w14:solidFill>
              <w14:schemeClr w14:val="tx1"/>
            </w14:solidFill>
          </w14:textFill>
        </w:rPr>
        <w:t>死亡扩展阶段包括首条死亡至半数死亡阶段和半数死亡至全部死亡阶段</w:t>
      </w:r>
      <w:r>
        <w:rPr>
          <w:rFonts w:hint="eastAsia" w:ascii="宋体"/>
          <w:color w:val="000000" w:themeColor="text1"/>
          <w:kern w:val="0"/>
          <w:szCs w:val="24"/>
          <w:lang w:val="en-US" w:eastAsia="zh-CN"/>
          <w14:textFill>
            <w14:solidFill>
              <w14:schemeClr w14:val="tx1"/>
            </w14:solidFill>
          </w14:textFill>
        </w:rPr>
        <w:t>,</w:t>
      </w:r>
      <w:r>
        <w:rPr>
          <w:rFonts w:hint="eastAsia" w:ascii="宋体"/>
          <w:color w:val="000000" w:themeColor="text1"/>
          <w:kern w:val="0"/>
          <w:szCs w:val="24"/>
          <w14:textFill>
            <w14:solidFill>
              <w14:schemeClr w14:val="tx1"/>
            </w14:solidFill>
          </w14:textFill>
        </w:rPr>
        <w:t>死亡拖尾占比为半数死亡至全部死亡的时间占全部死亡时间的比例。数据为5次重复的均值及标准差。</w:t>
      </w:r>
      <w:r>
        <w:rPr>
          <w:rFonts w:hint="eastAsia" w:ascii="宋体"/>
          <w:b/>
          <w:bCs/>
          <w:color w:val="000000" w:themeColor="text1"/>
          <w:kern w:val="0"/>
          <w:szCs w:val="24"/>
          <w14:textFill>
            <w14:solidFill>
              <w14:schemeClr w14:val="tx1"/>
            </w14:solidFill>
          </w14:textFill>
        </w:rPr>
        <w:t>松材线虫对高温处理高度敏感，在65℃下最长41.41s即可达到全部死亡，且未见复苏</w:t>
      </w:r>
      <w:r>
        <w:rPr>
          <w:rFonts w:hint="eastAsia" w:ascii="宋体"/>
          <w:color w:val="000000" w:themeColor="text1"/>
          <w:kern w:val="0"/>
          <w:szCs w:val="24"/>
          <w14:textFill>
            <w14:solidFill>
              <w14:schemeClr w14:val="tx1"/>
            </w14:solidFill>
          </w14:textFill>
        </w:rPr>
        <w:t>。</w:t>
      </w:r>
      <w:r>
        <w:rPr>
          <w:rFonts w:hint="eastAsia" w:ascii="宋体"/>
          <w:b/>
          <w:bCs/>
          <w:color w:val="000000" w:themeColor="text1"/>
          <w:kern w:val="0"/>
          <w:szCs w:val="24"/>
          <w14:textFill>
            <w14:solidFill>
              <w14:schemeClr w14:val="tx1"/>
            </w14:solidFill>
          </w14:textFill>
        </w:rPr>
        <w:t>袋料栽培采用100℃灭菌12 h，其处理温度比试验中实现快速完全灭活的65℃高35℃，持温时间达到720 min，远高于松材线虫在45～65 ℃条件下的全部死亡时间</w:t>
      </w:r>
      <w:r>
        <w:rPr>
          <w:rFonts w:hint="eastAsia" w:ascii="宋体"/>
          <w:color w:val="000000" w:themeColor="text1"/>
          <w:kern w:val="0"/>
          <w:szCs w:val="24"/>
          <w14:textFill>
            <w14:solidFill>
              <w14:schemeClr w14:val="tx1"/>
            </w14:solidFill>
          </w14:textFill>
        </w:rPr>
        <w:t>。因此，在袋料物料按照规定完成100℃灭菌并持续12 h的条件下，能够彻底杀灭其中的松材线虫，为松材线虫病疫木粉碎物作为茯苓袋料栽培原料提供充分的试验数据支撑。</w:t>
      </w:r>
    </w:p>
    <w:p w14:paraId="59B5314B">
      <w:pPr>
        <w:widowControl/>
        <w:tabs>
          <w:tab w:val="center" w:pos="4201"/>
          <w:tab w:val="right" w:leader="dot" w:pos="9298"/>
        </w:tabs>
        <w:autoSpaceDE w:val="0"/>
        <w:autoSpaceDN w:val="0"/>
        <w:spacing w:line="360" w:lineRule="auto"/>
        <w:ind w:firstLine="211" w:firstLineChars="100"/>
        <w:outlineLvl w:val="1"/>
        <w:rPr>
          <w:rFonts w:ascii="宋体"/>
          <w:b/>
          <w:bCs/>
          <w:kern w:val="0"/>
          <w:szCs w:val="24"/>
        </w:rPr>
      </w:pPr>
      <w:r>
        <w:rPr>
          <w:rFonts w:hint="eastAsia" w:ascii="宋体"/>
          <w:b/>
          <w:bCs/>
          <w:kern w:val="0"/>
          <w:szCs w:val="24"/>
        </w:rPr>
        <w:t>（3）菌种准备</w:t>
      </w:r>
    </w:p>
    <w:p w14:paraId="5AAE4A3E">
      <w:pPr>
        <w:widowControl/>
        <w:tabs>
          <w:tab w:val="center" w:pos="4201"/>
          <w:tab w:val="right" w:leader="dot" w:pos="9298"/>
        </w:tabs>
        <w:autoSpaceDE w:val="0"/>
        <w:autoSpaceDN w:val="0"/>
        <w:spacing w:line="360" w:lineRule="auto"/>
        <w:ind w:firstLine="422" w:firstLineChars="200"/>
        <w:outlineLvl w:val="1"/>
      </w:pPr>
      <w:r>
        <w:rPr>
          <w:rFonts w:hint="eastAsia" w:ascii="宋体"/>
          <w:b/>
          <w:bCs/>
          <w:kern w:val="0"/>
          <w:szCs w:val="24"/>
        </w:rPr>
        <w:t>品种与质量要求：</w:t>
      </w:r>
      <w:r>
        <w:rPr>
          <w:rFonts w:hint="eastAsia" w:ascii="宋体"/>
          <w:kern w:val="0"/>
          <w:szCs w:val="24"/>
        </w:rPr>
        <w:t>选用当地适应性强、性状稳定的优良茯苓菌株。栽培种菌包完整无破损，肉眼观测菌丝洁白致密、无杂菌、无发黄、无子实体产生，菌龄以30d-60d为宜。</w:t>
      </w:r>
    </w:p>
    <w:p w14:paraId="3DEC2D88">
      <w:pPr>
        <w:widowControl/>
        <w:tabs>
          <w:tab w:val="center" w:pos="4201"/>
          <w:tab w:val="right" w:leader="dot" w:pos="9298"/>
        </w:tabs>
        <w:autoSpaceDE w:val="0"/>
        <w:autoSpaceDN w:val="0"/>
        <w:spacing w:line="360" w:lineRule="auto"/>
        <w:ind w:firstLine="422" w:firstLineChars="200"/>
        <w:outlineLvl w:val="1"/>
        <w:rPr>
          <w:rFonts w:ascii="宋体"/>
          <w:kern w:val="0"/>
          <w:szCs w:val="24"/>
        </w:rPr>
      </w:pPr>
      <w:r>
        <w:rPr>
          <w:rFonts w:hint="eastAsia" w:ascii="宋体"/>
          <w:b/>
          <w:bCs/>
          <w:kern w:val="0"/>
          <w:szCs w:val="24"/>
        </w:rPr>
        <w:t>运输与储存：</w:t>
      </w:r>
      <w:r>
        <w:rPr>
          <w:rFonts w:hint="eastAsia" w:ascii="宋体"/>
          <w:kern w:val="0"/>
          <w:szCs w:val="24"/>
        </w:rPr>
        <w:t>栽培种应在菌丝满袋后及时使用，储存时需将菌种装入包装袋中，单层摆放于10℃-25℃空间，不得叠放以免局部温度过高导致烧菌。</w:t>
      </w:r>
    </w:p>
    <w:p w14:paraId="16DEF5B5">
      <w:pPr>
        <w:widowControl/>
        <w:tabs>
          <w:tab w:val="center" w:pos="4201"/>
          <w:tab w:val="right" w:leader="dot" w:pos="9298"/>
        </w:tabs>
        <w:autoSpaceDE w:val="0"/>
        <w:autoSpaceDN w:val="0"/>
        <w:spacing w:line="360" w:lineRule="auto"/>
        <w:ind w:firstLine="440" w:firstLineChars="200"/>
        <w:outlineLvl w:val="1"/>
        <w:rPr>
          <w:rFonts w:hint="eastAsia" w:ascii="宋体" w:hAnsi="宋体"/>
          <w:kern w:val="0"/>
          <w:sz w:val="22"/>
          <w:szCs w:val="22"/>
        </w:rPr>
      </w:pPr>
      <w:r>
        <w:rPr>
          <w:rFonts w:hint="eastAsia" w:ascii="宋体" w:hAnsi="宋体"/>
          <w:kern w:val="0"/>
          <w:sz w:val="22"/>
          <w:szCs w:val="22"/>
        </w:rPr>
        <w:t>选用当地适应性强、性状稳定的优良菌株和同品种菌核嫁接；菌种要求菌丝洁白致密、无杂菌无异味，菌龄25</w:t>
      </w:r>
      <w:r>
        <w:rPr>
          <w:rFonts w:hint="eastAsia"/>
          <w:kern w:val="0"/>
          <w:sz w:val="22"/>
          <w:szCs w:val="22"/>
        </w:rPr>
        <w:t>-</w:t>
      </w:r>
      <w:r>
        <w:rPr>
          <w:rFonts w:hint="eastAsia" w:ascii="宋体" w:hAnsi="宋体"/>
          <w:kern w:val="0"/>
          <w:sz w:val="22"/>
          <w:szCs w:val="22"/>
        </w:rPr>
        <w:t>45天，接种成活率≥96%、结苓率≥90%</w:t>
      </w:r>
      <w:r>
        <w:rPr>
          <w:rFonts w:hint="eastAsia"/>
          <w:kern w:val="0"/>
          <w:sz w:val="22"/>
          <w:szCs w:val="22"/>
        </w:rPr>
        <w:t>，</w:t>
      </w:r>
      <w:r>
        <w:rPr>
          <w:rFonts w:hint="eastAsia" w:ascii="宋体" w:hAnsi="宋体"/>
          <w:kern w:val="0"/>
          <w:sz w:val="22"/>
          <w:szCs w:val="22"/>
        </w:rPr>
        <w:t>以上指标经优良菌株对比试验确定。</w:t>
      </w:r>
    </w:p>
    <w:p w14:paraId="56B6046C">
      <w:pPr>
        <w:spacing w:line="360" w:lineRule="auto"/>
        <w:ind w:firstLine="422" w:firstLineChars="200"/>
        <w:jc w:val="center"/>
        <w:rPr>
          <w:b/>
          <w:bCs/>
        </w:rPr>
      </w:pPr>
      <w:r>
        <w:rPr>
          <w:rFonts w:hint="eastAsia"/>
          <w:b/>
          <w:bCs/>
          <w:lang w:val="en-US" w:eastAsia="zh-CN"/>
        </w:rPr>
        <w:t>表5 茯苓</w:t>
      </w:r>
      <w:r>
        <w:rPr>
          <w:rFonts w:hint="eastAsia"/>
          <w:b/>
          <w:bCs/>
        </w:rPr>
        <w:t>菌种要求</w:t>
      </w:r>
      <w:r>
        <w:rPr>
          <w:rFonts w:hint="eastAsia"/>
          <w:b/>
          <w:bCs/>
          <w:lang w:val="en-US" w:eastAsia="zh-CN"/>
        </w:rPr>
        <w:t>和检测方法</w:t>
      </w:r>
      <w:r>
        <w:rPr>
          <w:rFonts w:hint="eastAsia"/>
          <w:b/>
          <w:bCs/>
        </w:rPr>
        <w:t>（参考</w:t>
      </w:r>
      <w:r>
        <w:rPr>
          <w:b/>
          <w:bCs/>
        </w:rPr>
        <w:t>GB/T 46506-2025</w:t>
      </w:r>
      <w:r>
        <w:rPr>
          <w:rFonts w:hint="eastAsia"/>
          <w:b/>
          <w:bCs/>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070"/>
        <w:gridCol w:w="2192"/>
        <w:gridCol w:w="2130"/>
      </w:tblGrid>
      <w:tr w14:paraId="52C4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gridSpan w:val="2"/>
            <w:vAlign w:val="center"/>
          </w:tcPr>
          <w:p w14:paraId="1FD4768F">
            <w:pPr>
              <w:autoSpaceDE w:val="0"/>
              <w:autoSpaceDN w:val="0"/>
              <w:adjustRightInd w:val="0"/>
              <w:jc w:val="center"/>
              <w:rPr>
                <w:rFonts w:hint="eastAsia" w:ascii="宋体" w:hAnsi="宋体" w:eastAsia="宋体"/>
              </w:rPr>
            </w:pPr>
            <w:r>
              <w:rPr>
                <w:rFonts w:hint="eastAsia" w:ascii="宋体" w:hAnsi="宋体" w:eastAsia="宋体"/>
              </w:rPr>
              <w:t>项目</w:t>
            </w:r>
          </w:p>
        </w:tc>
        <w:tc>
          <w:tcPr>
            <w:tcW w:w="2192" w:type="dxa"/>
            <w:vAlign w:val="center"/>
          </w:tcPr>
          <w:p w14:paraId="34D4FED4">
            <w:pPr>
              <w:autoSpaceDE w:val="0"/>
              <w:autoSpaceDN w:val="0"/>
              <w:adjustRightInd w:val="0"/>
              <w:jc w:val="center"/>
              <w:rPr>
                <w:rFonts w:hint="eastAsia" w:ascii="宋体" w:hAnsi="宋体" w:eastAsia="宋体"/>
              </w:rPr>
            </w:pPr>
            <w:r>
              <w:rPr>
                <w:rFonts w:hint="eastAsia" w:ascii="宋体" w:hAnsi="宋体" w:eastAsia="宋体"/>
              </w:rPr>
              <w:t>要求</w:t>
            </w:r>
          </w:p>
        </w:tc>
        <w:tc>
          <w:tcPr>
            <w:tcW w:w="2130" w:type="dxa"/>
            <w:vAlign w:val="center"/>
          </w:tcPr>
          <w:p w14:paraId="6A40CB4D">
            <w:pPr>
              <w:autoSpaceDE w:val="0"/>
              <w:autoSpaceDN w:val="0"/>
              <w:adjustRightInd w:val="0"/>
              <w:jc w:val="center"/>
              <w:rPr>
                <w:rFonts w:hint="eastAsia" w:ascii="宋体" w:hAnsi="宋体" w:eastAsia="宋体"/>
              </w:rPr>
            </w:pPr>
            <w:r>
              <w:rPr>
                <w:rFonts w:hint="eastAsia" w:ascii="宋体" w:hAnsi="宋体" w:eastAsia="宋体"/>
              </w:rPr>
              <w:t>实验方法</w:t>
            </w:r>
          </w:p>
        </w:tc>
      </w:tr>
      <w:tr w14:paraId="1B23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gridSpan w:val="2"/>
            <w:vAlign w:val="center"/>
          </w:tcPr>
          <w:p w14:paraId="4E57DF1B">
            <w:pPr>
              <w:autoSpaceDE w:val="0"/>
              <w:autoSpaceDN w:val="0"/>
              <w:adjustRightInd w:val="0"/>
              <w:jc w:val="both"/>
              <w:rPr>
                <w:rFonts w:hint="eastAsia" w:ascii="宋体" w:hAnsi="宋体" w:eastAsia="宋体"/>
              </w:rPr>
            </w:pPr>
            <w:r>
              <w:rPr>
                <w:rFonts w:hint="eastAsia" w:ascii="宋体" w:hAnsi="宋体" w:eastAsia="宋体"/>
              </w:rPr>
              <w:t>容器</w:t>
            </w:r>
          </w:p>
        </w:tc>
        <w:tc>
          <w:tcPr>
            <w:tcW w:w="2192" w:type="dxa"/>
            <w:vAlign w:val="center"/>
          </w:tcPr>
          <w:p w14:paraId="1C16F6BD">
            <w:pPr>
              <w:autoSpaceDE w:val="0"/>
              <w:autoSpaceDN w:val="0"/>
              <w:adjustRightInd w:val="0"/>
              <w:jc w:val="both"/>
              <w:rPr>
                <w:rFonts w:hint="eastAsia" w:ascii="宋体" w:hAnsi="宋体" w:eastAsia="宋体"/>
              </w:rPr>
            </w:pPr>
            <w:r>
              <w:rPr>
                <w:rFonts w:hint="eastAsia" w:ascii="宋体" w:hAnsi="宋体" w:eastAsia="宋体"/>
              </w:rPr>
              <w:t>洁净、透明、完整、无污染</w:t>
            </w:r>
          </w:p>
        </w:tc>
        <w:tc>
          <w:tcPr>
            <w:tcW w:w="2130" w:type="dxa"/>
            <w:vMerge w:val="restart"/>
            <w:vAlign w:val="center"/>
          </w:tcPr>
          <w:p w14:paraId="380461AA">
            <w:pPr>
              <w:autoSpaceDE w:val="0"/>
              <w:autoSpaceDN w:val="0"/>
              <w:adjustRightInd w:val="0"/>
              <w:jc w:val="both"/>
              <w:rPr>
                <w:rFonts w:hint="eastAsia" w:ascii="宋体" w:hAnsi="宋体" w:eastAsia="宋体"/>
              </w:rPr>
            </w:pPr>
            <w:r>
              <w:rPr>
                <w:rFonts w:ascii="宋体" w:hAnsi="宋体" w:eastAsia="宋体"/>
              </w:rPr>
              <w:t>目视检</w:t>
            </w:r>
            <w:r>
              <w:rPr>
                <w:rFonts w:hint="eastAsia" w:ascii="宋体" w:hAnsi="宋体" w:eastAsia="宋体"/>
              </w:rPr>
              <w:t>查</w:t>
            </w:r>
          </w:p>
        </w:tc>
      </w:tr>
      <w:tr w14:paraId="1091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gridSpan w:val="2"/>
            <w:vAlign w:val="center"/>
          </w:tcPr>
          <w:p w14:paraId="3D3E5CF7">
            <w:pPr>
              <w:autoSpaceDE w:val="0"/>
              <w:autoSpaceDN w:val="0"/>
              <w:adjustRightInd w:val="0"/>
              <w:jc w:val="both"/>
              <w:rPr>
                <w:rFonts w:hint="eastAsia" w:ascii="宋体" w:hAnsi="宋体" w:eastAsia="宋体"/>
              </w:rPr>
            </w:pPr>
            <w:r>
              <w:rPr>
                <w:rFonts w:hint="eastAsia" w:ascii="宋体" w:hAnsi="宋体" w:eastAsia="宋体"/>
              </w:rPr>
              <w:t>棉塞或塑料盖</w:t>
            </w:r>
          </w:p>
        </w:tc>
        <w:tc>
          <w:tcPr>
            <w:tcW w:w="2192" w:type="dxa"/>
            <w:vAlign w:val="center"/>
          </w:tcPr>
          <w:p w14:paraId="1C813198">
            <w:pPr>
              <w:autoSpaceDE w:val="0"/>
              <w:autoSpaceDN w:val="0"/>
              <w:adjustRightInd w:val="0"/>
              <w:jc w:val="both"/>
              <w:rPr>
                <w:rFonts w:hint="eastAsia" w:ascii="宋体" w:hAnsi="宋体" w:eastAsia="宋体"/>
              </w:rPr>
            </w:pPr>
            <w:r>
              <w:rPr>
                <w:rFonts w:hint="eastAsia" w:ascii="宋体" w:hAnsi="宋体" w:eastAsia="宋体"/>
              </w:rPr>
              <w:t>干净、完整、满足透气性和滤菌要求</w:t>
            </w:r>
          </w:p>
        </w:tc>
        <w:tc>
          <w:tcPr>
            <w:tcW w:w="2130" w:type="dxa"/>
            <w:vMerge w:val="continue"/>
            <w:vAlign w:val="center"/>
          </w:tcPr>
          <w:p w14:paraId="23586119">
            <w:pPr>
              <w:autoSpaceDE w:val="0"/>
              <w:autoSpaceDN w:val="0"/>
              <w:adjustRightInd w:val="0"/>
              <w:jc w:val="both"/>
              <w:rPr>
                <w:rFonts w:hint="eastAsia" w:ascii="宋体" w:hAnsi="宋体" w:eastAsia="宋体"/>
              </w:rPr>
            </w:pPr>
          </w:p>
        </w:tc>
      </w:tr>
      <w:tr w14:paraId="6DA7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2130" w:type="dxa"/>
            <w:vMerge w:val="restart"/>
            <w:vAlign w:val="center"/>
          </w:tcPr>
          <w:p w14:paraId="421F7A91">
            <w:pPr>
              <w:autoSpaceDE w:val="0"/>
              <w:autoSpaceDN w:val="0"/>
              <w:adjustRightInd w:val="0"/>
              <w:jc w:val="both"/>
              <w:rPr>
                <w:rFonts w:hint="eastAsia" w:ascii="宋体" w:hAnsi="宋体" w:eastAsia="宋体"/>
              </w:rPr>
            </w:pPr>
            <w:r>
              <w:rPr>
                <w:rFonts w:hint="eastAsia" w:ascii="宋体" w:hAnsi="宋体" w:eastAsia="宋体"/>
              </w:rPr>
              <w:t>菌种外观</w:t>
            </w:r>
          </w:p>
        </w:tc>
        <w:tc>
          <w:tcPr>
            <w:tcW w:w="2070" w:type="dxa"/>
            <w:vAlign w:val="center"/>
          </w:tcPr>
          <w:p w14:paraId="4CADE6D0">
            <w:pPr>
              <w:autoSpaceDE w:val="0"/>
              <w:autoSpaceDN w:val="0"/>
              <w:adjustRightInd w:val="0"/>
              <w:jc w:val="both"/>
              <w:rPr>
                <w:rFonts w:hint="eastAsia" w:ascii="宋体" w:hAnsi="宋体" w:eastAsia="宋体"/>
              </w:rPr>
            </w:pPr>
            <w:r>
              <w:rPr>
                <w:rFonts w:hint="eastAsia" w:ascii="宋体" w:hAnsi="宋体" w:eastAsia="宋体"/>
              </w:rPr>
              <w:t>菌丝生长量</w:t>
            </w:r>
          </w:p>
        </w:tc>
        <w:tc>
          <w:tcPr>
            <w:tcW w:w="2192" w:type="dxa"/>
            <w:vAlign w:val="center"/>
          </w:tcPr>
          <w:p w14:paraId="467CA71C">
            <w:pPr>
              <w:autoSpaceDE w:val="0"/>
              <w:autoSpaceDN w:val="0"/>
              <w:adjustRightInd w:val="0"/>
              <w:jc w:val="both"/>
              <w:rPr>
                <w:rFonts w:hint="eastAsia" w:ascii="宋体" w:hAnsi="宋体" w:eastAsia="宋体"/>
              </w:rPr>
            </w:pPr>
            <w:r>
              <w:rPr>
                <w:rFonts w:hint="eastAsia" w:ascii="宋体" w:hAnsi="宋体" w:eastAsia="宋体"/>
              </w:rPr>
              <w:t>布满容器</w:t>
            </w:r>
          </w:p>
        </w:tc>
        <w:tc>
          <w:tcPr>
            <w:tcW w:w="2130" w:type="dxa"/>
            <w:vMerge w:val="continue"/>
            <w:vAlign w:val="center"/>
          </w:tcPr>
          <w:p w14:paraId="3723A614">
            <w:pPr>
              <w:autoSpaceDE w:val="0"/>
              <w:autoSpaceDN w:val="0"/>
              <w:adjustRightInd w:val="0"/>
              <w:jc w:val="both"/>
              <w:rPr>
                <w:rFonts w:hint="eastAsia" w:ascii="宋体" w:hAnsi="宋体" w:eastAsia="宋体"/>
              </w:rPr>
            </w:pPr>
          </w:p>
        </w:tc>
      </w:tr>
      <w:tr w14:paraId="668C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2130" w:type="dxa"/>
            <w:vMerge w:val="continue"/>
            <w:vAlign w:val="center"/>
          </w:tcPr>
          <w:p w14:paraId="3F0FF9F1">
            <w:pPr>
              <w:autoSpaceDE w:val="0"/>
              <w:autoSpaceDN w:val="0"/>
              <w:adjustRightInd w:val="0"/>
              <w:jc w:val="both"/>
              <w:rPr>
                <w:rFonts w:hint="eastAsia" w:ascii="宋体" w:hAnsi="宋体" w:eastAsia="宋体"/>
              </w:rPr>
            </w:pPr>
          </w:p>
        </w:tc>
        <w:tc>
          <w:tcPr>
            <w:tcW w:w="2070" w:type="dxa"/>
            <w:vAlign w:val="center"/>
          </w:tcPr>
          <w:p w14:paraId="62F458E8">
            <w:pPr>
              <w:autoSpaceDE w:val="0"/>
              <w:autoSpaceDN w:val="0"/>
              <w:adjustRightInd w:val="0"/>
              <w:jc w:val="both"/>
              <w:rPr>
                <w:rFonts w:hint="eastAsia" w:ascii="宋体" w:hAnsi="宋体" w:eastAsia="宋体"/>
              </w:rPr>
            </w:pPr>
            <w:r>
              <w:rPr>
                <w:rFonts w:hint="eastAsia" w:ascii="宋体" w:hAnsi="宋体" w:eastAsia="宋体"/>
              </w:rPr>
              <w:t>菌丝体特征</w:t>
            </w:r>
          </w:p>
        </w:tc>
        <w:tc>
          <w:tcPr>
            <w:tcW w:w="2192" w:type="dxa"/>
            <w:vAlign w:val="center"/>
          </w:tcPr>
          <w:p w14:paraId="5303ABA0">
            <w:pPr>
              <w:autoSpaceDE w:val="0"/>
              <w:autoSpaceDN w:val="0"/>
              <w:adjustRightInd w:val="0"/>
              <w:jc w:val="both"/>
              <w:rPr>
                <w:rFonts w:hint="eastAsia" w:ascii="宋体" w:hAnsi="宋体" w:eastAsia="宋体"/>
              </w:rPr>
            </w:pPr>
            <w:r>
              <w:rPr>
                <w:rFonts w:hint="eastAsia" w:ascii="宋体" w:hAnsi="宋体" w:eastAsia="宋体"/>
              </w:rPr>
              <w:t>洁白、浓密、菌索粗壮、清晰、无高温圈、无子实体</w:t>
            </w:r>
          </w:p>
        </w:tc>
        <w:tc>
          <w:tcPr>
            <w:tcW w:w="2130" w:type="dxa"/>
            <w:vMerge w:val="continue"/>
            <w:vAlign w:val="center"/>
          </w:tcPr>
          <w:p w14:paraId="4EDBEFD1">
            <w:pPr>
              <w:autoSpaceDE w:val="0"/>
              <w:autoSpaceDN w:val="0"/>
              <w:adjustRightInd w:val="0"/>
              <w:jc w:val="both"/>
              <w:rPr>
                <w:rFonts w:hint="eastAsia" w:ascii="宋体" w:hAnsi="宋体" w:eastAsia="宋体"/>
              </w:rPr>
            </w:pPr>
          </w:p>
        </w:tc>
      </w:tr>
      <w:tr w14:paraId="71A1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2130" w:type="dxa"/>
            <w:vMerge w:val="continue"/>
            <w:vAlign w:val="center"/>
          </w:tcPr>
          <w:p w14:paraId="24A24C67">
            <w:pPr>
              <w:autoSpaceDE w:val="0"/>
              <w:autoSpaceDN w:val="0"/>
              <w:adjustRightInd w:val="0"/>
              <w:jc w:val="both"/>
              <w:rPr>
                <w:rFonts w:hint="eastAsia" w:ascii="宋体" w:hAnsi="宋体" w:eastAsia="宋体"/>
              </w:rPr>
            </w:pPr>
          </w:p>
        </w:tc>
        <w:tc>
          <w:tcPr>
            <w:tcW w:w="2070" w:type="dxa"/>
            <w:vAlign w:val="center"/>
          </w:tcPr>
          <w:p w14:paraId="0159C9EA">
            <w:pPr>
              <w:autoSpaceDE w:val="0"/>
              <w:autoSpaceDN w:val="0"/>
              <w:adjustRightInd w:val="0"/>
              <w:jc w:val="both"/>
              <w:rPr>
                <w:rFonts w:hint="eastAsia" w:ascii="宋体" w:hAnsi="宋体" w:eastAsia="宋体"/>
              </w:rPr>
            </w:pPr>
            <w:r>
              <w:rPr>
                <w:rFonts w:hint="eastAsia" w:ascii="宋体" w:hAnsi="宋体" w:eastAsia="宋体"/>
              </w:rPr>
              <w:t>表面分泌物</w:t>
            </w:r>
          </w:p>
        </w:tc>
        <w:tc>
          <w:tcPr>
            <w:tcW w:w="2192" w:type="dxa"/>
            <w:vAlign w:val="center"/>
          </w:tcPr>
          <w:p w14:paraId="6CA3B5DA">
            <w:pPr>
              <w:autoSpaceDE w:val="0"/>
              <w:autoSpaceDN w:val="0"/>
              <w:adjustRightInd w:val="0"/>
              <w:jc w:val="both"/>
              <w:rPr>
                <w:rFonts w:hint="eastAsia" w:ascii="宋体" w:hAnsi="宋体" w:eastAsia="宋体"/>
              </w:rPr>
            </w:pPr>
            <w:r>
              <w:rPr>
                <w:rFonts w:hint="eastAsia" w:ascii="宋体" w:hAnsi="宋体" w:eastAsia="宋体"/>
              </w:rPr>
              <w:t>允许存在少量无色或棕黄色液体</w:t>
            </w:r>
          </w:p>
        </w:tc>
        <w:tc>
          <w:tcPr>
            <w:tcW w:w="2130" w:type="dxa"/>
            <w:vMerge w:val="continue"/>
            <w:vAlign w:val="center"/>
          </w:tcPr>
          <w:p w14:paraId="5F844D9A">
            <w:pPr>
              <w:autoSpaceDE w:val="0"/>
              <w:autoSpaceDN w:val="0"/>
              <w:adjustRightInd w:val="0"/>
              <w:jc w:val="both"/>
              <w:rPr>
                <w:rFonts w:hint="eastAsia" w:ascii="宋体" w:hAnsi="宋体" w:eastAsia="宋体"/>
              </w:rPr>
            </w:pPr>
          </w:p>
        </w:tc>
      </w:tr>
      <w:tr w14:paraId="124C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2130" w:type="dxa"/>
            <w:vMerge w:val="continue"/>
            <w:vAlign w:val="center"/>
          </w:tcPr>
          <w:p w14:paraId="6D9DA1FB">
            <w:pPr>
              <w:autoSpaceDE w:val="0"/>
              <w:autoSpaceDN w:val="0"/>
              <w:adjustRightInd w:val="0"/>
              <w:jc w:val="both"/>
              <w:rPr>
                <w:rFonts w:hint="eastAsia" w:ascii="宋体" w:hAnsi="宋体" w:eastAsia="宋体"/>
              </w:rPr>
            </w:pPr>
          </w:p>
        </w:tc>
        <w:tc>
          <w:tcPr>
            <w:tcW w:w="2070" w:type="dxa"/>
            <w:vAlign w:val="center"/>
          </w:tcPr>
          <w:p w14:paraId="535BF96B">
            <w:pPr>
              <w:autoSpaceDE w:val="0"/>
              <w:autoSpaceDN w:val="0"/>
              <w:adjustRightInd w:val="0"/>
              <w:jc w:val="both"/>
              <w:rPr>
                <w:rFonts w:hint="eastAsia" w:ascii="宋体" w:hAnsi="宋体" w:eastAsia="宋体"/>
              </w:rPr>
            </w:pPr>
            <w:r>
              <w:rPr>
                <w:rFonts w:hint="eastAsia" w:ascii="宋体" w:hAnsi="宋体" w:eastAsia="宋体"/>
              </w:rPr>
              <w:t>杂菌菌落</w:t>
            </w:r>
          </w:p>
        </w:tc>
        <w:tc>
          <w:tcPr>
            <w:tcW w:w="2192" w:type="dxa"/>
            <w:vAlign w:val="center"/>
          </w:tcPr>
          <w:p w14:paraId="0A7C529E">
            <w:pPr>
              <w:autoSpaceDE w:val="0"/>
              <w:autoSpaceDN w:val="0"/>
              <w:adjustRightInd w:val="0"/>
              <w:jc w:val="both"/>
              <w:rPr>
                <w:rFonts w:hint="eastAsia" w:ascii="宋体" w:hAnsi="宋体" w:eastAsia="宋体"/>
              </w:rPr>
            </w:pPr>
            <w:r>
              <w:rPr>
                <w:rFonts w:hint="eastAsia" w:ascii="宋体" w:hAnsi="宋体" w:eastAsia="宋体"/>
              </w:rPr>
              <w:t>无</w:t>
            </w:r>
          </w:p>
        </w:tc>
        <w:tc>
          <w:tcPr>
            <w:tcW w:w="2130" w:type="dxa"/>
            <w:vMerge w:val="continue"/>
            <w:vAlign w:val="center"/>
          </w:tcPr>
          <w:p w14:paraId="5E7A3B95">
            <w:pPr>
              <w:autoSpaceDE w:val="0"/>
              <w:autoSpaceDN w:val="0"/>
              <w:adjustRightInd w:val="0"/>
              <w:jc w:val="both"/>
              <w:rPr>
                <w:rFonts w:hint="eastAsia" w:ascii="宋体" w:hAnsi="宋体" w:eastAsia="宋体"/>
              </w:rPr>
            </w:pPr>
          </w:p>
        </w:tc>
      </w:tr>
      <w:tr w14:paraId="260A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2130" w:type="dxa"/>
            <w:vMerge w:val="continue"/>
            <w:vAlign w:val="center"/>
          </w:tcPr>
          <w:p w14:paraId="21DDD45E">
            <w:pPr>
              <w:autoSpaceDE w:val="0"/>
              <w:autoSpaceDN w:val="0"/>
              <w:adjustRightInd w:val="0"/>
              <w:jc w:val="both"/>
              <w:rPr>
                <w:rFonts w:hint="eastAsia" w:ascii="宋体" w:hAnsi="宋体" w:eastAsia="宋体"/>
              </w:rPr>
            </w:pPr>
          </w:p>
        </w:tc>
        <w:tc>
          <w:tcPr>
            <w:tcW w:w="2070" w:type="dxa"/>
            <w:vAlign w:val="center"/>
          </w:tcPr>
          <w:p w14:paraId="5628EF31">
            <w:pPr>
              <w:autoSpaceDE w:val="0"/>
              <w:autoSpaceDN w:val="0"/>
              <w:adjustRightInd w:val="0"/>
              <w:jc w:val="both"/>
              <w:rPr>
                <w:rFonts w:hint="eastAsia" w:ascii="宋体" w:hAnsi="宋体" w:eastAsia="宋体"/>
              </w:rPr>
            </w:pPr>
            <w:r>
              <w:rPr>
                <w:rFonts w:hint="eastAsia" w:ascii="宋体" w:hAnsi="宋体" w:eastAsia="宋体"/>
              </w:rPr>
              <w:t>拮抗现象</w:t>
            </w:r>
          </w:p>
        </w:tc>
        <w:tc>
          <w:tcPr>
            <w:tcW w:w="2192" w:type="dxa"/>
            <w:vAlign w:val="center"/>
          </w:tcPr>
          <w:p w14:paraId="7B6D0ADB">
            <w:pPr>
              <w:autoSpaceDE w:val="0"/>
              <w:autoSpaceDN w:val="0"/>
              <w:adjustRightInd w:val="0"/>
              <w:jc w:val="both"/>
              <w:rPr>
                <w:rFonts w:hint="eastAsia" w:ascii="宋体" w:hAnsi="宋体" w:eastAsia="宋体"/>
              </w:rPr>
            </w:pPr>
            <w:r>
              <w:rPr>
                <w:rFonts w:hint="eastAsia" w:ascii="宋体" w:hAnsi="宋体" w:eastAsia="宋体"/>
              </w:rPr>
              <w:t>无</w:t>
            </w:r>
          </w:p>
        </w:tc>
        <w:tc>
          <w:tcPr>
            <w:tcW w:w="2130" w:type="dxa"/>
            <w:vMerge w:val="continue"/>
            <w:vAlign w:val="center"/>
          </w:tcPr>
          <w:p w14:paraId="21466E85">
            <w:pPr>
              <w:autoSpaceDE w:val="0"/>
              <w:autoSpaceDN w:val="0"/>
              <w:adjustRightInd w:val="0"/>
              <w:jc w:val="both"/>
              <w:rPr>
                <w:rFonts w:hint="eastAsia" w:ascii="宋体" w:hAnsi="宋体" w:eastAsia="宋体"/>
              </w:rPr>
            </w:pPr>
          </w:p>
        </w:tc>
      </w:tr>
      <w:tr w14:paraId="54CF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4200" w:type="dxa"/>
            <w:gridSpan w:val="2"/>
            <w:vAlign w:val="center"/>
          </w:tcPr>
          <w:p w14:paraId="7FDB5380">
            <w:pPr>
              <w:autoSpaceDE w:val="0"/>
              <w:autoSpaceDN w:val="0"/>
              <w:adjustRightInd w:val="0"/>
              <w:jc w:val="both"/>
              <w:rPr>
                <w:rFonts w:hint="eastAsia" w:ascii="宋体" w:hAnsi="宋体" w:eastAsia="宋体"/>
              </w:rPr>
            </w:pPr>
            <w:r>
              <w:rPr>
                <w:rFonts w:hint="eastAsia" w:ascii="宋体" w:hAnsi="宋体" w:eastAsia="宋体"/>
              </w:rPr>
              <w:t>气味</w:t>
            </w:r>
          </w:p>
        </w:tc>
        <w:tc>
          <w:tcPr>
            <w:tcW w:w="2192" w:type="dxa"/>
            <w:vAlign w:val="center"/>
          </w:tcPr>
          <w:p w14:paraId="1C1F521C">
            <w:pPr>
              <w:autoSpaceDE w:val="0"/>
              <w:autoSpaceDN w:val="0"/>
              <w:adjustRightInd w:val="0"/>
              <w:jc w:val="both"/>
              <w:rPr>
                <w:rFonts w:hint="eastAsia" w:ascii="宋体" w:hAnsi="宋体" w:eastAsia="宋体"/>
              </w:rPr>
            </w:pPr>
            <w:r>
              <w:rPr>
                <w:rFonts w:hint="eastAsia" w:ascii="宋体" w:hAnsi="宋体" w:eastAsia="宋体"/>
              </w:rPr>
              <w:t>有独特茯苓风味、无酸、臭、霉、刺鼻性等异味</w:t>
            </w:r>
          </w:p>
        </w:tc>
        <w:tc>
          <w:tcPr>
            <w:tcW w:w="2130" w:type="dxa"/>
            <w:vAlign w:val="center"/>
          </w:tcPr>
          <w:p w14:paraId="789DB258">
            <w:pPr>
              <w:autoSpaceDE w:val="0"/>
              <w:autoSpaceDN w:val="0"/>
              <w:adjustRightInd w:val="0"/>
              <w:jc w:val="both"/>
              <w:rPr>
                <w:rFonts w:hint="eastAsia" w:ascii="宋体" w:hAnsi="宋体" w:eastAsia="宋体"/>
              </w:rPr>
            </w:pPr>
            <w:r>
              <w:rPr>
                <w:rFonts w:hint="eastAsia" w:ascii="宋体" w:hAnsi="宋体" w:eastAsia="宋体"/>
              </w:rPr>
              <w:t>鼻嗅</w:t>
            </w:r>
          </w:p>
        </w:tc>
      </w:tr>
    </w:tbl>
    <w:p w14:paraId="6D3EEF0D">
      <w:pPr>
        <w:pStyle w:val="3"/>
        <w:widowControl/>
        <w:spacing w:beforeAutospacing="0" w:afterAutospacing="0" w:line="360" w:lineRule="auto"/>
        <w:ind w:firstLine="221" w:firstLineChars="100"/>
        <w:rPr>
          <w:sz w:val="22"/>
          <w:szCs w:val="22"/>
        </w:rPr>
      </w:pPr>
      <w:r>
        <w:rPr>
          <w:sz w:val="22"/>
          <w:szCs w:val="22"/>
        </w:rPr>
        <w:t>（4）种植</w:t>
      </w:r>
    </w:p>
    <w:p w14:paraId="5803966A">
      <w:pPr>
        <w:widowControl/>
        <w:spacing w:line="360" w:lineRule="auto"/>
        <w:ind w:firstLine="440" w:firstLineChars="200"/>
        <w:jc w:val="left"/>
        <w:rPr>
          <w:rFonts w:hint="eastAsia" w:ascii="宋体" w:hAnsi="宋体"/>
          <w:kern w:val="0"/>
          <w:szCs w:val="21"/>
        </w:rPr>
      </w:pPr>
      <w:r>
        <w:rPr>
          <w:rFonts w:hint="eastAsia" w:ascii="宋体" w:hAnsi="宋体" w:cs="宋体"/>
          <w:sz w:val="22"/>
          <w:szCs w:val="22"/>
        </w:rPr>
        <w:t>树蔸于</w:t>
      </w:r>
      <w:r>
        <w:rPr>
          <w:rFonts w:ascii="宋体" w:hAnsi="宋体" w:cs="宋体"/>
          <w:sz w:val="22"/>
          <w:szCs w:val="22"/>
        </w:rPr>
        <w:t>4月</w:t>
      </w:r>
      <w:r>
        <w:rPr>
          <w:rFonts w:hint="eastAsia" w:ascii="宋体" w:hAnsi="宋体" w:cs="宋体"/>
          <w:sz w:val="22"/>
          <w:szCs w:val="22"/>
        </w:rPr>
        <w:t>-</w:t>
      </w:r>
      <w:r>
        <w:rPr>
          <w:rFonts w:ascii="宋体" w:hAnsi="宋体" w:cs="宋体"/>
          <w:sz w:val="22"/>
          <w:szCs w:val="22"/>
        </w:rPr>
        <w:t>5月</w:t>
      </w:r>
      <w:r>
        <w:rPr>
          <w:rFonts w:hint="eastAsia" w:ascii="宋体" w:hAnsi="宋体" w:cs="宋体"/>
          <w:sz w:val="22"/>
          <w:szCs w:val="22"/>
        </w:rPr>
        <w:t>晴天采用蔸顶、蔸侧或二者混合</w:t>
      </w:r>
      <w:r>
        <w:rPr>
          <w:rFonts w:ascii="宋体" w:hAnsi="宋体" w:cs="宋体"/>
          <w:sz w:val="22"/>
          <w:szCs w:val="22"/>
        </w:rPr>
        <w:t>接种</w:t>
      </w:r>
      <w:r>
        <w:rPr>
          <w:rFonts w:hint="eastAsia" w:ascii="宋体" w:hAnsi="宋体" w:cs="宋体"/>
          <w:sz w:val="22"/>
          <w:szCs w:val="22"/>
        </w:rPr>
        <w:t>，</w:t>
      </w:r>
      <w:r>
        <w:rPr>
          <w:rFonts w:ascii="宋体" w:hAnsi="宋体" w:cs="宋体"/>
          <w:sz w:val="22"/>
          <w:szCs w:val="22"/>
        </w:rPr>
        <w:t>接种量按树蔸直径分级设置，提升单蔸产量与结苓整齐度。</w:t>
      </w:r>
    </w:p>
    <w:p w14:paraId="7FF5D7F1">
      <w:pPr>
        <w:widowControl/>
        <w:spacing w:line="360" w:lineRule="auto"/>
        <w:ind w:firstLine="440" w:firstLineChars="200"/>
        <w:jc w:val="left"/>
        <w:rPr>
          <w:rFonts w:hint="eastAsia" w:ascii="宋体" w:hAnsi="宋体"/>
          <w:kern w:val="0"/>
          <w:szCs w:val="21"/>
        </w:rPr>
      </w:pPr>
      <w:r>
        <w:rPr>
          <w:rFonts w:hint="eastAsia" w:ascii="宋体" w:hAnsi="宋体" w:cs="宋体"/>
          <w:sz w:val="22"/>
          <w:szCs w:val="22"/>
        </w:rPr>
        <w:t>袋料栽培</w:t>
      </w:r>
      <w:r>
        <w:rPr>
          <w:rFonts w:ascii="宋体" w:hAnsi="宋体" w:cs="宋体"/>
          <w:sz w:val="22"/>
          <w:szCs w:val="22"/>
        </w:rPr>
        <w:t>顺坡挖窖</w:t>
      </w:r>
      <w:r>
        <w:rPr>
          <w:rFonts w:hint="eastAsia" w:ascii="宋体" w:hAnsi="宋体" w:cs="宋体"/>
          <w:sz w:val="22"/>
          <w:szCs w:val="22"/>
        </w:rPr>
        <w:t>，</w:t>
      </w:r>
      <w:r>
        <w:rPr>
          <w:rFonts w:ascii="宋体" w:hAnsi="宋体" w:cs="宋体"/>
          <w:sz w:val="22"/>
          <w:szCs w:val="22"/>
        </w:rPr>
        <w:t>窖底与坡面呈25°，袋料品字形摆放</w:t>
      </w:r>
      <w:r>
        <w:rPr>
          <w:rFonts w:hint="eastAsia" w:ascii="宋体" w:hAnsi="宋体" w:cs="宋体"/>
          <w:sz w:val="22"/>
          <w:szCs w:val="22"/>
        </w:rPr>
        <w:t>，并控制每窖袋料重量，可提升茯苓窖产量与结苓整齐度。</w:t>
      </w:r>
    </w:p>
    <w:p w14:paraId="71458FB5">
      <w:pPr>
        <w:pStyle w:val="3"/>
        <w:widowControl/>
        <w:spacing w:beforeAutospacing="0" w:afterAutospacing="0" w:line="360" w:lineRule="auto"/>
        <w:ind w:firstLine="221" w:firstLineChars="100"/>
        <w:rPr>
          <w:b w:val="0"/>
          <w:bCs w:val="0"/>
          <w:sz w:val="22"/>
          <w:szCs w:val="22"/>
        </w:rPr>
      </w:pPr>
      <w:r>
        <w:rPr>
          <w:sz w:val="22"/>
          <w:szCs w:val="22"/>
        </w:rPr>
        <w:t>（5）林下管理</w:t>
      </w:r>
    </w:p>
    <w:p w14:paraId="0BCA8FB0">
      <w:pPr>
        <w:pStyle w:val="3"/>
        <w:widowControl/>
        <w:spacing w:beforeAutospacing="0" w:afterAutospacing="0" w:line="360" w:lineRule="auto"/>
        <w:ind w:firstLine="220" w:firstLineChars="100"/>
        <w:rPr>
          <w:rFonts w:cs="宋体"/>
          <w:b w:val="0"/>
          <w:bCs w:val="0"/>
          <w:kern w:val="2"/>
          <w:sz w:val="22"/>
          <w:szCs w:val="22"/>
        </w:rPr>
      </w:pPr>
      <w:r>
        <w:rPr>
          <w:rFonts w:hint="default" w:cs="宋体"/>
          <w:b w:val="0"/>
          <w:bCs w:val="0"/>
          <w:kern w:val="2"/>
          <w:sz w:val="22"/>
          <w:szCs w:val="22"/>
        </w:rPr>
        <w:t>将原“田间管理”优化为林下管理，保持土壤含水率</w:t>
      </w:r>
      <w:r>
        <w:rPr>
          <w:rFonts w:cs="宋体"/>
          <w:b w:val="0"/>
          <w:bCs w:val="0"/>
          <w:kern w:val="2"/>
          <w:sz w:val="22"/>
          <w:szCs w:val="22"/>
        </w:rPr>
        <w:t>30-7</w:t>
      </w:r>
      <w:r>
        <w:rPr>
          <w:rFonts w:hint="default" w:cs="宋体"/>
          <w:b w:val="0"/>
          <w:bCs w:val="0"/>
          <w:kern w:val="2"/>
          <w:sz w:val="22"/>
          <w:szCs w:val="22"/>
        </w:rPr>
        <w:t>0%，雨季及时排水、覆盖薄膜防烂苓；菌核嫁接后</w:t>
      </w:r>
      <w:r>
        <w:rPr>
          <w:rFonts w:cs="宋体"/>
          <w:b w:val="0"/>
          <w:bCs w:val="0"/>
          <w:kern w:val="2"/>
          <w:sz w:val="22"/>
          <w:szCs w:val="22"/>
        </w:rPr>
        <w:t>及时</w:t>
      </w:r>
      <w:r>
        <w:rPr>
          <w:rFonts w:hint="default" w:cs="宋体"/>
          <w:b w:val="0"/>
          <w:bCs w:val="0"/>
          <w:kern w:val="2"/>
          <w:sz w:val="22"/>
          <w:szCs w:val="22"/>
        </w:rPr>
        <w:t xml:space="preserve">覆土掩裂，人工除草、严禁使用除草剂。 </w:t>
      </w:r>
    </w:p>
    <w:p w14:paraId="183C3896">
      <w:pPr>
        <w:pStyle w:val="3"/>
        <w:widowControl/>
        <w:spacing w:beforeAutospacing="0" w:afterAutospacing="0" w:line="360" w:lineRule="auto"/>
        <w:ind w:firstLine="220" w:firstLineChars="100"/>
        <w:rPr>
          <w:rFonts w:cs="宋体"/>
          <w:b w:val="0"/>
          <w:bCs w:val="0"/>
          <w:kern w:val="2"/>
          <w:sz w:val="22"/>
          <w:szCs w:val="22"/>
        </w:rPr>
      </w:pPr>
      <w:r>
        <w:rPr>
          <w:rFonts w:hint="default" w:cs="宋体"/>
          <w:b w:val="0"/>
          <w:bCs w:val="0"/>
          <w:kern w:val="2"/>
          <w:sz w:val="22"/>
          <w:szCs w:val="22"/>
        </w:rPr>
        <w:t>白蚁防控采用防护沟+油茶粕/低毒药剂，优先农业、物理、生物防治。</w:t>
      </w:r>
    </w:p>
    <w:p w14:paraId="4EE9F38D">
      <w:pPr>
        <w:pStyle w:val="3"/>
        <w:widowControl/>
        <w:spacing w:beforeAutospacing="0" w:afterAutospacing="0" w:line="360" w:lineRule="auto"/>
        <w:ind w:firstLine="221" w:firstLineChars="100"/>
        <w:rPr>
          <w:sz w:val="22"/>
          <w:szCs w:val="22"/>
        </w:rPr>
      </w:pPr>
      <w:r>
        <w:rPr>
          <w:sz w:val="22"/>
          <w:szCs w:val="22"/>
        </w:rPr>
        <w:t>（6）采收、苓场清理与档案记录</w:t>
      </w:r>
    </w:p>
    <w:p w14:paraId="1B98871B">
      <w:pPr>
        <w:widowControl/>
        <w:spacing w:line="360" w:lineRule="auto"/>
        <w:ind w:firstLine="420" w:firstLineChars="200"/>
        <w:jc w:val="left"/>
        <w:rPr>
          <w:rFonts w:ascii="宋体"/>
          <w:kern w:val="0"/>
          <w:szCs w:val="24"/>
        </w:rPr>
      </w:pPr>
      <w:r>
        <w:rPr>
          <w:rFonts w:hint="eastAsia" w:ascii="宋体"/>
          <w:kern w:val="0"/>
          <w:szCs w:val="24"/>
        </w:rPr>
        <w:t>兜茯苓接菌6-12个月后采收；袋料茯苓下窖4-6个月后采收。菌核外皮深褐色，表皮裂纹弥合，茯苓停止生长可采收；采收时，避开雨天，逐层挖开土壤，小心取出菌核，避免机械损伤。</w:t>
      </w:r>
    </w:p>
    <w:p w14:paraId="4978FF2D">
      <w:pPr>
        <w:widowControl/>
        <w:tabs>
          <w:tab w:val="center" w:pos="4201"/>
          <w:tab w:val="right" w:leader="dot" w:pos="9298"/>
        </w:tabs>
        <w:autoSpaceDE w:val="0"/>
        <w:autoSpaceDN w:val="0"/>
        <w:spacing w:line="360" w:lineRule="auto"/>
        <w:ind w:firstLine="420" w:firstLineChars="200"/>
        <w:jc w:val="left"/>
        <w:outlineLvl w:val="1"/>
        <w:rPr>
          <w:rFonts w:ascii="宋体"/>
          <w:kern w:val="0"/>
          <w:szCs w:val="24"/>
        </w:rPr>
      </w:pPr>
      <w:r>
        <w:rPr>
          <w:rFonts w:hint="eastAsia" w:ascii="宋体"/>
          <w:kern w:val="0"/>
          <w:szCs w:val="24"/>
        </w:rPr>
        <w:t>茯苓采收后采用洁净、干燥、无污染的包装物及运输工具转运至干净、阴凉、避风的环境存放，并依照个体大小、形状、外皮破损等进行等级分类待售。</w:t>
      </w:r>
    </w:p>
    <w:p w14:paraId="7E227B71">
      <w:pPr>
        <w:widowControl/>
        <w:spacing w:line="360" w:lineRule="auto"/>
        <w:ind w:firstLine="440" w:firstLineChars="200"/>
        <w:jc w:val="left"/>
        <w:rPr>
          <w:rFonts w:hint="eastAsia" w:ascii="宋体" w:hAnsi="宋体" w:cs="宋体"/>
          <w:sz w:val="22"/>
          <w:szCs w:val="22"/>
        </w:rPr>
      </w:pPr>
      <w:r>
        <w:rPr>
          <w:rFonts w:ascii="宋体" w:hAnsi="宋体" w:cs="宋体"/>
          <w:sz w:val="22"/>
          <w:szCs w:val="22"/>
        </w:rPr>
        <w:t>苓场清理：采收后及时清理残料、废菌包等杂物，规范处置。</w:t>
      </w:r>
    </w:p>
    <w:p w14:paraId="513046DF">
      <w:pPr>
        <w:widowControl/>
        <w:spacing w:line="360" w:lineRule="auto"/>
        <w:ind w:firstLine="440" w:firstLineChars="200"/>
        <w:jc w:val="left"/>
        <w:rPr>
          <w:rFonts w:hint="eastAsia" w:ascii="宋体" w:hAnsi="宋体" w:cs="宋体"/>
          <w:sz w:val="22"/>
          <w:szCs w:val="22"/>
        </w:rPr>
      </w:pPr>
      <w:r>
        <w:rPr>
          <w:rFonts w:ascii="宋体" w:hAnsi="宋体" w:cs="宋体"/>
          <w:sz w:val="22"/>
          <w:szCs w:val="22"/>
        </w:rPr>
        <w:t>生产档案：记录苓场、菌种、管理、采收等全流程信息，档案留存不少于3年</w:t>
      </w:r>
      <w:r>
        <w:rPr>
          <w:rFonts w:hint="eastAsia" w:ascii="宋体" w:hAnsi="宋体" w:cs="宋体"/>
          <w:sz w:val="22"/>
          <w:szCs w:val="22"/>
        </w:rPr>
        <w:t>。</w:t>
      </w:r>
    </w:p>
    <w:p w14:paraId="0029FBCB">
      <w:pPr>
        <w:spacing w:line="360" w:lineRule="auto"/>
        <w:jc w:val="center"/>
        <w:rPr>
          <w:rFonts w:hint="default" w:eastAsia="宋体"/>
          <w:lang w:val="en-US" w:eastAsia="zh-CN"/>
        </w:rPr>
      </w:pPr>
      <w:r>
        <w:rPr>
          <w:rFonts w:hint="eastAsia"/>
          <w:b/>
          <w:bCs/>
          <w:lang w:val="en-US" w:eastAsia="zh-CN"/>
        </w:rPr>
        <w:t>表6 树蔸和袋料茯苓种植时间和成熟判定</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0"/>
        <w:gridCol w:w="2070"/>
        <w:gridCol w:w="2078"/>
        <w:gridCol w:w="2078"/>
      </w:tblGrid>
      <w:tr w14:paraId="3D5F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gridSpan w:val="2"/>
            <w:vAlign w:val="center"/>
          </w:tcPr>
          <w:p w14:paraId="65AD3C03">
            <w:pPr>
              <w:jc w:val="center"/>
              <w:rPr>
                <w:rFonts w:hint="eastAsia" w:ascii="宋体" w:hAnsi="宋体" w:eastAsia="宋体"/>
              </w:rPr>
            </w:pPr>
            <w:r>
              <w:rPr>
                <w:rFonts w:hint="eastAsia" w:ascii="宋体" w:hAnsi="宋体" w:eastAsia="宋体"/>
              </w:rPr>
              <w:t>项目</w:t>
            </w:r>
          </w:p>
        </w:tc>
        <w:tc>
          <w:tcPr>
            <w:tcW w:w="2078" w:type="dxa"/>
            <w:vAlign w:val="center"/>
          </w:tcPr>
          <w:p w14:paraId="41E431CF">
            <w:pPr>
              <w:jc w:val="center"/>
              <w:rPr>
                <w:rFonts w:hint="eastAsia" w:ascii="宋体" w:hAnsi="宋体" w:eastAsia="宋体"/>
              </w:rPr>
            </w:pPr>
            <w:r>
              <w:rPr>
                <w:rFonts w:hint="eastAsia" w:ascii="宋体" w:hAnsi="宋体" w:eastAsia="宋体"/>
              </w:rPr>
              <w:t>要求</w:t>
            </w:r>
          </w:p>
        </w:tc>
        <w:tc>
          <w:tcPr>
            <w:tcW w:w="2078" w:type="dxa"/>
            <w:vAlign w:val="center"/>
          </w:tcPr>
          <w:p w14:paraId="6A579795">
            <w:pPr>
              <w:jc w:val="center"/>
              <w:rPr>
                <w:rFonts w:hint="eastAsia" w:ascii="宋体" w:hAnsi="宋体" w:eastAsia="宋体"/>
              </w:rPr>
            </w:pPr>
            <w:r>
              <w:rPr>
                <w:rFonts w:hint="eastAsia" w:ascii="宋体" w:hAnsi="宋体" w:eastAsia="宋体"/>
              </w:rPr>
              <w:t>实验方法</w:t>
            </w:r>
          </w:p>
        </w:tc>
      </w:tr>
      <w:tr w14:paraId="65AE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0" w:type="dxa"/>
            <w:vMerge w:val="restart"/>
            <w:vAlign w:val="center"/>
          </w:tcPr>
          <w:p w14:paraId="030D1694">
            <w:pPr>
              <w:jc w:val="both"/>
              <w:rPr>
                <w:rFonts w:hint="eastAsia" w:ascii="宋体" w:hAnsi="宋体" w:eastAsia="宋体"/>
              </w:rPr>
            </w:pPr>
            <w:r>
              <w:rPr>
                <w:rFonts w:hint="eastAsia" w:ascii="宋体" w:hAnsi="宋体" w:eastAsia="宋体"/>
              </w:rPr>
              <w:t>种植时间</w:t>
            </w:r>
          </w:p>
        </w:tc>
        <w:tc>
          <w:tcPr>
            <w:tcW w:w="2070" w:type="dxa"/>
            <w:vAlign w:val="center"/>
          </w:tcPr>
          <w:p w14:paraId="2827E071">
            <w:pPr>
              <w:jc w:val="both"/>
              <w:rPr>
                <w:rFonts w:hint="eastAsia" w:ascii="宋体" w:hAnsi="宋体" w:eastAsia="宋体"/>
              </w:rPr>
            </w:pPr>
            <w:r>
              <w:rPr>
                <w:rFonts w:hint="eastAsia" w:ascii="宋体" w:hAnsi="宋体" w:eastAsia="宋体"/>
              </w:rPr>
              <w:t>树蔸种植</w:t>
            </w:r>
          </w:p>
        </w:tc>
        <w:tc>
          <w:tcPr>
            <w:tcW w:w="2078" w:type="dxa"/>
            <w:vAlign w:val="center"/>
          </w:tcPr>
          <w:p w14:paraId="1CDA1D22">
            <w:pPr>
              <w:jc w:val="both"/>
              <w:rPr>
                <w:rFonts w:hint="eastAsia" w:ascii="宋体" w:hAnsi="宋体" w:eastAsia="宋体"/>
              </w:rPr>
            </w:pPr>
            <w:r>
              <w:rPr>
                <w:rFonts w:hint="eastAsia" w:ascii="宋体" w:hAnsi="宋体" w:eastAsia="宋体"/>
              </w:rPr>
              <w:t>接菌后6-12个月最佳，可多次采收</w:t>
            </w:r>
          </w:p>
        </w:tc>
        <w:tc>
          <w:tcPr>
            <w:tcW w:w="2078" w:type="dxa"/>
            <w:vMerge w:val="restart"/>
            <w:vAlign w:val="center"/>
          </w:tcPr>
          <w:p w14:paraId="769C4FCE">
            <w:pPr>
              <w:jc w:val="both"/>
              <w:rPr>
                <w:rFonts w:hint="eastAsia" w:ascii="宋体" w:hAnsi="宋体" w:eastAsia="宋体"/>
              </w:rPr>
            </w:pPr>
            <w:r>
              <w:rPr>
                <w:rFonts w:hint="eastAsia" w:ascii="宋体" w:hAnsi="宋体" w:eastAsia="宋体"/>
              </w:rPr>
              <w:t>-</w:t>
            </w:r>
          </w:p>
        </w:tc>
      </w:tr>
      <w:tr w14:paraId="74E6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0" w:type="dxa"/>
            <w:vMerge w:val="continue"/>
            <w:vAlign w:val="center"/>
          </w:tcPr>
          <w:p w14:paraId="72F1F4BA">
            <w:pPr>
              <w:jc w:val="both"/>
              <w:rPr>
                <w:rFonts w:hint="eastAsia" w:ascii="宋体" w:hAnsi="宋体" w:eastAsia="宋体"/>
              </w:rPr>
            </w:pPr>
          </w:p>
        </w:tc>
        <w:tc>
          <w:tcPr>
            <w:tcW w:w="2070" w:type="dxa"/>
            <w:vAlign w:val="center"/>
          </w:tcPr>
          <w:p w14:paraId="47466607">
            <w:pPr>
              <w:jc w:val="both"/>
              <w:rPr>
                <w:rFonts w:hint="eastAsia" w:ascii="宋体" w:hAnsi="宋体" w:eastAsia="宋体"/>
              </w:rPr>
            </w:pPr>
            <w:r>
              <w:rPr>
                <w:rFonts w:hint="eastAsia" w:ascii="宋体" w:hAnsi="宋体" w:eastAsia="宋体"/>
              </w:rPr>
              <w:t>袋料种植</w:t>
            </w:r>
          </w:p>
        </w:tc>
        <w:tc>
          <w:tcPr>
            <w:tcW w:w="2078" w:type="dxa"/>
            <w:vAlign w:val="center"/>
          </w:tcPr>
          <w:p w14:paraId="72C4E817">
            <w:pPr>
              <w:jc w:val="both"/>
              <w:rPr>
                <w:rFonts w:hint="eastAsia" w:ascii="宋体" w:hAnsi="宋体" w:eastAsia="宋体"/>
              </w:rPr>
            </w:pPr>
            <w:r>
              <w:rPr>
                <w:rFonts w:hint="eastAsia" w:ascii="宋体" w:hAnsi="宋体" w:eastAsia="宋体"/>
              </w:rPr>
              <w:t>菌袋下窖后4-6月采收</w:t>
            </w:r>
          </w:p>
        </w:tc>
        <w:tc>
          <w:tcPr>
            <w:tcW w:w="2078" w:type="dxa"/>
            <w:vMerge w:val="continue"/>
            <w:vAlign w:val="center"/>
          </w:tcPr>
          <w:p w14:paraId="0708BA7D">
            <w:pPr>
              <w:jc w:val="both"/>
              <w:rPr>
                <w:rFonts w:hint="eastAsia" w:ascii="宋体" w:hAnsi="宋体" w:eastAsia="宋体"/>
              </w:rPr>
            </w:pPr>
          </w:p>
        </w:tc>
      </w:tr>
      <w:tr w14:paraId="6FDC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70" w:type="dxa"/>
            <w:vMerge w:val="restart"/>
            <w:vAlign w:val="center"/>
          </w:tcPr>
          <w:p w14:paraId="5ADAF000">
            <w:pPr>
              <w:jc w:val="both"/>
              <w:rPr>
                <w:rFonts w:hint="eastAsia" w:ascii="宋体" w:hAnsi="宋体" w:eastAsia="宋体"/>
              </w:rPr>
            </w:pPr>
            <w:r>
              <w:rPr>
                <w:rFonts w:hint="eastAsia" w:ascii="宋体" w:hAnsi="宋体" w:eastAsia="宋体"/>
              </w:rPr>
              <w:t>茯苓成熟判定</w:t>
            </w:r>
          </w:p>
        </w:tc>
        <w:tc>
          <w:tcPr>
            <w:tcW w:w="2070" w:type="dxa"/>
            <w:vAlign w:val="center"/>
          </w:tcPr>
          <w:p w14:paraId="1C361C20">
            <w:pPr>
              <w:jc w:val="both"/>
              <w:rPr>
                <w:rFonts w:hint="eastAsia" w:ascii="宋体" w:hAnsi="宋体" w:eastAsia="宋体"/>
              </w:rPr>
            </w:pPr>
            <w:r>
              <w:rPr>
                <w:rFonts w:hint="eastAsia" w:ascii="宋体" w:hAnsi="宋体" w:eastAsia="宋体"/>
              </w:rPr>
              <w:t>外皮</w:t>
            </w:r>
          </w:p>
        </w:tc>
        <w:tc>
          <w:tcPr>
            <w:tcW w:w="2078" w:type="dxa"/>
            <w:vAlign w:val="center"/>
          </w:tcPr>
          <w:p w14:paraId="62E1AF38">
            <w:pPr>
              <w:jc w:val="both"/>
              <w:rPr>
                <w:rFonts w:hint="eastAsia" w:ascii="宋体" w:hAnsi="宋体" w:eastAsia="宋体"/>
              </w:rPr>
            </w:pPr>
            <w:r>
              <w:rPr>
                <w:rFonts w:hint="eastAsia" w:ascii="宋体" w:hAnsi="宋体" w:eastAsia="宋体"/>
              </w:rPr>
              <w:t>呈深褐色</w:t>
            </w:r>
          </w:p>
        </w:tc>
        <w:tc>
          <w:tcPr>
            <w:tcW w:w="2078" w:type="dxa"/>
            <w:vMerge w:val="restart"/>
            <w:vAlign w:val="center"/>
          </w:tcPr>
          <w:p w14:paraId="070BEF02">
            <w:pPr>
              <w:jc w:val="both"/>
              <w:rPr>
                <w:rFonts w:hint="eastAsia" w:ascii="宋体" w:hAnsi="宋体" w:eastAsia="宋体"/>
              </w:rPr>
            </w:pPr>
            <w:r>
              <w:rPr>
                <w:rFonts w:ascii="宋体" w:hAnsi="宋体" w:eastAsia="宋体"/>
              </w:rPr>
              <w:t>目视检</w:t>
            </w:r>
            <w:r>
              <w:rPr>
                <w:rFonts w:hint="eastAsia" w:ascii="宋体" w:hAnsi="宋体" w:eastAsia="宋体"/>
              </w:rPr>
              <w:t>查、触摸</w:t>
            </w:r>
          </w:p>
        </w:tc>
      </w:tr>
      <w:tr w14:paraId="74F0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0" w:type="dxa"/>
            <w:vMerge w:val="continue"/>
            <w:vAlign w:val="center"/>
          </w:tcPr>
          <w:p w14:paraId="06151E44">
            <w:pPr>
              <w:jc w:val="both"/>
              <w:rPr>
                <w:rFonts w:hint="eastAsia" w:ascii="宋体" w:hAnsi="宋体" w:eastAsia="宋体"/>
              </w:rPr>
            </w:pPr>
          </w:p>
        </w:tc>
        <w:tc>
          <w:tcPr>
            <w:tcW w:w="2070" w:type="dxa"/>
            <w:vAlign w:val="center"/>
          </w:tcPr>
          <w:p w14:paraId="7336BA4B">
            <w:pPr>
              <w:jc w:val="both"/>
              <w:rPr>
                <w:rFonts w:hint="eastAsia" w:ascii="宋体" w:hAnsi="宋体" w:eastAsia="宋体"/>
              </w:rPr>
            </w:pPr>
            <w:r>
              <w:rPr>
                <w:rFonts w:hint="eastAsia" w:ascii="宋体" w:hAnsi="宋体" w:eastAsia="宋体"/>
              </w:rPr>
              <w:t>裂纹</w:t>
            </w:r>
          </w:p>
        </w:tc>
        <w:tc>
          <w:tcPr>
            <w:tcW w:w="2078" w:type="dxa"/>
            <w:vAlign w:val="center"/>
          </w:tcPr>
          <w:p w14:paraId="1595B3CE">
            <w:pPr>
              <w:jc w:val="both"/>
              <w:rPr>
                <w:rFonts w:hint="eastAsia" w:ascii="宋体" w:hAnsi="宋体" w:eastAsia="宋体"/>
              </w:rPr>
            </w:pPr>
            <w:r>
              <w:rPr>
                <w:rFonts w:hint="eastAsia" w:ascii="宋体" w:hAnsi="宋体" w:eastAsia="宋体"/>
              </w:rPr>
              <w:t>表皮裂纹自然愈合</w:t>
            </w:r>
          </w:p>
        </w:tc>
        <w:tc>
          <w:tcPr>
            <w:tcW w:w="2078" w:type="dxa"/>
            <w:vMerge w:val="continue"/>
            <w:vAlign w:val="center"/>
          </w:tcPr>
          <w:p w14:paraId="2B1F9052">
            <w:pPr>
              <w:jc w:val="both"/>
              <w:rPr>
                <w:rFonts w:hint="eastAsia" w:ascii="宋体" w:hAnsi="宋体" w:eastAsia="宋体"/>
              </w:rPr>
            </w:pPr>
          </w:p>
        </w:tc>
      </w:tr>
      <w:tr w14:paraId="469C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0" w:type="dxa"/>
            <w:vMerge w:val="continue"/>
            <w:vAlign w:val="center"/>
          </w:tcPr>
          <w:p w14:paraId="478259CE">
            <w:pPr>
              <w:jc w:val="both"/>
              <w:rPr>
                <w:rFonts w:hint="eastAsia" w:ascii="宋体" w:hAnsi="宋体" w:eastAsia="宋体"/>
              </w:rPr>
            </w:pPr>
          </w:p>
        </w:tc>
        <w:tc>
          <w:tcPr>
            <w:tcW w:w="2070" w:type="dxa"/>
            <w:vAlign w:val="center"/>
          </w:tcPr>
          <w:p w14:paraId="6EBC21E7">
            <w:pPr>
              <w:jc w:val="both"/>
              <w:rPr>
                <w:rFonts w:hint="eastAsia" w:ascii="宋体" w:hAnsi="宋体" w:eastAsia="宋体"/>
              </w:rPr>
            </w:pPr>
            <w:r>
              <w:rPr>
                <w:rFonts w:hint="eastAsia" w:ascii="宋体" w:hAnsi="宋体" w:eastAsia="宋体"/>
              </w:rPr>
              <w:t>形状</w:t>
            </w:r>
          </w:p>
        </w:tc>
        <w:tc>
          <w:tcPr>
            <w:tcW w:w="2078" w:type="dxa"/>
            <w:vAlign w:val="center"/>
          </w:tcPr>
          <w:p w14:paraId="426D949A">
            <w:pPr>
              <w:jc w:val="both"/>
              <w:rPr>
                <w:rFonts w:hint="eastAsia" w:ascii="宋体" w:hAnsi="宋体" w:eastAsia="宋体"/>
              </w:rPr>
            </w:pPr>
            <w:r>
              <w:rPr>
                <w:rFonts w:hint="eastAsia" w:ascii="宋体" w:hAnsi="宋体" w:eastAsia="宋体"/>
              </w:rPr>
              <w:t>呈椭圆形、球状</w:t>
            </w:r>
          </w:p>
        </w:tc>
        <w:tc>
          <w:tcPr>
            <w:tcW w:w="2078" w:type="dxa"/>
            <w:vMerge w:val="continue"/>
            <w:vAlign w:val="center"/>
          </w:tcPr>
          <w:p w14:paraId="00EAB130">
            <w:pPr>
              <w:jc w:val="both"/>
              <w:rPr>
                <w:rFonts w:hint="eastAsia" w:ascii="宋体" w:hAnsi="宋体" w:eastAsia="宋体"/>
              </w:rPr>
            </w:pPr>
          </w:p>
        </w:tc>
      </w:tr>
      <w:tr w14:paraId="0ADB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0" w:type="dxa"/>
            <w:vMerge w:val="continue"/>
            <w:vAlign w:val="center"/>
          </w:tcPr>
          <w:p w14:paraId="731F3990">
            <w:pPr>
              <w:jc w:val="both"/>
              <w:rPr>
                <w:rFonts w:hint="eastAsia" w:ascii="宋体" w:hAnsi="宋体" w:eastAsia="宋体"/>
              </w:rPr>
            </w:pPr>
          </w:p>
        </w:tc>
        <w:tc>
          <w:tcPr>
            <w:tcW w:w="2070" w:type="dxa"/>
            <w:vAlign w:val="center"/>
          </w:tcPr>
          <w:p w14:paraId="0FF0465F">
            <w:pPr>
              <w:jc w:val="both"/>
              <w:rPr>
                <w:rFonts w:hint="eastAsia" w:ascii="宋体" w:hAnsi="宋体" w:eastAsia="宋体"/>
              </w:rPr>
            </w:pPr>
            <w:r>
              <w:rPr>
                <w:rFonts w:hint="eastAsia" w:ascii="宋体" w:hAnsi="宋体" w:eastAsia="宋体"/>
              </w:rPr>
              <w:t>肉质</w:t>
            </w:r>
          </w:p>
        </w:tc>
        <w:tc>
          <w:tcPr>
            <w:tcW w:w="2078" w:type="dxa"/>
            <w:vAlign w:val="center"/>
          </w:tcPr>
          <w:p w14:paraId="0FC86423">
            <w:pPr>
              <w:jc w:val="both"/>
              <w:rPr>
                <w:rFonts w:hint="eastAsia" w:ascii="宋体" w:hAnsi="宋体" w:eastAsia="宋体"/>
              </w:rPr>
            </w:pPr>
            <w:r>
              <w:rPr>
                <w:rFonts w:hint="eastAsia" w:ascii="宋体" w:hAnsi="宋体" w:eastAsia="宋体"/>
              </w:rPr>
              <w:t>菌核紧实、肉质致密饱满</w:t>
            </w:r>
          </w:p>
        </w:tc>
        <w:tc>
          <w:tcPr>
            <w:tcW w:w="2078" w:type="dxa"/>
            <w:vMerge w:val="continue"/>
            <w:vAlign w:val="center"/>
          </w:tcPr>
          <w:p w14:paraId="15B639FB">
            <w:pPr>
              <w:jc w:val="both"/>
              <w:rPr>
                <w:rFonts w:hint="eastAsia" w:ascii="宋体" w:hAnsi="宋体" w:eastAsia="宋体"/>
              </w:rPr>
            </w:pPr>
          </w:p>
        </w:tc>
      </w:tr>
      <w:tr w14:paraId="08E6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0" w:type="dxa"/>
            <w:vMerge w:val="continue"/>
            <w:vAlign w:val="center"/>
          </w:tcPr>
          <w:p w14:paraId="107D6A2C">
            <w:pPr>
              <w:jc w:val="both"/>
              <w:rPr>
                <w:rFonts w:hint="eastAsia" w:ascii="宋体" w:hAnsi="宋体" w:eastAsia="宋体"/>
              </w:rPr>
            </w:pPr>
          </w:p>
        </w:tc>
        <w:tc>
          <w:tcPr>
            <w:tcW w:w="2070" w:type="dxa"/>
            <w:vAlign w:val="center"/>
          </w:tcPr>
          <w:p w14:paraId="365ED182">
            <w:pPr>
              <w:jc w:val="both"/>
              <w:rPr>
                <w:rFonts w:hint="eastAsia" w:ascii="宋体" w:hAnsi="宋体" w:eastAsia="宋体"/>
              </w:rPr>
            </w:pPr>
            <w:r>
              <w:rPr>
                <w:rFonts w:hint="eastAsia" w:ascii="宋体" w:hAnsi="宋体" w:eastAsia="宋体"/>
              </w:rPr>
              <w:t>风味</w:t>
            </w:r>
          </w:p>
        </w:tc>
        <w:tc>
          <w:tcPr>
            <w:tcW w:w="2078" w:type="dxa"/>
            <w:vAlign w:val="center"/>
          </w:tcPr>
          <w:p w14:paraId="6E98328E">
            <w:pPr>
              <w:jc w:val="both"/>
              <w:rPr>
                <w:rFonts w:hint="eastAsia" w:ascii="宋体" w:hAnsi="宋体" w:eastAsia="宋体"/>
              </w:rPr>
            </w:pPr>
            <w:r>
              <w:rPr>
                <w:rFonts w:hint="eastAsia" w:ascii="宋体" w:hAnsi="宋体" w:eastAsia="宋体"/>
              </w:rPr>
              <w:t>独特茯苓风味与土壤气息、无霉、酸、苦、腐败等风味</w:t>
            </w:r>
          </w:p>
        </w:tc>
        <w:tc>
          <w:tcPr>
            <w:tcW w:w="2078" w:type="dxa"/>
            <w:vAlign w:val="center"/>
          </w:tcPr>
          <w:p w14:paraId="5FD8529E">
            <w:pPr>
              <w:jc w:val="both"/>
              <w:rPr>
                <w:rFonts w:hint="eastAsia" w:ascii="宋体" w:hAnsi="宋体" w:eastAsia="宋体"/>
              </w:rPr>
            </w:pPr>
            <w:r>
              <w:rPr>
                <w:rFonts w:hint="eastAsia" w:ascii="宋体" w:hAnsi="宋体" w:eastAsia="宋体"/>
              </w:rPr>
              <w:t>鼻嗅</w:t>
            </w:r>
          </w:p>
        </w:tc>
      </w:tr>
    </w:tbl>
    <w:p w14:paraId="7B9198DE">
      <w:pPr>
        <w:pStyle w:val="2"/>
        <w:widowControl/>
        <w:spacing w:before="156" w:beforeLines="50" w:beforeAutospacing="0" w:after="156" w:afterLines="50" w:afterAutospacing="0" w:line="360" w:lineRule="auto"/>
        <w:rPr>
          <w:rFonts w:cs="宋体"/>
          <w:color w:val="1F2329"/>
          <w:sz w:val="24"/>
          <w:szCs w:val="24"/>
        </w:rPr>
      </w:pPr>
      <w:r>
        <w:rPr>
          <w:rFonts w:cs="宋体"/>
          <w:color w:val="1F2329"/>
          <w:sz w:val="24"/>
          <w:szCs w:val="24"/>
        </w:rPr>
        <w:t>2.3 试验验证情况</w:t>
      </w:r>
    </w:p>
    <w:p w14:paraId="63E1130A">
      <w:pPr>
        <w:widowControl/>
        <w:spacing w:line="360" w:lineRule="auto"/>
        <w:ind w:firstLine="420"/>
        <w:jc w:val="left"/>
        <w:rPr>
          <w:rFonts w:hint="eastAsia" w:ascii="宋体" w:hAnsi="宋体" w:cs="宋体"/>
          <w:color w:val="1F2329"/>
          <w:kern w:val="0"/>
          <w:sz w:val="22"/>
          <w:szCs w:val="22"/>
          <w:lang w:bidi="ar"/>
        </w:rPr>
      </w:pPr>
      <w:r>
        <w:rPr>
          <w:rFonts w:hint="eastAsia" w:ascii="宋体" w:hAnsi="宋体" w:cs="宋体"/>
          <w:color w:val="1F2329"/>
          <w:kern w:val="0"/>
          <w:sz w:val="22"/>
          <w:szCs w:val="22"/>
          <w:lang w:bidi="ar"/>
        </w:rPr>
        <w:t>在浙江、安徽等马尾松主产区开展多年多点田间试验，结果表明：</w:t>
      </w:r>
    </w:p>
    <w:p w14:paraId="3129F9F3">
      <w:pPr>
        <w:widowControl/>
        <w:spacing w:line="360" w:lineRule="auto"/>
        <w:ind w:firstLine="420"/>
        <w:jc w:val="left"/>
        <w:rPr>
          <w:rFonts w:hint="eastAsia" w:ascii="宋体" w:hAnsi="宋体" w:cs="宋体"/>
          <w:color w:val="1F2329"/>
          <w:sz w:val="22"/>
          <w:szCs w:val="22"/>
        </w:rPr>
      </w:pPr>
      <w:r>
        <w:rPr>
          <w:rFonts w:hint="eastAsia" w:ascii="宋体" w:hAnsi="宋体" w:cs="宋体"/>
          <w:color w:val="1F2329"/>
          <w:sz w:val="22"/>
          <w:szCs w:val="22"/>
        </w:rPr>
        <w:t>树蔸栽培：菌丝上引率</w:t>
      </w:r>
      <w:r>
        <w:rPr>
          <w:rFonts w:hint="eastAsia" w:ascii="宋体" w:hAnsi="宋体"/>
          <w:sz w:val="22"/>
          <w:szCs w:val="22"/>
        </w:rPr>
        <w:t>≥</w:t>
      </w:r>
      <w:r>
        <w:rPr>
          <w:rFonts w:hint="eastAsia" w:ascii="宋体" w:hAnsi="宋体" w:cs="宋体"/>
          <w:color w:val="1F2329"/>
          <w:sz w:val="22"/>
          <w:szCs w:val="22"/>
        </w:rPr>
        <w:t>95%，结苓率</w:t>
      </w:r>
      <w:r>
        <w:rPr>
          <w:rFonts w:hint="eastAsia" w:ascii="宋体" w:hAnsi="宋体"/>
          <w:sz w:val="22"/>
          <w:szCs w:val="22"/>
        </w:rPr>
        <w:t>≥</w:t>
      </w:r>
      <w:r>
        <w:rPr>
          <w:rFonts w:hint="eastAsia" w:ascii="宋体" w:hAnsi="宋体" w:cs="宋体"/>
          <w:color w:val="1F2329"/>
          <w:sz w:val="22"/>
          <w:szCs w:val="22"/>
        </w:rPr>
        <w:t>92%，单桩产量较传统种植方式提高15-20%。</w:t>
      </w:r>
    </w:p>
    <w:p w14:paraId="01A9D0D7">
      <w:pPr>
        <w:widowControl/>
        <w:spacing w:line="360" w:lineRule="auto"/>
        <w:ind w:firstLine="420"/>
        <w:jc w:val="left"/>
        <w:rPr>
          <w:rFonts w:hint="eastAsia" w:ascii="宋体" w:hAnsi="宋体" w:cs="宋体"/>
          <w:color w:val="1F2329"/>
          <w:sz w:val="22"/>
          <w:szCs w:val="22"/>
        </w:rPr>
      </w:pPr>
      <w:r>
        <w:rPr>
          <w:rFonts w:hint="eastAsia" w:ascii="宋体" w:hAnsi="宋体" w:cs="宋体"/>
          <w:color w:val="1F2329"/>
          <w:sz w:val="22"/>
          <w:szCs w:val="22"/>
        </w:rPr>
        <w:t>袋料栽培：马尾松废弃物利用率≥90%，杂菌污染率</w:t>
      </w:r>
      <w:r>
        <w:rPr>
          <w:rFonts w:hint="eastAsia" w:ascii="宋体" w:hAnsi="宋体"/>
          <w:sz w:val="22"/>
          <w:szCs w:val="22"/>
        </w:rPr>
        <w:t>≤</w:t>
      </w:r>
      <w:r>
        <w:rPr>
          <w:rFonts w:hint="eastAsia" w:ascii="宋体" w:hAnsi="宋体" w:cs="宋体"/>
          <w:color w:val="1F2329"/>
          <w:sz w:val="22"/>
          <w:szCs w:val="22"/>
        </w:rPr>
        <w:t>3%，产量稳定。</w:t>
      </w:r>
    </w:p>
    <w:p w14:paraId="721D0E22">
      <w:pPr>
        <w:widowControl/>
        <w:tabs>
          <w:tab w:val="left" w:pos="720"/>
        </w:tabs>
        <w:spacing w:line="360" w:lineRule="auto"/>
        <w:ind w:firstLine="440" w:firstLineChars="200"/>
        <w:jc w:val="left"/>
        <w:rPr>
          <w:rFonts w:hint="eastAsia" w:ascii="宋体" w:hAnsi="宋体" w:cs="宋体"/>
          <w:color w:val="1F2329"/>
          <w:sz w:val="22"/>
          <w:szCs w:val="22"/>
        </w:rPr>
      </w:pPr>
      <w:r>
        <w:rPr>
          <w:rFonts w:hint="eastAsia" w:ascii="宋体" w:hAnsi="宋体" w:cs="宋体"/>
          <w:color w:val="1F2329"/>
          <w:sz w:val="22"/>
          <w:szCs w:val="22"/>
        </w:rPr>
        <w:t>绿色防控落地后，未检出高毒农药残留，产品质量安全达标。</w:t>
      </w:r>
    </w:p>
    <w:p w14:paraId="014884DE">
      <w:pPr>
        <w:pStyle w:val="2"/>
        <w:widowControl/>
        <w:spacing w:before="156" w:beforeLines="50" w:beforeAutospacing="0" w:afterAutospacing="0" w:line="360" w:lineRule="auto"/>
        <w:rPr>
          <w:rFonts w:cs="宋体"/>
          <w:color w:val="1F2329"/>
          <w:sz w:val="24"/>
          <w:szCs w:val="24"/>
        </w:rPr>
      </w:pPr>
      <w:r>
        <w:rPr>
          <w:rFonts w:cs="宋体"/>
          <w:color w:val="1F2329"/>
          <w:sz w:val="24"/>
          <w:szCs w:val="24"/>
        </w:rPr>
        <w:t>2.4技术经济论证</w:t>
      </w:r>
    </w:p>
    <w:p w14:paraId="03D56330">
      <w:pPr>
        <w:widowControl/>
        <w:tabs>
          <w:tab w:val="left" w:pos="720"/>
        </w:tabs>
        <w:spacing w:line="360" w:lineRule="auto"/>
        <w:ind w:firstLine="440" w:firstLineChars="200"/>
        <w:jc w:val="left"/>
        <w:rPr>
          <w:rFonts w:hint="eastAsia" w:ascii="宋体" w:hAnsi="宋体" w:cs="宋体"/>
          <w:color w:val="1F2329"/>
          <w:sz w:val="22"/>
          <w:szCs w:val="22"/>
        </w:rPr>
      </w:pPr>
      <w:r>
        <w:rPr>
          <w:rFonts w:hint="eastAsia" w:ascii="宋体" w:hAnsi="宋体" w:cs="宋体"/>
          <w:color w:val="1F2329"/>
          <w:sz w:val="22"/>
          <w:szCs w:val="22"/>
        </w:rPr>
        <w:t>生态效益：实现疫木、松木采伐剩余物资源化利用，提升林地生态修复与疫木除治水平；</w:t>
      </w:r>
    </w:p>
    <w:p w14:paraId="65B8D7C6">
      <w:pPr>
        <w:widowControl/>
        <w:spacing w:line="360" w:lineRule="auto"/>
        <w:ind w:firstLine="440" w:firstLineChars="200"/>
        <w:jc w:val="left"/>
        <w:rPr>
          <w:rFonts w:hint="eastAsia" w:ascii="宋体" w:hAnsi="宋体" w:cs="宋体"/>
          <w:color w:val="1F2329"/>
          <w:sz w:val="22"/>
          <w:szCs w:val="22"/>
        </w:rPr>
      </w:pPr>
      <w:r>
        <w:rPr>
          <w:rFonts w:hint="eastAsia" w:ascii="宋体" w:hAnsi="宋体" w:cs="宋体"/>
          <w:color w:val="1F2329"/>
          <w:sz w:val="22"/>
          <w:szCs w:val="22"/>
        </w:rPr>
        <w:t>经济效益：仿野生茯苓品质优、市场竞争力强，树蔸模式降本、袋料模式便于规模化，综合效益显著；</w:t>
      </w:r>
    </w:p>
    <w:p w14:paraId="0DCB6F0F">
      <w:pPr>
        <w:widowControl/>
        <w:spacing w:line="360" w:lineRule="auto"/>
        <w:ind w:firstLine="440" w:firstLineChars="200"/>
        <w:jc w:val="left"/>
        <w:rPr>
          <w:rFonts w:hint="eastAsia" w:ascii="宋体" w:hAnsi="宋体" w:cs="宋体"/>
          <w:color w:val="1F2329"/>
          <w:sz w:val="22"/>
          <w:szCs w:val="22"/>
        </w:rPr>
      </w:pPr>
      <w:r>
        <w:rPr>
          <w:rFonts w:hint="eastAsia" w:ascii="宋体" w:hAnsi="宋体" w:cs="宋体"/>
          <w:color w:val="1F2329"/>
          <w:sz w:val="22"/>
          <w:szCs w:val="22"/>
        </w:rPr>
        <w:t>社会效益：统一技术规范，提升产品质量，带动林区就业，推动林业提质增效与乡村产业发展。</w:t>
      </w:r>
    </w:p>
    <w:p w14:paraId="36A5A3E1">
      <w:pPr>
        <w:pStyle w:val="2"/>
        <w:widowControl/>
        <w:spacing w:beforeAutospacing="0" w:afterAutospacing="0" w:line="360" w:lineRule="auto"/>
        <w:rPr>
          <w:rFonts w:cs="宋体"/>
          <w:color w:val="1F2329"/>
          <w:sz w:val="24"/>
          <w:szCs w:val="24"/>
        </w:rPr>
      </w:pPr>
      <w:r>
        <w:rPr>
          <w:rFonts w:cs="宋体"/>
          <w:color w:val="1F2329"/>
          <w:sz w:val="24"/>
          <w:szCs w:val="24"/>
        </w:rPr>
        <w:t>2.5 预期效果</w:t>
      </w:r>
    </w:p>
    <w:p w14:paraId="45DFA421">
      <w:pPr>
        <w:widowControl/>
        <w:spacing w:line="360" w:lineRule="auto"/>
        <w:ind w:firstLine="440" w:firstLineChars="200"/>
        <w:jc w:val="left"/>
        <w:rPr>
          <w:rFonts w:hint="eastAsia" w:ascii="宋体" w:hAnsi="宋体" w:cs="宋体"/>
          <w:color w:val="1F2329"/>
          <w:sz w:val="22"/>
          <w:szCs w:val="22"/>
        </w:rPr>
      </w:pPr>
      <w:r>
        <w:rPr>
          <w:rFonts w:hint="eastAsia" w:ascii="宋体" w:hAnsi="宋体" w:cs="宋体"/>
          <w:color w:val="1F2329"/>
          <w:sz w:val="22"/>
          <w:szCs w:val="22"/>
        </w:rPr>
        <w:t>标准实施后，马尾松林下茯苓种植规范化程度全面提升，优质品率提高20%以上；松木疫木及废弃物利用率稳定在90%以上；亩均产值较传统种植增加1500-2500元，构建生态修复与林下经济协同发展模式。</w:t>
      </w:r>
    </w:p>
    <w:p w14:paraId="21A3D66A">
      <w:pPr>
        <w:pStyle w:val="2"/>
        <w:widowControl/>
        <w:spacing w:beforeAutospacing="0" w:after="156" w:afterLines="50" w:afterAutospacing="0" w:line="360" w:lineRule="auto"/>
        <w:rPr>
          <w:rFonts w:cs="宋体"/>
          <w:color w:val="1F2329"/>
          <w:sz w:val="24"/>
          <w:szCs w:val="24"/>
        </w:rPr>
      </w:pPr>
      <w:r>
        <w:rPr>
          <w:rFonts w:cs="宋体"/>
          <w:color w:val="1F2329"/>
          <w:sz w:val="24"/>
          <w:szCs w:val="24"/>
        </w:rPr>
        <w:t>2.6 与现有标准的关系</w:t>
      </w:r>
    </w:p>
    <w:p w14:paraId="4BD3CE55">
      <w:pPr>
        <w:pStyle w:val="14"/>
        <w:spacing w:after="0" w:line="360" w:lineRule="auto"/>
        <w:ind w:firstLine="440"/>
        <w:jc w:val="both"/>
        <w:rPr>
          <w:rFonts w:hint="eastAsia" w:ascii="宋体" w:hAnsi="宋体" w:eastAsia="宋体"/>
        </w:rPr>
      </w:pPr>
      <w:r>
        <w:rPr>
          <w:rFonts w:hint="eastAsia" w:ascii="宋体" w:hAnsi="宋体" w:eastAsia="宋体"/>
        </w:rPr>
        <w:t>本标准聚焦马尾松专用林下栽培茯苓，细化树蔸/袋料双模式、疫木利用、采收判定等核心技术，与国内现有茯苓栽培标准协调互补，无交叉矛盾。</w:t>
      </w:r>
    </w:p>
    <w:p w14:paraId="2C5B430F">
      <w:pPr>
        <w:numPr>
          <w:ilvl w:val="0"/>
          <w:numId w:val="1"/>
        </w:numPr>
        <w:spacing w:before="156" w:beforeLines="50" w:after="156" w:afterLines="50" w:line="360" w:lineRule="auto"/>
        <w:ind w:left="0"/>
        <w:rPr>
          <w:rFonts w:hint="eastAsia" w:ascii="宋体" w:hAnsi="宋体"/>
          <w:b/>
          <w:bCs/>
          <w:kern w:val="0"/>
          <w:sz w:val="28"/>
          <w:szCs w:val="28"/>
        </w:rPr>
      </w:pPr>
      <w:r>
        <w:rPr>
          <w:rFonts w:hint="eastAsia" w:ascii="宋体" w:hAnsi="宋体"/>
          <w:b/>
          <w:bCs/>
          <w:kern w:val="0"/>
          <w:sz w:val="28"/>
          <w:szCs w:val="28"/>
        </w:rPr>
        <w:t>标准涉及的相关知识产权说明</w:t>
      </w:r>
    </w:p>
    <w:p w14:paraId="7DED2A52">
      <w:pPr>
        <w:pStyle w:val="14"/>
        <w:spacing w:after="0" w:line="360" w:lineRule="auto"/>
        <w:ind w:firstLine="440"/>
        <w:jc w:val="both"/>
        <w:rPr>
          <w:rFonts w:hint="eastAsia" w:ascii="宋体" w:hAnsi="宋体"/>
          <w:sz w:val="24"/>
          <w:szCs w:val="24"/>
        </w:rPr>
      </w:pPr>
      <w:r>
        <w:rPr>
          <w:rFonts w:hint="eastAsia" w:ascii="宋体" w:hAnsi="宋体" w:eastAsia="宋体"/>
        </w:rPr>
        <w:t>本标准不涉及专利、商标等知识产权限制条款，相关技术为行业通用成熟技术，编制组已进行知识产权排查。标准发布机构不承担识别专利的责任。</w:t>
      </w:r>
    </w:p>
    <w:p w14:paraId="158884AE">
      <w:pPr>
        <w:numPr>
          <w:ilvl w:val="0"/>
          <w:numId w:val="1"/>
        </w:numPr>
        <w:spacing w:line="360" w:lineRule="auto"/>
        <w:ind w:left="0"/>
        <w:rPr>
          <w:rFonts w:hint="eastAsia" w:ascii="宋体" w:hAnsi="宋体"/>
          <w:kern w:val="0"/>
          <w:sz w:val="28"/>
          <w:szCs w:val="28"/>
        </w:rPr>
      </w:pPr>
      <w:r>
        <w:rPr>
          <w:rFonts w:hint="eastAsia" w:ascii="宋体" w:hAnsi="宋体"/>
          <w:b/>
          <w:bCs/>
          <w:kern w:val="0"/>
          <w:sz w:val="28"/>
          <w:szCs w:val="28"/>
        </w:rPr>
        <w:t>采用国际标准的程度与水平的简要说明</w:t>
      </w:r>
    </w:p>
    <w:p w14:paraId="3CD1CA24">
      <w:pPr>
        <w:spacing w:line="360" w:lineRule="auto"/>
        <w:ind w:firstLine="440" w:firstLineChars="200"/>
        <w:rPr>
          <w:rFonts w:hint="eastAsia" w:ascii="宋体" w:hAnsi="宋体"/>
          <w:kern w:val="0"/>
          <w:sz w:val="24"/>
          <w:szCs w:val="24"/>
        </w:rPr>
      </w:pPr>
      <w:r>
        <w:rPr>
          <w:rFonts w:ascii="宋体" w:hAnsi="宋体" w:cs="宋体"/>
          <w:sz w:val="22"/>
          <w:szCs w:val="22"/>
        </w:rPr>
        <w:t>茯苓为我国</w:t>
      </w:r>
      <w:bookmarkStart w:id="3" w:name="_GoBack"/>
      <w:bookmarkEnd w:id="3"/>
      <w:r>
        <w:rPr>
          <w:rFonts w:ascii="宋体" w:hAnsi="宋体" w:cs="宋体"/>
          <w:sz w:val="22"/>
          <w:szCs w:val="22"/>
        </w:rPr>
        <w:t>特色药用真菌，林下仿野生栽培具有自主</w:t>
      </w:r>
      <w:r>
        <w:rPr>
          <w:rFonts w:hint="eastAsia" w:ascii="宋体" w:hAnsi="宋体" w:cs="宋体"/>
          <w:sz w:val="22"/>
          <w:szCs w:val="22"/>
        </w:rPr>
        <w:t>研发技术</w:t>
      </w:r>
      <w:r>
        <w:rPr>
          <w:rFonts w:ascii="宋体" w:hAnsi="宋体" w:cs="宋体"/>
          <w:sz w:val="22"/>
          <w:szCs w:val="22"/>
        </w:rPr>
        <w:t>，无相关国际标准。本标准结合我国马尾松林区生态与生产实际，技术指标科学实用，达到国内林下药用菌栽培标准先进水平。</w:t>
      </w:r>
    </w:p>
    <w:p w14:paraId="54D16F46">
      <w:pPr>
        <w:numPr>
          <w:ilvl w:val="0"/>
          <w:numId w:val="1"/>
        </w:numPr>
        <w:spacing w:line="360" w:lineRule="auto"/>
        <w:ind w:left="0"/>
        <w:rPr>
          <w:rFonts w:hint="eastAsia" w:ascii="宋体" w:hAnsi="宋体"/>
          <w:b/>
          <w:bCs/>
          <w:kern w:val="0"/>
          <w:sz w:val="28"/>
          <w:szCs w:val="28"/>
        </w:rPr>
      </w:pPr>
      <w:r>
        <w:rPr>
          <w:rFonts w:hint="eastAsia" w:ascii="宋体" w:hAnsi="宋体"/>
          <w:b/>
          <w:bCs/>
          <w:kern w:val="0"/>
          <w:sz w:val="28"/>
          <w:szCs w:val="28"/>
        </w:rPr>
        <w:t>重大意见分歧的处理经过和依据</w:t>
      </w:r>
    </w:p>
    <w:p w14:paraId="788D3A22">
      <w:pPr>
        <w:pStyle w:val="14"/>
        <w:spacing w:after="0" w:line="360" w:lineRule="auto"/>
        <w:ind w:firstLine="440"/>
        <w:jc w:val="both"/>
        <w:rPr>
          <w:rFonts w:hint="eastAsia" w:ascii="宋体" w:hAnsi="宋体" w:eastAsia="宋体"/>
          <w:sz w:val="24"/>
          <w:szCs w:val="24"/>
        </w:rPr>
      </w:pPr>
      <w:r>
        <w:rPr>
          <w:rFonts w:hint="eastAsia" w:ascii="宋体" w:hAnsi="宋体" w:eastAsia="宋体"/>
        </w:rPr>
        <w:t>本标准处于申报阶段，尚未开展正式征求意见。编制组内部研讨无重大意见分歧。后续立项后，将按程序广泛征求意见，并对分歧意见进行妥善处理。</w:t>
      </w:r>
    </w:p>
    <w:p w14:paraId="02A48B08">
      <w:pPr>
        <w:numPr>
          <w:ilvl w:val="0"/>
          <w:numId w:val="1"/>
        </w:numPr>
        <w:spacing w:line="360" w:lineRule="auto"/>
        <w:ind w:left="0"/>
        <w:rPr>
          <w:rFonts w:hint="eastAsia" w:ascii="宋体" w:hAnsi="宋体"/>
          <w:b/>
          <w:bCs/>
          <w:kern w:val="0"/>
          <w:sz w:val="28"/>
          <w:szCs w:val="28"/>
        </w:rPr>
      </w:pPr>
      <w:r>
        <w:rPr>
          <w:rFonts w:hint="eastAsia" w:ascii="宋体" w:hAnsi="宋体"/>
          <w:b/>
          <w:bCs/>
          <w:kern w:val="0"/>
          <w:sz w:val="28"/>
          <w:szCs w:val="28"/>
        </w:rPr>
        <w:t>其他应予说明的事项</w:t>
      </w:r>
    </w:p>
    <w:p w14:paraId="041D24A0">
      <w:pPr>
        <w:pStyle w:val="14"/>
        <w:spacing w:before="156" w:beforeLines="50" w:after="0" w:line="360" w:lineRule="auto"/>
        <w:ind w:firstLine="0" w:firstLineChars="0"/>
        <w:jc w:val="both"/>
        <w:rPr>
          <w:rFonts w:hint="eastAsia" w:ascii="宋体" w:hAnsi="宋体" w:eastAsia="宋体"/>
          <w:b/>
          <w:bCs/>
        </w:rPr>
      </w:pPr>
      <w:r>
        <w:rPr>
          <w:rFonts w:hint="eastAsia" w:ascii="宋体" w:hAnsi="宋体" w:eastAsia="宋体"/>
          <w:b/>
          <w:bCs/>
        </w:rPr>
        <w:t>6.1 适用范围</w:t>
      </w:r>
    </w:p>
    <w:p w14:paraId="5978A5FB">
      <w:pPr>
        <w:pStyle w:val="14"/>
        <w:spacing w:after="0" w:line="360" w:lineRule="auto"/>
        <w:ind w:firstLine="440"/>
        <w:jc w:val="both"/>
        <w:rPr>
          <w:rFonts w:hint="eastAsia" w:ascii="宋体" w:hAnsi="宋体" w:eastAsia="宋体"/>
        </w:rPr>
      </w:pPr>
      <w:r>
        <w:rPr>
          <w:rFonts w:hint="eastAsia" w:ascii="宋体" w:hAnsi="宋体" w:eastAsia="宋体"/>
        </w:rPr>
        <w:t>本标准适用于全国马尾松林下茯苓仿野生种植，涵盖树蔸、袋料两种模式，兼顾疫木资源化利用与生态防控。其他松属林分可参照执行。</w:t>
      </w:r>
    </w:p>
    <w:p w14:paraId="06EECC04">
      <w:pPr>
        <w:pStyle w:val="14"/>
        <w:spacing w:before="156" w:beforeLines="50" w:after="0" w:line="360" w:lineRule="auto"/>
        <w:ind w:firstLine="0" w:firstLineChars="0"/>
        <w:jc w:val="both"/>
        <w:rPr>
          <w:rFonts w:hint="eastAsia" w:ascii="宋体" w:hAnsi="宋体" w:eastAsia="宋体"/>
          <w:b/>
          <w:bCs/>
        </w:rPr>
      </w:pPr>
      <w:r>
        <w:rPr>
          <w:rFonts w:hint="eastAsia" w:ascii="宋体" w:hAnsi="宋体" w:eastAsia="宋体"/>
          <w:b/>
          <w:bCs/>
        </w:rPr>
        <w:t>6.2 后续工作</w:t>
      </w:r>
    </w:p>
    <w:p w14:paraId="44F5CF43">
      <w:pPr>
        <w:pStyle w:val="14"/>
        <w:spacing w:after="0" w:line="360" w:lineRule="auto"/>
        <w:ind w:firstLine="440"/>
        <w:jc w:val="both"/>
        <w:rPr>
          <w:rFonts w:hint="eastAsia" w:ascii="宋体" w:hAnsi="宋体"/>
          <w:sz w:val="24"/>
          <w:szCs w:val="24"/>
        </w:rPr>
      </w:pPr>
      <w:r>
        <w:rPr>
          <w:rFonts w:hint="eastAsia" w:ascii="宋体" w:hAnsi="宋体" w:eastAsia="宋体"/>
        </w:rPr>
        <w:t>如本标准获中国林学会批准立项，编制组将严格按照团体标准制定程序，完成征求意见、送审、报批等工作，保障标准质量。</w:t>
      </w:r>
    </w:p>
    <w:sectPr>
      <w:headerReference r:id="rId3" w:type="default"/>
      <w:footerReference r:id="rId4"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Times New Roman Regular">
    <w:altName w:val="Times New Roman"/>
    <w:panose1 w:val="02020603050405020304"/>
    <w:charset w:val="00"/>
    <w:family w:val="auto"/>
    <w:pitch w:val="default"/>
    <w:sig w:usb0="00000000" w:usb1="00000000" w:usb2="00000009" w:usb3="00000000" w:csb0="400001FF" w:csb1="FFFF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3D6FB">
    <w:pPr>
      <w:pStyle w:val="5"/>
      <w:rPr>
        <w:rFonts w:hint="eastAsia"/>
      </w:rPr>
    </w:pPr>
    <w:r>
      <w:rPr>
        <w:rFonts w:hint="eastAsi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0325" cy="154940"/>
              <wp:effectExtent l="0" t="0" r="0" b="0"/>
              <wp:wrapNone/>
              <wp:docPr id="344384124"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60325" cy="154940"/>
                      </a:xfrm>
                      <a:prstGeom prst="rect">
                        <a:avLst/>
                      </a:prstGeom>
                      <a:noFill/>
                      <a:ln>
                        <a:noFill/>
                      </a:ln>
                    </wps:spPr>
                    <wps:txbx>
                      <w:txbxContent>
                        <w:p w14:paraId="099ED652">
                          <w:pPr>
                            <w:pStyle w:val="5"/>
                            <w:rPr>
                              <w:rFonts w:hint="eastAsia"/>
                            </w:rPr>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2.2pt;width:4.75pt;mso-position-horizontal:center;mso-position-horizontal-relative:margin;mso-wrap-style:none;z-index:251660288;mso-width-relative:page;mso-height-relative:page;" filled="f" stroked="f" coordsize="21600,21600" o:gfxdata="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6jSfI0QAAAAIBAAAPAAAAAAAAAAEAIAAAACIAAABkcnMvZG93bnJl&#10;di54bWxQSwECFAAUAAAACACHTuJAlPXWXgQCAAALBAAADgAAAAAAAAABACAAAAAgAQAAZHJzL2Uy&#10;b0RvYy54bWxQSwUGAAAAAAYABgBZAQAAlgUAAAAA&#10;">
              <v:fill on="f" focussize="0,0"/>
              <v:stroke on="f"/>
              <v:imagedata o:title=""/>
              <o:lock v:ext="edit" aspectratio="f"/>
              <v:textbox inset="0mm,0mm,0mm,0mm" style="mso-fit-shape-to-text:t;">
                <w:txbxContent>
                  <w:p w14:paraId="099ED652">
                    <w:pPr>
                      <w:pStyle w:val="5"/>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D7509">
    <w:pPr>
      <w:pStyle w:val="6"/>
      <w:pBdr>
        <w:top w:val="none" w:color="auto" w:sz="0" w:space="0"/>
        <w:left w:val="none" w:color="auto" w:sz="0" w:space="0"/>
        <w:bottom w:val="none" w:color="auto" w:sz="0" w:space="1"/>
        <w:right w:val="none" w:color="auto" w:sz="0" w:space="0"/>
        <w:between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504BE0"/>
    <w:multiLevelType w:val="singleLevel"/>
    <w:tmpl w:val="94504BE0"/>
    <w:lvl w:ilvl="0" w:tentative="0">
      <w:start w:val="1"/>
      <w:numFmt w:val="decimal"/>
      <w:suff w:val="nothing"/>
      <w:lvlText w:val="（%1）"/>
      <w:lvlJc w:val="left"/>
    </w:lvl>
  </w:abstractNum>
  <w:abstractNum w:abstractNumId="1">
    <w:nsid w:val="A3D889C6"/>
    <w:multiLevelType w:val="singleLevel"/>
    <w:tmpl w:val="A3D889C6"/>
    <w:lvl w:ilvl="0" w:tentative="0">
      <w:start w:val="1"/>
      <w:numFmt w:val="decimal"/>
      <w:suff w:val="nothing"/>
      <w:lvlText w:val="（%1）"/>
      <w:lvlJc w:val="left"/>
    </w:lvl>
  </w:abstractNum>
  <w:abstractNum w:abstractNumId="2">
    <w:nsid w:val="AA94C26A"/>
    <w:multiLevelType w:val="singleLevel"/>
    <w:tmpl w:val="AA94C26A"/>
    <w:lvl w:ilvl="0" w:tentative="0">
      <w:start w:val="1"/>
      <w:numFmt w:val="chineseCounting"/>
      <w:suff w:val="nothing"/>
      <w:lvlText w:val="%1、"/>
      <w:lvlJc w:val="left"/>
      <w:pPr>
        <w:ind w:left="560" w:firstLine="0"/>
      </w:pPr>
      <w:rPr>
        <w:rFonts w:hint="eastAsia"/>
        <w:b/>
        <w:bCs/>
      </w:rPr>
    </w:lvl>
  </w:abstractNum>
  <w:abstractNum w:abstractNumId="3">
    <w:nsid w:val="02E1BDB1"/>
    <w:multiLevelType w:val="multilevel"/>
    <w:tmpl w:val="02E1BDB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FF"/>
    <w:rsid w:val="0001264B"/>
    <w:rsid w:val="000431F4"/>
    <w:rsid w:val="00063895"/>
    <w:rsid w:val="000D5ADB"/>
    <w:rsid w:val="0010794F"/>
    <w:rsid w:val="001E0A2E"/>
    <w:rsid w:val="00217917"/>
    <w:rsid w:val="00217ABB"/>
    <w:rsid w:val="002446FC"/>
    <w:rsid w:val="00277F29"/>
    <w:rsid w:val="00361EB5"/>
    <w:rsid w:val="004B6363"/>
    <w:rsid w:val="005957FA"/>
    <w:rsid w:val="005E3B8B"/>
    <w:rsid w:val="006A4AAC"/>
    <w:rsid w:val="007300E0"/>
    <w:rsid w:val="008668CB"/>
    <w:rsid w:val="008F41A2"/>
    <w:rsid w:val="009C7FD5"/>
    <w:rsid w:val="009F1476"/>
    <w:rsid w:val="00A04879"/>
    <w:rsid w:val="00A67527"/>
    <w:rsid w:val="00AA1769"/>
    <w:rsid w:val="00B16167"/>
    <w:rsid w:val="00B3417B"/>
    <w:rsid w:val="00B5398A"/>
    <w:rsid w:val="00BF25E5"/>
    <w:rsid w:val="00C342B2"/>
    <w:rsid w:val="00C3644A"/>
    <w:rsid w:val="00C536F8"/>
    <w:rsid w:val="00C734BE"/>
    <w:rsid w:val="00C84132"/>
    <w:rsid w:val="00C86020"/>
    <w:rsid w:val="00CC215A"/>
    <w:rsid w:val="00CF197F"/>
    <w:rsid w:val="00CF56FF"/>
    <w:rsid w:val="00D373C2"/>
    <w:rsid w:val="00D4662B"/>
    <w:rsid w:val="00D804FC"/>
    <w:rsid w:val="00D817AC"/>
    <w:rsid w:val="00DA2BAB"/>
    <w:rsid w:val="00DB0192"/>
    <w:rsid w:val="00DD6ACD"/>
    <w:rsid w:val="00E94213"/>
    <w:rsid w:val="023C7675"/>
    <w:rsid w:val="04463D2B"/>
    <w:rsid w:val="06872D56"/>
    <w:rsid w:val="080812F8"/>
    <w:rsid w:val="094B38F4"/>
    <w:rsid w:val="0D146E4C"/>
    <w:rsid w:val="0DEC187B"/>
    <w:rsid w:val="10765BB5"/>
    <w:rsid w:val="10D036B2"/>
    <w:rsid w:val="17842D50"/>
    <w:rsid w:val="19676254"/>
    <w:rsid w:val="1ABB3202"/>
    <w:rsid w:val="1C3109C5"/>
    <w:rsid w:val="1D8D4321"/>
    <w:rsid w:val="20F35F51"/>
    <w:rsid w:val="27585757"/>
    <w:rsid w:val="2A8A2271"/>
    <w:rsid w:val="2D592D5E"/>
    <w:rsid w:val="2F3E4FAD"/>
    <w:rsid w:val="3178511A"/>
    <w:rsid w:val="31BA0067"/>
    <w:rsid w:val="33EF5E59"/>
    <w:rsid w:val="3543191C"/>
    <w:rsid w:val="3A69379B"/>
    <w:rsid w:val="3B7A147C"/>
    <w:rsid w:val="3E407E8E"/>
    <w:rsid w:val="3EBB5ABB"/>
    <w:rsid w:val="3FF54D36"/>
    <w:rsid w:val="3FFFE902"/>
    <w:rsid w:val="40206459"/>
    <w:rsid w:val="414F52C6"/>
    <w:rsid w:val="42220C2D"/>
    <w:rsid w:val="43AC0714"/>
    <w:rsid w:val="441F5424"/>
    <w:rsid w:val="4AF37926"/>
    <w:rsid w:val="4B683CEB"/>
    <w:rsid w:val="4B702A09"/>
    <w:rsid w:val="4C075C03"/>
    <w:rsid w:val="4D78636E"/>
    <w:rsid w:val="4E1E04FA"/>
    <w:rsid w:val="4E7B76FB"/>
    <w:rsid w:val="536524C3"/>
    <w:rsid w:val="55B24D82"/>
    <w:rsid w:val="5943350B"/>
    <w:rsid w:val="5CEE2A69"/>
    <w:rsid w:val="5ECA2B46"/>
    <w:rsid w:val="60BF604F"/>
    <w:rsid w:val="62105334"/>
    <w:rsid w:val="63231DFB"/>
    <w:rsid w:val="652C12F7"/>
    <w:rsid w:val="65B57B97"/>
    <w:rsid w:val="6708580E"/>
    <w:rsid w:val="699925C6"/>
    <w:rsid w:val="6B113469"/>
    <w:rsid w:val="6C745C65"/>
    <w:rsid w:val="716506AA"/>
    <w:rsid w:val="71902C0D"/>
    <w:rsid w:val="71B0505E"/>
    <w:rsid w:val="72CE7E91"/>
    <w:rsid w:val="7395275D"/>
    <w:rsid w:val="74BC2AB0"/>
    <w:rsid w:val="791E4FA3"/>
    <w:rsid w:val="7BC32CA3"/>
    <w:rsid w:val="7BE424D4"/>
    <w:rsid w:val="7EFF74BD"/>
    <w:rsid w:val="DF8986B9"/>
    <w:rsid w:val="FB771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paragraph" w:styleId="3">
    <w:name w:val="heading 4"/>
    <w:basedOn w:val="1"/>
    <w:next w:val="1"/>
    <w:semiHidden/>
    <w:unhideWhenUsed/>
    <w:qFormat/>
    <w:uiPriority w:val="9"/>
    <w:pPr>
      <w:spacing w:beforeAutospacing="1" w:afterAutospacing="1"/>
      <w:jc w:val="left"/>
      <w:outlineLvl w:val="3"/>
    </w:pPr>
    <w:rPr>
      <w:rFonts w:hint="eastAsia" w:ascii="宋体" w:hAnsi="宋体"/>
      <w:b/>
      <w:bCs/>
      <w:kern w:val="0"/>
      <w:sz w:val="24"/>
      <w:szCs w:val="24"/>
    </w:rPr>
  </w:style>
  <w:style w:type="paragraph" w:styleId="4">
    <w:name w:val="heading 5"/>
    <w:basedOn w:val="1"/>
    <w:next w:val="1"/>
    <w:semiHidden/>
    <w:unhideWhenUsed/>
    <w:qFormat/>
    <w:uiPriority w:val="9"/>
    <w:pPr>
      <w:spacing w:beforeAutospacing="1" w:afterAutospacing="1"/>
      <w:jc w:val="left"/>
      <w:outlineLvl w:val="4"/>
    </w:pPr>
    <w:rPr>
      <w:rFonts w:hint="eastAsia" w:ascii="宋体" w:hAnsi="宋体"/>
      <w:b/>
      <w:bCs/>
      <w:kern w:val="0"/>
      <w:sz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3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paragraph" w:styleId="14">
    <w:name w:val="List Paragraph"/>
    <w:basedOn w:val="1"/>
    <w:qFormat/>
    <w:uiPriority w:val="34"/>
    <w:pPr>
      <w:widowControl/>
      <w:adjustRightInd w:val="0"/>
      <w:snapToGrid w:val="0"/>
      <w:spacing w:after="200"/>
      <w:ind w:firstLine="420" w:firstLineChars="200"/>
      <w:jc w:val="left"/>
    </w:pPr>
    <w:rPr>
      <w:rFonts w:ascii="Tahoma" w:hAnsi="Tahoma" w:eastAsia="微软雅黑" w:cstheme="minorBidi"/>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1809</Words>
  <Characters>1935</Characters>
  <Lines>40</Lines>
  <Paragraphs>11</Paragraphs>
  <TotalTime>81</TotalTime>
  <ScaleCrop>false</ScaleCrop>
  <LinksUpToDate>false</LinksUpToDate>
  <CharactersWithSpaces>1946</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2026-06-05T20:33:00Z</dcterms:created>
  <dc:creator>201</dc:creator>
  <cp:lastModifiedBy>gjlcj</cp:lastModifiedBy>
  <dcterms:modified xsi:type="dcterms:W3CDTF">2026-08-06T08:35:21Z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eyJoZGlkIjoiOGEwYTExMWRkMTk3ODVjZTc3OWI5NDg2NDU5NjhkOGQiLCJ1c2VySWQiOiI0NDM4MTc0ODMifQ==</vt:lpwstr>
  </property>
  <property fmtid="{D5CDD505-2E9C-101B-9397-08002B2CF9AE}" pid="3" name="KSOProductBuildVer">
    <vt:lpwstr>2052-12.1.2.24722</vt:lpwstr>
  </property>
  <property fmtid="{D5CDD505-2E9C-101B-9397-08002B2CF9AE}" pid="4" name="ICV">
    <vt:lpwstr>90CAD699F5B5459FA744EDB0C3C06D8E_13</vt:lpwstr>
  </property>
</Properties>
</file>