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CE359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Theme="minorEastAsia" w:hAnsiTheme="minorEastAsia" w:eastAsiaTheme="minorEastAsia"/>
          <w:b/>
          <w:sz w:val="44"/>
          <w:szCs w:val="44"/>
        </w:rPr>
      </w:pPr>
      <w:r>
        <w:rPr>
          <w:rFonts w:hint="eastAsia" w:asciiTheme="minorEastAsia" w:hAnsiTheme="minorEastAsia" w:eastAsiaTheme="minorEastAsia"/>
          <w:b/>
          <w:sz w:val="44"/>
          <w:szCs w:val="44"/>
        </w:rPr>
        <w:t>中国林学会团体标准</w:t>
      </w:r>
    </w:p>
    <w:p w14:paraId="31E2ECD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Theme="minorEastAsia" w:hAnsiTheme="minorEastAsia" w:eastAsiaTheme="minorEastAsia"/>
          <w:b/>
          <w:sz w:val="44"/>
          <w:szCs w:val="44"/>
        </w:rPr>
      </w:pPr>
      <w:r>
        <w:rPr>
          <w:rFonts w:hint="eastAsia" w:asciiTheme="minorEastAsia" w:hAnsiTheme="minorEastAsia" w:eastAsiaTheme="minorEastAsia"/>
          <w:b/>
          <w:sz w:val="44"/>
          <w:szCs w:val="44"/>
        </w:rPr>
        <w:t>编制说明</w:t>
      </w:r>
    </w:p>
    <w:p w14:paraId="7A0FA767">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firstLine="420"/>
        <w:rPr>
          <w:rFonts w:hint="eastAsia" w:ascii="Times New Roman" w:hAnsi="Times New Roman" w:eastAsia="Segoe UI" w:cs="Times New Roman"/>
          <w:i w:val="0"/>
          <w:iCs w:val="0"/>
          <w:caps w:val="0"/>
          <w:color w:val="0F1115"/>
          <w:spacing w:val="0"/>
          <w:sz w:val="28"/>
          <w:szCs w:val="28"/>
          <w:shd w:val="clear" w:fill="FFFFFF"/>
        </w:rPr>
      </w:pPr>
      <w:r>
        <w:rPr>
          <w:rFonts w:hint="eastAsia" w:ascii="Times New Roman" w:hAnsi="Times New Roman" w:eastAsia="Segoe UI" w:cs="Times New Roman"/>
          <w:i w:val="0"/>
          <w:iCs w:val="0"/>
          <w:caps w:val="0"/>
          <w:color w:val="0F1115"/>
          <w:spacing w:val="0"/>
          <w:sz w:val="28"/>
          <w:szCs w:val="28"/>
          <w:shd w:val="clear" w:fill="FFFFFF"/>
        </w:rPr>
        <w:t>偃松（</w:t>
      </w:r>
      <w:r>
        <w:rPr>
          <w:rFonts w:hint="default" w:ascii="Times New Roman" w:hAnsi="Times New Roman" w:eastAsia="Segoe UI" w:cs="Times New Roman"/>
          <w:i/>
          <w:iCs/>
          <w:caps w:val="0"/>
          <w:color w:val="0F1115"/>
          <w:spacing w:val="0"/>
          <w:sz w:val="28"/>
          <w:szCs w:val="28"/>
          <w:shd w:val="clear" w:fill="FFFFFF"/>
        </w:rPr>
        <w:t>Pinus pumila</w:t>
      </w:r>
      <w:r>
        <w:rPr>
          <w:rFonts w:hint="default" w:ascii="Times New Roman" w:hAnsi="Times New Roman" w:eastAsia="Segoe UI" w:cs="Times New Roman"/>
          <w:i w:val="0"/>
          <w:iCs w:val="0"/>
          <w:caps w:val="0"/>
          <w:color w:val="0F1115"/>
          <w:spacing w:val="0"/>
          <w:sz w:val="28"/>
          <w:szCs w:val="28"/>
          <w:shd w:val="clear" w:fill="FFFFFF"/>
        </w:rPr>
        <w:t xml:space="preserve"> (Pall.) Regel</w:t>
      </w:r>
      <w:r>
        <w:rPr>
          <w:rFonts w:hint="eastAsia" w:ascii="Times New Roman" w:hAnsi="Times New Roman" w:eastAsia="Segoe UI" w:cs="Times New Roman"/>
          <w:i w:val="0"/>
          <w:iCs w:val="0"/>
          <w:caps w:val="0"/>
          <w:color w:val="0F1115"/>
          <w:spacing w:val="0"/>
          <w:sz w:val="28"/>
          <w:szCs w:val="28"/>
          <w:shd w:val="clear" w:fill="FFFFFF"/>
        </w:rPr>
        <w:t>）是我国重要的生态经济型树种和果用松资源之一，分布于东北大兴安岭白哈喇山和英吉里山、小兴安岭、吉林老爷岭和长白山等高海拔地带。其种仁含有蛋白质、多糖、维生素和矿物质，风</w:t>
      </w:r>
      <w:r>
        <w:rPr>
          <w:rFonts w:hint="default" w:ascii="Times New Roman" w:hAnsi="Times New Roman" w:eastAsia="Segoe UI" w:cs="Times New Roman"/>
          <w:i w:val="0"/>
          <w:iCs w:val="0"/>
          <w:caps w:val="0"/>
          <w:color w:val="0F1115"/>
          <w:spacing w:val="0"/>
          <w:sz w:val="28"/>
          <w:szCs w:val="28"/>
          <w:shd w:val="clear" w:fill="FFFFFF"/>
        </w:rPr>
        <w:t>味</w:t>
      </w:r>
      <w:r>
        <w:rPr>
          <w:rFonts w:hint="eastAsia" w:ascii="Times New Roman" w:hAnsi="Times New Roman" w:eastAsia="Segoe UI" w:cs="Times New Roman"/>
          <w:i w:val="0"/>
          <w:iCs w:val="0"/>
          <w:caps w:val="0"/>
          <w:color w:val="0F1115"/>
          <w:spacing w:val="0"/>
          <w:sz w:val="28"/>
          <w:szCs w:val="28"/>
          <w:shd w:val="clear" w:fill="FFFFFF"/>
        </w:rPr>
        <w:t>独特</w:t>
      </w:r>
      <w:r>
        <w:rPr>
          <w:rFonts w:hint="default" w:ascii="Times New Roman" w:hAnsi="Times New Roman" w:eastAsia="Segoe UI" w:cs="Times New Roman"/>
          <w:i w:val="0"/>
          <w:iCs w:val="0"/>
          <w:caps w:val="0"/>
          <w:color w:val="0F1115"/>
          <w:spacing w:val="0"/>
          <w:sz w:val="28"/>
          <w:szCs w:val="28"/>
          <w:shd w:val="clear" w:fill="FFFFFF"/>
        </w:rPr>
        <w:t>，</w:t>
      </w:r>
      <w:r>
        <w:rPr>
          <w:rFonts w:hint="eastAsia" w:ascii="Times New Roman" w:hAnsi="Times New Roman" w:eastAsia="Segoe UI" w:cs="Times New Roman"/>
          <w:i w:val="0"/>
          <w:iCs w:val="0"/>
          <w:caps w:val="0"/>
          <w:color w:val="0F1115"/>
          <w:spacing w:val="0"/>
          <w:sz w:val="28"/>
          <w:szCs w:val="28"/>
          <w:shd w:val="clear" w:fill="FFFFFF"/>
        </w:rPr>
        <w:t>为滋补佳品。</w:t>
      </w:r>
      <w:r>
        <w:rPr>
          <w:rFonts w:hint="eastAsia" w:ascii="Times New Roman" w:cs="Times New Roman"/>
          <w:i w:val="0"/>
          <w:iCs w:val="0"/>
          <w:caps w:val="0"/>
          <w:color w:val="0F1115"/>
          <w:spacing w:val="0"/>
          <w:sz w:val="28"/>
          <w:szCs w:val="28"/>
          <w:shd w:val="clear" w:fill="FFFFFF"/>
          <w:lang w:val="en-US" w:eastAsia="zh-CN"/>
        </w:rPr>
        <w:t>同时，</w:t>
      </w:r>
      <w:r>
        <w:rPr>
          <w:rFonts w:hint="eastAsia" w:ascii="Times New Roman" w:hAnsi="Times New Roman" w:eastAsia="Segoe UI" w:cs="Times New Roman"/>
          <w:i w:val="0"/>
          <w:iCs w:val="0"/>
          <w:caps w:val="0"/>
          <w:color w:val="0F1115"/>
          <w:spacing w:val="0"/>
          <w:sz w:val="28"/>
          <w:szCs w:val="28"/>
          <w:shd w:val="clear" w:fill="FFFFFF"/>
        </w:rPr>
        <w:t>偃松种仁富含</w:t>
      </w:r>
      <w:r>
        <w:rPr>
          <w:rFonts w:hint="default" w:ascii="Times New Roman" w:hAnsi="Times New Roman" w:eastAsia="Segoe UI" w:cs="Times New Roman"/>
          <w:i w:val="0"/>
          <w:iCs w:val="0"/>
          <w:caps w:val="0"/>
          <w:color w:val="0F1115"/>
          <w:spacing w:val="0"/>
          <w:sz w:val="28"/>
          <w:szCs w:val="28"/>
          <w:shd w:val="clear" w:fill="FFFFFF"/>
        </w:rPr>
        <w:t>油酸、亚油酸</w:t>
      </w:r>
      <w:r>
        <w:rPr>
          <w:rFonts w:hint="eastAsia" w:ascii="Times New Roman" w:hAnsi="Times New Roman" w:eastAsia="Segoe UI" w:cs="Times New Roman"/>
          <w:i w:val="0"/>
          <w:iCs w:val="0"/>
          <w:caps w:val="0"/>
          <w:color w:val="0F1115"/>
          <w:spacing w:val="0"/>
          <w:sz w:val="28"/>
          <w:szCs w:val="28"/>
          <w:shd w:val="clear" w:fill="FFFFFF"/>
        </w:rPr>
        <w:t>等</w:t>
      </w:r>
      <w:r>
        <w:rPr>
          <w:rFonts w:hint="default" w:ascii="Times New Roman" w:hAnsi="Times New Roman" w:eastAsia="Segoe UI" w:cs="Times New Roman"/>
          <w:i w:val="0"/>
          <w:iCs w:val="0"/>
          <w:caps w:val="0"/>
          <w:color w:val="0F1115"/>
          <w:spacing w:val="0"/>
          <w:sz w:val="28"/>
          <w:szCs w:val="28"/>
          <w:shd w:val="clear" w:fill="FFFFFF"/>
        </w:rPr>
        <w:t>不饱和脂肪酸</w:t>
      </w:r>
      <w:r>
        <w:rPr>
          <w:rFonts w:hint="eastAsia" w:ascii="Times New Roman" w:hAnsi="Times New Roman" w:eastAsia="Segoe UI" w:cs="Times New Roman"/>
          <w:i w:val="0"/>
          <w:iCs w:val="0"/>
          <w:caps w:val="0"/>
          <w:color w:val="0F1115"/>
          <w:spacing w:val="0"/>
          <w:sz w:val="28"/>
          <w:szCs w:val="28"/>
          <w:shd w:val="clear" w:fill="FFFFFF"/>
        </w:rPr>
        <w:t>以及</w:t>
      </w:r>
      <w:r>
        <w:rPr>
          <w:rFonts w:hint="default" w:ascii="Times New Roman" w:hAnsi="Times New Roman" w:eastAsia="Segoe UI" w:cs="Times New Roman"/>
          <w:i w:val="0"/>
          <w:iCs w:val="0"/>
          <w:caps w:val="0"/>
          <w:color w:val="0F1115"/>
          <w:spacing w:val="0"/>
          <w:sz w:val="28"/>
          <w:szCs w:val="28"/>
          <w:shd w:val="clear" w:fill="FFFFFF"/>
        </w:rPr>
        <w:t>角鲨烯</w:t>
      </w:r>
      <w:r>
        <w:rPr>
          <w:rFonts w:hint="eastAsia" w:ascii="Times New Roman" w:hAnsi="Times New Roman" w:eastAsia="Segoe UI" w:cs="Times New Roman"/>
          <w:i w:val="0"/>
          <w:iCs w:val="0"/>
          <w:caps w:val="0"/>
          <w:color w:val="0F1115"/>
          <w:spacing w:val="0"/>
          <w:sz w:val="28"/>
          <w:szCs w:val="28"/>
          <w:shd w:val="clear" w:fill="FFFFFF"/>
        </w:rPr>
        <w:t>、维生素E等，具有</w:t>
      </w:r>
      <w:r>
        <w:rPr>
          <w:rFonts w:hint="default" w:ascii="Times New Roman" w:hAnsi="Times New Roman" w:eastAsia="Segoe UI" w:cs="Times New Roman"/>
          <w:i w:val="0"/>
          <w:iCs w:val="0"/>
          <w:caps w:val="0"/>
          <w:color w:val="0F1115"/>
          <w:spacing w:val="0"/>
          <w:sz w:val="28"/>
          <w:szCs w:val="28"/>
          <w:shd w:val="clear" w:fill="FFFFFF"/>
        </w:rPr>
        <w:t>调节血脂、清理血栓</w:t>
      </w:r>
      <w:r>
        <w:rPr>
          <w:rFonts w:hint="eastAsia" w:ascii="Times New Roman" w:hAnsi="Times New Roman" w:eastAsia="Segoe UI" w:cs="Times New Roman"/>
          <w:i w:val="0"/>
          <w:iCs w:val="0"/>
          <w:caps w:val="0"/>
          <w:color w:val="0F1115"/>
          <w:spacing w:val="0"/>
          <w:sz w:val="28"/>
          <w:szCs w:val="28"/>
          <w:shd w:val="clear" w:fill="FFFFFF"/>
        </w:rPr>
        <w:t>及</w:t>
      </w:r>
      <w:r>
        <w:rPr>
          <w:rFonts w:hint="default" w:ascii="Times New Roman" w:hAnsi="Times New Roman" w:eastAsia="Segoe UI" w:cs="Times New Roman"/>
          <w:i w:val="0"/>
          <w:iCs w:val="0"/>
          <w:caps w:val="0"/>
          <w:color w:val="0F1115"/>
          <w:spacing w:val="0"/>
          <w:sz w:val="28"/>
          <w:szCs w:val="28"/>
          <w:shd w:val="clear" w:fill="FFFFFF"/>
        </w:rPr>
        <w:t>延缓衰老等多种</w:t>
      </w:r>
      <w:r>
        <w:rPr>
          <w:rFonts w:hint="eastAsia" w:ascii="Times New Roman" w:hAnsi="Times New Roman" w:eastAsia="Segoe UI" w:cs="Times New Roman"/>
          <w:i w:val="0"/>
          <w:iCs w:val="0"/>
          <w:caps w:val="0"/>
          <w:color w:val="0F1115"/>
          <w:spacing w:val="0"/>
          <w:sz w:val="28"/>
          <w:szCs w:val="28"/>
          <w:shd w:val="clear" w:fill="FFFFFF"/>
        </w:rPr>
        <w:t>药用保健</w:t>
      </w:r>
      <w:r>
        <w:rPr>
          <w:rFonts w:hint="default" w:ascii="Times New Roman" w:hAnsi="Times New Roman" w:eastAsia="Segoe UI" w:cs="Times New Roman"/>
          <w:i w:val="0"/>
          <w:iCs w:val="0"/>
          <w:caps w:val="0"/>
          <w:color w:val="0F1115"/>
          <w:spacing w:val="0"/>
          <w:sz w:val="28"/>
          <w:szCs w:val="28"/>
          <w:shd w:val="clear" w:fill="FFFFFF"/>
        </w:rPr>
        <w:t>功能</w:t>
      </w:r>
      <w:r>
        <w:rPr>
          <w:rFonts w:hint="eastAsia" w:ascii="Times New Roman" w:hAnsi="Times New Roman" w:eastAsia="Segoe UI" w:cs="Times New Roman"/>
          <w:i w:val="0"/>
          <w:iCs w:val="0"/>
          <w:caps w:val="0"/>
          <w:color w:val="0F1115"/>
          <w:spacing w:val="0"/>
          <w:sz w:val="28"/>
          <w:szCs w:val="28"/>
          <w:shd w:val="clear" w:fill="FFFFFF"/>
        </w:rPr>
        <w:t>。</w:t>
      </w:r>
      <w:r>
        <w:rPr>
          <w:rFonts w:hint="eastAsia" w:ascii="Times New Roman" w:cs="Times New Roman"/>
          <w:i w:val="0"/>
          <w:iCs w:val="0"/>
          <w:caps w:val="0"/>
          <w:color w:val="0F1115"/>
          <w:spacing w:val="0"/>
          <w:sz w:val="28"/>
          <w:szCs w:val="28"/>
          <w:shd w:val="clear" w:fill="FFFFFF"/>
          <w:lang w:val="en-US" w:eastAsia="zh-CN"/>
        </w:rPr>
        <w:t>此外，</w:t>
      </w:r>
      <w:r>
        <w:rPr>
          <w:rFonts w:hint="eastAsia" w:ascii="Times New Roman" w:hAnsi="Times New Roman" w:eastAsia="Segoe UI" w:cs="Times New Roman"/>
          <w:i w:val="0"/>
          <w:iCs w:val="0"/>
          <w:caps w:val="0"/>
          <w:color w:val="0F1115"/>
          <w:spacing w:val="0"/>
          <w:sz w:val="28"/>
          <w:szCs w:val="28"/>
          <w:shd w:val="clear" w:fill="FFFFFF"/>
        </w:rPr>
        <w:t>偃松种仁</w:t>
      </w:r>
      <w:r>
        <w:rPr>
          <w:rFonts w:hint="default" w:ascii="Times New Roman" w:hAnsi="Times New Roman" w:eastAsia="Segoe UI" w:cs="Times New Roman"/>
          <w:i w:val="0"/>
          <w:iCs w:val="0"/>
          <w:caps w:val="0"/>
          <w:color w:val="0F1115"/>
          <w:spacing w:val="0"/>
          <w:sz w:val="28"/>
          <w:szCs w:val="28"/>
          <w:shd w:val="clear" w:fill="FFFFFF"/>
        </w:rPr>
        <w:t>中</w:t>
      </w:r>
      <w:r>
        <w:rPr>
          <w:rFonts w:hint="eastAsia" w:ascii="Times New Roman" w:hAnsi="Times New Roman" w:eastAsia="Segoe UI" w:cs="Times New Roman"/>
          <w:i w:val="0"/>
          <w:iCs w:val="0"/>
          <w:caps w:val="0"/>
          <w:color w:val="0F1115"/>
          <w:spacing w:val="0"/>
          <w:sz w:val="28"/>
          <w:szCs w:val="28"/>
          <w:shd w:val="clear" w:fill="FFFFFF"/>
        </w:rPr>
        <w:t>还含有</w:t>
      </w:r>
      <w:r>
        <w:rPr>
          <w:rFonts w:hint="default" w:ascii="Times New Roman" w:hAnsi="Times New Roman" w:eastAsia="Segoe UI" w:cs="Times New Roman"/>
          <w:i w:val="0"/>
          <w:iCs w:val="0"/>
          <w:caps w:val="0"/>
          <w:color w:val="0F1115"/>
          <w:spacing w:val="0"/>
          <w:sz w:val="28"/>
          <w:szCs w:val="28"/>
          <w:shd w:val="clear" w:fill="FFFFFF"/>
        </w:rPr>
        <w:t>β-谷甾醇、胡萝卜苷、豆甾醇</w:t>
      </w:r>
      <w:r>
        <w:rPr>
          <w:rFonts w:hint="eastAsia" w:ascii="Times New Roman" w:hAnsi="Times New Roman" w:eastAsia="Segoe UI" w:cs="Times New Roman"/>
          <w:i w:val="0"/>
          <w:iCs w:val="0"/>
          <w:caps w:val="0"/>
          <w:color w:val="0F1115"/>
          <w:spacing w:val="0"/>
          <w:sz w:val="28"/>
          <w:szCs w:val="28"/>
          <w:shd w:val="clear" w:fill="FFFFFF"/>
        </w:rPr>
        <w:t>、</w:t>
      </w:r>
      <w:r>
        <w:rPr>
          <w:rFonts w:hint="default" w:ascii="Times New Roman" w:hAnsi="Times New Roman" w:eastAsia="Segoe UI" w:cs="Times New Roman"/>
          <w:i w:val="0"/>
          <w:iCs w:val="0"/>
          <w:caps w:val="0"/>
          <w:color w:val="0F1115"/>
          <w:spacing w:val="0"/>
          <w:sz w:val="28"/>
          <w:szCs w:val="28"/>
          <w:shd w:val="clear" w:fill="FFFFFF"/>
        </w:rPr>
        <w:t>乌索酸、鞣花酸</w:t>
      </w:r>
      <w:r>
        <w:rPr>
          <w:rFonts w:hint="eastAsia" w:ascii="Times New Roman" w:hAnsi="Times New Roman" w:eastAsia="Segoe UI" w:cs="Times New Roman"/>
          <w:i w:val="0"/>
          <w:iCs w:val="0"/>
          <w:caps w:val="0"/>
          <w:color w:val="0F1115"/>
          <w:spacing w:val="0"/>
          <w:sz w:val="28"/>
          <w:szCs w:val="28"/>
          <w:shd w:val="clear" w:fill="FFFFFF"/>
        </w:rPr>
        <w:t>和</w:t>
      </w:r>
      <w:r>
        <w:rPr>
          <w:rFonts w:hint="default" w:ascii="Times New Roman" w:hAnsi="Times New Roman" w:eastAsia="Segoe UI" w:cs="Times New Roman"/>
          <w:i w:val="0"/>
          <w:iCs w:val="0"/>
          <w:caps w:val="0"/>
          <w:color w:val="0F1115"/>
          <w:spacing w:val="0"/>
          <w:sz w:val="28"/>
          <w:szCs w:val="28"/>
          <w:shd w:val="clear" w:fill="FFFFFF"/>
        </w:rPr>
        <w:t>没食子酸等具有抗氧化作用的成分，</w:t>
      </w:r>
      <w:r>
        <w:rPr>
          <w:rFonts w:hint="eastAsia" w:ascii="Times New Roman" w:hAnsi="Times New Roman" w:eastAsia="Segoe UI" w:cs="Times New Roman"/>
          <w:i w:val="0"/>
          <w:iCs w:val="0"/>
          <w:caps w:val="0"/>
          <w:color w:val="0F1115"/>
          <w:spacing w:val="0"/>
          <w:sz w:val="28"/>
          <w:szCs w:val="28"/>
          <w:shd w:val="clear" w:fill="FFFFFF"/>
        </w:rPr>
        <w:t>对</w:t>
      </w:r>
      <w:r>
        <w:rPr>
          <w:rFonts w:hint="default" w:ascii="Times New Roman" w:hAnsi="Times New Roman" w:eastAsia="Segoe UI" w:cs="Times New Roman"/>
          <w:i w:val="0"/>
          <w:iCs w:val="0"/>
          <w:caps w:val="0"/>
          <w:color w:val="0F1115"/>
          <w:spacing w:val="0"/>
          <w:sz w:val="28"/>
          <w:szCs w:val="28"/>
          <w:shd w:val="clear" w:fill="FFFFFF"/>
        </w:rPr>
        <w:t>风痹、头眩、燥咳、吐血</w:t>
      </w:r>
      <w:r>
        <w:rPr>
          <w:rFonts w:hint="eastAsia" w:ascii="Times New Roman" w:hAnsi="Times New Roman" w:eastAsia="Segoe UI" w:cs="Times New Roman"/>
          <w:i w:val="0"/>
          <w:iCs w:val="0"/>
          <w:caps w:val="0"/>
          <w:color w:val="0F1115"/>
          <w:spacing w:val="0"/>
          <w:sz w:val="28"/>
          <w:szCs w:val="28"/>
          <w:shd w:val="clear" w:fill="FFFFFF"/>
        </w:rPr>
        <w:t>和</w:t>
      </w:r>
      <w:r>
        <w:rPr>
          <w:rFonts w:hint="default" w:ascii="Times New Roman" w:hAnsi="Times New Roman" w:eastAsia="Segoe UI" w:cs="Times New Roman"/>
          <w:i w:val="0"/>
          <w:iCs w:val="0"/>
          <w:caps w:val="0"/>
          <w:color w:val="0F1115"/>
          <w:spacing w:val="0"/>
          <w:sz w:val="28"/>
          <w:szCs w:val="28"/>
          <w:shd w:val="clear" w:fill="FFFFFF"/>
        </w:rPr>
        <w:t>便秘等</w:t>
      </w:r>
      <w:r>
        <w:rPr>
          <w:rFonts w:hint="eastAsia" w:ascii="Times New Roman" w:hAnsi="Times New Roman" w:eastAsia="Segoe UI" w:cs="Times New Roman"/>
          <w:i w:val="0"/>
          <w:iCs w:val="0"/>
          <w:caps w:val="0"/>
          <w:color w:val="0F1115"/>
          <w:spacing w:val="0"/>
          <w:sz w:val="28"/>
          <w:szCs w:val="28"/>
          <w:shd w:val="clear" w:fill="FFFFFF"/>
        </w:rPr>
        <w:t>有疗效。</w:t>
      </w:r>
      <w:r>
        <w:rPr>
          <w:rFonts w:hint="eastAsia" w:ascii="Times New Roman" w:hAnsi="Times New Roman" w:eastAsia="Segoe UI" w:cs="Times New Roman"/>
          <w:i w:val="0"/>
          <w:iCs w:val="0"/>
          <w:caps w:val="0"/>
          <w:color w:val="0F1115"/>
          <w:spacing w:val="0"/>
          <w:sz w:val="28"/>
          <w:szCs w:val="28"/>
          <w:shd w:val="clear" w:fill="FFFFFF"/>
          <w:lang w:val="en-US" w:eastAsia="zh-CN"/>
        </w:rPr>
        <w:t>近年来，</w:t>
      </w:r>
      <w:r>
        <w:rPr>
          <w:rFonts w:hint="eastAsia" w:ascii="Times New Roman" w:hAnsi="Times New Roman" w:eastAsia="Segoe UI" w:cs="Times New Roman"/>
          <w:i w:val="0"/>
          <w:iCs w:val="0"/>
          <w:caps w:val="0"/>
          <w:color w:val="0F1115"/>
          <w:spacing w:val="0"/>
          <w:sz w:val="28"/>
          <w:szCs w:val="28"/>
          <w:shd w:val="clear" w:fill="FFFFFF"/>
        </w:rPr>
        <w:t>偃松作为健康饮食的有益补充得到了</w:t>
      </w:r>
      <w:r>
        <w:rPr>
          <w:rFonts w:hint="eastAsia" w:ascii="Times New Roman" w:hAnsi="Times New Roman" w:eastAsia="Segoe UI" w:cs="Times New Roman"/>
          <w:i w:val="0"/>
          <w:iCs w:val="0"/>
          <w:caps w:val="0"/>
          <w:color w:val="0F1115"/>
          <w:spacing w:val="0"/>
          <w:sz w:val="28"/>
          <w:szCs w:val="28"/>
          <w:shd w:val="clear" w:fill="FFFFFF"/>
          <w:lang w:val="en-US" w:eastAsia="zh-CN"/>
        </w:rPr>
        <w:t>越来越多</w:t>
      </w:r>
      <w:r>
        <w:rPr>
          <w:rFonts w:hint="eastAsia" w:ascii="Times New Roman" w:hAnsi="Times New Roman" w:eastAsia="Segoe UI" w:cs="Times New Roman"/>
          <w:i w:val="0"/>
          <w:iCs w:val="0"/>
          <w:caps w:val="0"/>
          <w:color w:val="0F1115"/>
          <w:spacing w:val="0"/>
          <w:sz w:val="28"/>
          <w:szCs w:val="28"/>
          <w:shd w:val="clear" w:fill="FFFFFF"/>
        </w:rPr>
        <w:t>的关注。</w:t>
      </w:r>
    </w:p>
    <w:p w14:paraId="76AA7E4D">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firstLine="420"/>
        <w:rPr>
          <w:rFonts w:hint="default" w:ascii="Times New Roman" w:hAnsi="Times New Roman" w:eastAsia="Segoe UI" w:cs="Times New Roman"/>
          <w:i w:val="0"/>
          <w:iCs w:val="0"/>
          <w:caps w:val="0"/>
          <w:color w:val="0F1115"/>
          <w:spacing w:val="0"/>
          <w:sz w:val="28"/>
          <w:szCs w:val="28"/>
          <w:shd w:val="clear" w:fill="FFFFFF"/>
          <w:lang w:val="en-US" w:eastAsia="zh-CN"/>
        </w:rPr>
      </w:pPr>
      <w:r>
        <w:rPr>
          <w:rFonts w:hint="eastAsia" w:ascii="Times New Roman" w:hAnsi="Times New Roman" w:eastAsia="Segoe UI" w:cs="Times New Roman"/>
          <w:i w:val="0"/>
          <w:iCs w:val="0"/>
          <w:caps w:val="0"/>
          <w:color w:val="0F1115"/>
          <w:spacing w:val="0"/>
          <w:sz w:val="28"/>
          <w:szCs w:val="28"/>
          <w:shd w:val="clear" w:fill="FFFFFF"/>
          <w:lang w:val="en-US" w:eastAsia="zh-CN"/>
        </w:rPr>
        <w:t>然而，气候变化加剧和人为采摘干扰导致其生境破碎化，种群稳定性面临严重威胁，遗传多样性流失风险加剧。为科学保护偃松资源，建立系统规范化的种质资源调查、收集、保存及评价技术规程显得尤为必要，这对守护高寒地区生态安全屏障、促进林区经济高质量发展具有重要意义。</w:t>
      </w:r>
    </w:p>
    <w:p w14:paraId="74DCE81A">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jc w:val="both"/>
        <w:textAlignment w:val="auto"/>
        <w:rPr>
          <w:rFonts w:hint="default" w:ascii="Times New Roman" w:hAnsi="Times New Roman" w:eastAsia="Segoe UI" w:cs="Times New Roman"/>
          <w:i w:val="0"/>
          <w:iCs w:val="0"/>
          <w:caps w:val="0"/>
          <w:color w:val="0F1115"/>
          <w:spacing w:val="0"/>
          <w:sz w:val="28"/>
          <w:szCs w:val="28"/>
          <w:shd w:val="clear" w:fill="FFFFFF"/>
        </w:rPr>
      </w:pPr>
      <w:r>
        <w:rPr>
          <w:rFonts w:hint="eastAsia" w:asciiTheme="minorEastAsia" w:hAnsiTheme="minorEastAsia" w:eastAsiaTheme="minorEastAsia" w:cstheme="minorBidi"/>
          <w:b/>
          <w:bCs/>
          <w:sz w:val="28"/>
          <w:szCs w:val="28"/>
          <w:lang w:val="en-US" w:eastAsia="zh-CN" w:bidi="ar-SA"/>
        </w:rPr>
        <w:t>一、</w:t>
      </w:r>
      <w:r>
        <w:rPr>
          <w:rFonts w:hint="eastAsia" w:asciiTheme="minorEastAsia" w:hAnsiTheme="minorEastAsia" w:eastAsiaTheme="minorEastAsia"/>
          <w:b/>
          <w:bCs/>
          <w:sz w:val="28"/>
          <w:szCs w:val="28"/>
        </w:rPr>
        <w:t>工作简况</w:t>
      </w:r>
      <w:r>
        <w:rPr>
          <w:rFonts w:hint="eastAsia" w:asciiTheme="minorEastAsia" w:hAnsiTheme="minorEastAsia" w:eastAsiaTheme="minorEastAsia"/>
          <w:sz w:val="28"/>
          <w:szCs w:val="28"/>
        </w:rPr>
        <w:t>：</w:t>
      </w:r>
      <w:r>
        <w:rPr>
          <w:rFonts w:hint="eastAsia" w:asciiTheme="minorEastAsia" w:hAnsiTheme="minorEastAsia" w:eastAsiaTheme="minorEastAsia"/>
          <w:b/>
          <w:bCs/>
          <w:sz w:val="28"/>
          <w:szCs w:val="28"/>
        </w:rPr>
        <w:t>包括任务来源、协作单位、</w:t>
      </w:r>
      <w:r>
        <w:rPr>
          <w:rFonts w:hint="eastAsia" w:asciiTheme="minorEastAsia" w:hAnsiTheme="minorEastAsia" w:eastAsiaTheme="minorEastAsia"/>
          <w:b/>
          <w:bCs/>
          <w:sz w:val="28"/>
          <w:szCs w:val="28"/>
          <w:highlight w:val="none"/>
        </w:rPr>
        <w:t>主要工作过程</w:t>
      </w:r>
      <w:r>
        <w:rPr>
          <w:rFonts w:hint="eastAsia" w:asciiTheme="minorEastAsia" w:hAnsiTheme="minorEastAsia" w:eastAsiaTheme="minorEastAsia"/>
          <w:b/>
          <w:bCs/>
          <w:sz w:val="28"/>
          <w:szCs w:val="28"/>
        </w:rPr>
        <w:t>、起草组成员及其所做的主要工作等；</w:t>
      </w:r>
    </w:p>
    <w:p w14:paraId="7F06BBA6">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firstLine="420"/>
        <w:rPr>
          <w:rFonts w:hint="eastAsia" w:ascii="仿宋" w:hAnsi="仿宋" w:eastAsia="仿宋" w:cs="仿宋"/>
          <w:i w:val="0"/>
          <w:iCs w:val="0"/>
          <w:caps w:val="0"/>
          <w:color w:val="0F1115"/>
          <w:spacing w:val="0"/>
          <w:sz w:val="28"/>
          <w:szCs w:val="28"/>
          <w:highlight w:val="none"/>
          <w:shd w:val="clear" w:fill="FFFFFF"/>
          <w:lang w:val="en-US" w:eastAsia="zh-CN"/>
        </w:rPr>
      </w:pPr>
      <w:r>
        <w:rPr>
          <w:rFonts w:hint="eastAsia" w:ascii="仿宋" w:hAnsi="仿宋" w:eastAsia="仿宋" w:cs="仿宋"/>
          <w:i w:val="0"/>
          <w:iCs w:val="0"/>
          <w:caps w:val="0"/>
          <w:color w:val="0F1115"/>
          <w:spacing w:val="0"/>
          <w:sz w:val="28"/>
          <w:szCs w:val="28"/>
          <w:shd w:val="clear" w:fill="FFFFFF"/>
          <w:lang w:val="en-US" w:eastAsia="zh-CN"/>
        </w:rPr>
        <w:t>本标准编制任务来源于中央级公益性科研院所基本科研业务费专项资金（项目名称：偃松特色种质发掘和高效遗传改良体系构建，项目编号：CAFYBB2020ZB003-03）。本标准项目名称为《偃松种质资源调查、收集、保存及评价技术规程》，国家林业和草原局哈尔滨林业机械研究所为第一起草单位，黑龙江省林业科学研究所、呼中林业局生态修复管理科、内蒙古阿龙山森林工业有限公司森林经营中心为协作单位。起草组成员通过查阅相关文献，确定了偃松大兴安岭、小兴安岭、张广才岭、长白山等主要分布区。根据遗传多样性原则，确定采样策略，每群体采集不少于30株母树。通过连续多年的种质资源调查和收集，初步掌握了种群规模和生境状况及濒危程度。而后采取了原地保存、异地保存、设施保存等策略，建立了种质资源原地保存库和异地保存库。最后对已收集种质资源进行评价，主要包括表型性状和品质性状。在系统总结野外调查经验和评价方法的基础上，制定了本标准。</w:t>
      </w:r>
      <w:r>
        <w:rPr>
          <w:rFonts w:hint="eastAsia" w:ascii="仿宋" w:hAnsi="仿宋" w:eastAsia="仿宋" w:cs="仿宋"/>
          <w:i w:val="0"/>
          <w:iCs w:val="0"/>
          <w:caps w:val="0"/>
          <w:color w:val="0F1115"/>
          <w:spacing w:val="0"/>
          <w:sz w:val="28"/>
          <w:szCs w:val="28"/>
          <w:highlight w:val="none"/>
          <w:shd w:val="clear" w:fill="FFFFFF"/>
          <w:lang w:val="en-US" w:eastAsia="zh-CN"/>
        </w:rPr>
        <w:t>起草组成员基本情况及工作分工如表1所示。</w:t>
      </w:r>
    </w:p>
    <w:p w14:paraId="24569DDA">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eastAsia="Segoe UI" w:cs="Times New Roman"/>
          <w:i w:val="0"/>
          <w:iCs w:val="0"/>
          <w:caps w:val="0"/>
          <w:color w:val="0F1115"/>
          <w:spacing w:val="0"/>
          <w:sz w:val="21"/>
          <w:szCs w:val="21"/>
          <w:highlight w:val="none"/>
          <w:shd w:val="clear" w:fill="FFFFFF"/>
          <w:lang w:val="en-US" w:eastAsia="zh-CN"/>
        </w:rPr>
      </w:pPr>
      <w:r>
        <w:rPr>
          <w:rFonts w:hint="eastAsia" w:ascii="Times New Roman" w:eastAsia="Segoe UI" w:cs="Times New Roman"/>
          <w:i w:val="0"/>
          <w:iCs w:val="0"/>
          <w:caps w:val="0"/>
          <w:color w:val="0F1115"/>
          <w:spacing w:val="0"/>
          <w:sz w:val="21"/>
          <w:szCs w:val="21"/>
          <w:highlight w:val="none"/>
          <w:shd w:val="clear" w:fill="FFFFFF"/>
          <w:lang w:val="en-US" w:eastAsia="zh-CN"/>
        </w:rPr>
        <w:t>表1 参加人员基本情况表</w:t>
      </w:r>
    </w:p>
    <w:tbl>
      <w:tblPr>
        <w:tblStyle w:val="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9"/>
        <w:gridCol w:w="1219"/>
        <w:gridCol w:w="1935"/>
        <w:gridCol w:w="1297"/>
        <w:gridCol w:w="1632"/>
      </w:tblGrid>
      <w:tr w14:paraId="4858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pct"/>
            <w:vAlign w:val="top"/>
          </w:tcPr>
          <w:p w14:paraId="69D6BEDA">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姓名</w:t>
            </w:r>
          </w:p>
        </w:tc>
        <w:tc>
          <w:tcPr>
            <w:tcW w:w="715" w:type="pct"/>
            <w:vAlign w:val="top"/>
          </w:tcPr>
          <w:p w14:paraId="49D01828">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性别</w:t>
            </w:r>
          </w:p>
        </w:tc>
        <w:tc>
          <w:tcPr>
            <w:tcW w:w="715" w:type="pct"/>
            <w:vAlign w:val="top"/>
          </w:tcPr>
          <w:p w14:paraId="16563918">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年龄</w:t>
            </w:r>
          </w:p>
        </w:tc>
        <w:tc>
          <w:tcPr>
            <w:tcW w:w="1135" w:type="pct"/>
            <w:vAlign w:val="top"/>
          </w:tcPr>
          <w:p w14:paraId="4A343FBB">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单位</w:t>
            </w:r>
          </w:p>
        </w:tc>
        <w:tc>
          <w:tcPr>
            <w:tcW w:w="761" w:type="pct"/>
            <w:vAlign w:val="top"/>
          </w:tcPr>
          <w:p w14:paraId="23FD5EA1">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cs="Times New Roman"/>
                <w:i w:val="0"/>
                <w:iCs w:val="0"/>
                <w:caps w:val="0"/>
                <w:color w:val="0F1115"/>
                <w:spacing w:val="0"/>
                <w:sz w:val="21"/>
                <w:szCs w:val="21"/>
                <w:highlight w:val="none"/>
                <w:shd w:val="clear" w:fill="FFFFFF"/>
                <w:lang w:val="en-US" w:eastAsia="zh-CN"/>
              </w:rPr>
              <w:t>职务/</w:t>
            </w: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职称</w:t>
            </w:r>
          </w:p>
        </w:tc>
        <w:tc>
          <w:tcPr>
            <w:tcW w:w="957" w:type="pct"/>
            <w:vAlign w:val="top"/>
          </w:tcPr>
          <w:p w14:paraId="6E9D3D12">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责任分工</w:t>
            </w:r>
          </w:p>
        </w:tc>
      </w:tr>
      <w:tr w14:paraId="07B30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pct"/>
            <w:vAlign w:val="top"/>
          </w:tcPr>
          <w:p w14:paraId="3729D372">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闫晓娜</w:t>
            </w:r>
          </w:p>
        </w:tc>
        <w:tc>
          <w:tcPr>
            <w:tcW w:w="715" w:type="pct"/>
            <w:vAlign w:val="top"/>
          </w:tcPr>
          <w:p w14:paraId="1395CBA0">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cs="Times New Roman"/>
                <w:i w:val="0"/>
                <w:iCs w:val="0"/>
                <w:caps w:val="0"/>
                <w:color w:val="0F1115"/>
                <w:spacing w:val="0"/>
                <w:sz w:val="21"/>
                <w:szCs w:val="21"/>
                <w:highlight w:val="none"/>
                <w:shd w:val="clear" w:fill="FFFFFF"/>
                <w:lang w:val="en-US" w:eastAsia="zh-CN"/>
              </w:rPr>
              <w:t>女</w:t>
            </w:r>
          </w:p>
        </w:tc>
        <w:tc>
          <w:tcPr>
            <w:tcW w:w="715" w:type="pct"/>
            <w:vAlign w:val="top"/>
          </w:tcPr>
          <w:p w14:paraId="10C2EF11">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cs="Times New Roman"/>
                <w:i w:val="0"/>
                <w:iCs w:val="0"/>
                <w:caps w:val="0"/>
                <w:color w:val="0F1115"/>
                <w:spacing w:val="0"/>
                <w:sz w:val="21"/>
                <w:szCs w:val="21"/>
                <w:highlight w:val="none"/>
                <w:shd w:val="clear" w:fill="FFFFFF"/>
                <w:lang w:val="en-US" w:eastAsia="zh-CN"/>
              </w:rPr>
              <w:t>36</w:t>
            </w:r>
          </w:p>
        </w:tc>
        <w:tc>
          <w:tcPr>
            <w:tcW w:w="1135" w:type="pct"/>
            <w:vAlign w:val="top"/>
          </w:tcPr>
          <w:p w14:paraId="38A3FD23">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cs="Times New Roman"/>
                <w:i w:val="0"/>
                <w:iCs w:val="0"/>
                <w:caps w:val="0"/>
                <w:color w:val="0F1115"/>
                <w:spacing w:val="0"/>
                <w:sz w:val="21"/>
                <w:szCs w:val="21"/>
                <w:highlight w:val="none"/>
                <w:shd w:val="clear" w:fill="FFFFFF"/>
                <w:lang w:val="en-US" w:eastAsia="zh-CN"/>
              </w:rPr>
              <w:t>国家林业和草原局哈尔滨林业机械研究所</w:t>
            </w:r>
          </w:p>
        </w:tc>
        <w:tc>
          <w:tcPr>
            <w:tcW w:w="761" w:type="pct"/>
            <w:vAlign w:val="top"/>
          </w:tcPr>
          <w:p w14:paraId="41D6A848">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cs="Times New Roman"/>
                <w:i w:val="0"/>
                <w:iCs w:val="0"/>
                <w:caps w:val="0"/>
                <w:color w:val="0F1115"/>
                <w:spacing w:val="0"/>
                <w:sz w:val="21"/>
                <w:szCs w:val="21"/>
                <w:highlight w:val="none"/>
                <w:shd w:val="clear" w:fill="FFFFFF"/>
                <w:lang w:val="en-US" w:eastAsia="zh-CN"/>
              </w:rPr>
              <w:t>工程师</w:t>
            </w:r>
          </w:p>
        </w:tc>
        <w:tc>
          <w:tcPr>
            <w:tcW w:w="957" w:type="pct"/>
            <w:vAlign w:val="top"/>
          </w:tcPr>
          <w:p w14:paraId="25F1EF55">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eastAsia" w:ascii="Times New Roman" w:hAnsi="Times New Roman" w:eastAsia="宋体" w:cs="Times New Roman"/>
                <w:i w:val="0"/>
                <w:iCs w:val="0"/>
                <w:caps w:val="0"/>
                <w:color w:val="0F1115"/>
                <w:spacing w:val="0"/>
                <w:sz w:val="21"/>
                <w:szCs w:val="21"/>
                <w:highlight w:val="none"/>
                <w:shd w:val="clear" w:fill="FFFFFF"/>
                <w:lang w:val="en-US" w:eastAsia="zh-CN"/>
              </w:rPr>
              <w:t>标准草案起草、</w:t>
            </w:r>
            <w:r>
              <w:rPr>
                <w:rFonts w:hint="eastAsia" w:ascii="Times New Roman" w:cs="Times New Roman"/>
                <w:i w:val="0"/>
                <w:iCs w:val="0"/>
                <w:caps w:val="0"/>
                <w:color w:val="0F1115"/>
                <w:spacing w:val="0"/>
                <w:sz w:val="21"/>
                <w:szCs w:val="21"/>
                <w:highlight w:val="none"/>
                <w:shd w:val="clear" w:fill="FFFFFF"/>
                <w:lang w:val="en-US" w:eastAsia="zh-CN"/>
              </w:rPr>
              <w:t>数据采集分析</w:t>
            </w:r>
          </w:p>
        </w:tc>
      </w:tr>
      <w:tr w14:paraId="2EF8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pct"/>
            <w:vAlign w:val="top"/>
          </w:tcPr>
          <w:p w14:paraId="360FF79A">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王福德</w:t>
            </w:r>
          </w:p>
        </w:tc>
        <w:tc>
          <w:tcPr>
            <w:tcW w:w="715" w:type="pct"/>
            <w:vAlign w:val="top"/>
          </w:tcPr>
          <w:p w14:paraId="3D8E7B58">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男</w:t>
            </w:r>
          </w:p>
        </w:tc>
        <w:tc>
          <w:tcPr>
            <w:tcW w:w="715" w:type="pct"/>
            <w:vAlign w:val="top"/>
          </w:tcPr>
          <w:p w14:paraId="564E4148">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47</w:t>
            </w:r>
          </w:p>
        </w:tc>
        <w:tc>
          <w:tcPr>
            <w:tcW w:w="1135" w:type="pct"/>
            <w:vAlign w:val="top"/>
          </w:tcPr>
          <w:p w14:paraId="3787D804">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黑龙江省林业科学研究所</w:t>
            </w:r>
          </w:p>
        </w:tc>
        <w:tc>
          <w:tcPr>
            <w:tcW w:w="761" w:type="pct"/>
            <w:vAlign w:val="top"/>
          </w:tcPr>
          <w:p w14:paraId="4C282984">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研究员</w:t>
            </w:r>
          </w:p>
        </w:tc>
        <w:tc>
          <w:tcPr>
            <w:tcW w:w="957" w:type="pct"/>
            <w:vAlign w:val="top"/>
          </w:tcPr>
          <w:p w14:paraId="1B017472">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eastAsia" w:ascii="Times New Roman" w:hAnsi="Times New Roman" w:eastAsia="宋体" w:cs="Times New Roman"/>
                <w:i w:val="0"/>
                <w:iCs w:val="0"/>
                <w:caps w:val="0"/>
                <w:color w:val="0F1115"/>
                <w:spacing w:val="0"/>
                <w:sz w:val="21"/>
                <w:szCs w:val="21"/>
                <w:highlight w:val="none"/>
                <w:shd w:val="clear" w:fill="FFFFFF"/>
                <w:lang w:val="en-US" w:eastAsia="zh-CN"/>
              </w:rPr>
              <w:t>标准草案技术内容审核</w:t>
            </w:r>
          </w:p>
        </w:tc>
      </w:tr>
      <w:tr w14:paraId="0E1BD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4" w:type="pct"/>
            <w:vAlign w:val="top"/>
          </w:tcPr>
          <w:p w14:paraId="25A895B4">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路彩云</w:t>
            </w:r>
          </w:p>
        </w:tc>
        <w:tc>
          <w:tcPr>
            <w:tcW w:w="715" w:type="pct"/>
            <w:vAlign w:val="top"/>
          </w:tcPr>
          <w:p w14:paraId="5673E3D6">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女</w:t>
            </w:r>
          </w:p>
        </w:tc>
        <w:tc>
          <w:tcPr>
            <w:tcW w:w="715" w:type="pct"/>
            <w:shd w:val="clear" w:color="auto" w:fill="auto"/>
            <w:vAlign w:val="top"/>
          </w:tcPr>
          <w:p w14:paraId="4A51862F">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49</w:t>
            </w:r>
          </w:p>
        </w:tc>
        <w:tc>
          <w:tcPr>
            <w:tcW w:w="1135" w:type="pct"/>
            <w:shd w:val="clear" w:color="auto" w:fill="auto"/>
            <w:vAlign w:val="top"/>
          </w:tcPr>
          <w:p w14:paraId="52569A68">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呼中林业局生态修复管理科</w:t>
            </w:r>
          </w:p>
        </w:tc>
        <w:tc>
          <w:tcPr>
            <w:tcW w:w="761" w:type="pct"/>
            <w:vAlign w:val="top"/>
          </w:tcPr>
          <w:p w14:paraId="6871F18C">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种苗站副站长/工程师</w:t>
            </w:r>
          </w:p>
        </w:tc>
        <w:tc>
          <w:tcPr>
            <w:tcW w:w="957" w:type="pct"/>
            <w:vAlign w:val="top"/>
          </w:tcPr>
          <w:p w14:paraId="6EF52E81">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eastAsia" w:ascii="Times New Roman" w:hAnsi="Times New Roman" w:eastAsia="宋体" w:cs="Times New Roman"/>
                <w:i w:val="0"/>
                <w:iCs w:val="0"/>
                <w:caps w:val="0"/>
                <w:color w:val="0F1115"/>
                <w:spacing w:val="0"/>
                <w:sz w:val="21"/>
                <w:szCs w:val="21"/>
                <w:highlight w:val="none"/>
                <w:shd w:val="clear" w:fill="FFFFFF"/>
                <w:lang w:val="en-US" w:eastAsia="zh-CN"/>
              </w:rPr>
              <w:t>标准文本修改</w:t>
            </w:r>
          </w:p>
        </w:tc>
      </w:tr>
      <w:tr w14:paraId="5B5D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pct"/>
            <w:vAlign w:val="top"/>
          </w:tcPr>
          <w:p w14:paraId="18391048">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韦睿</w:t>
            </w:r>
          </w:p>
        </w:tc>
        <w:tc>
          <w:tcPr>
            <w:tcW w:w="715" w:type="pct"/>
            <w:vAlign w:val="top"/>
          </w:tcPr>
          <w:p w14:paraId="6B277521">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女</w:t>
            </w:r>
          </w:p>
        </w:tc>
        <w:tc>
          <w:tcPr>
            <w:tcW w:w="715" w:type="pct"/>
            <w:vAlign w:val="top"/>
          </w:tcPr>
          <w:p w14:paraId="58CD5A48">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39</w:t>
            </w:r>
          </w:p>
        </w:tc>
        <w:tc>
          <w:tcPr>
            <w:tcW w:w="1135" w:type="pct"/>
            <w:vAlign w:val="top"/>
          </w:tcPr>
          <w:p w14:paraId="12D2B333">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国家林业和草原局哈尔滨林业机械研究所</w:t>
            </w:r>
          </w:p>
        </w:tc>
        <w:tc>
          <w:tcPr>
            <w:tcW w:w="761" w:type="pct"/>
            <w:vAlign w:val="top"/>
          </w:tcPr>
          <w:p w14:paraId="41FECA2B">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副研究员</w:t>
            </w:r>
          </w:p>
        </w:tc>
        <w:tc>
          <w:tcPr>
            <w:tcW w:w="957" w:type="pct"/>
            <w:vAlign w:val="top"/>
          </w:tcPr>
          <w:p w14:paraId="3C356D86">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eastAsia" w:ascii="Times New Roman" w:hAnsi="Times New Roman" w:eastAsia="宋体" w:cs="Times New Roman"/>
                <w:i w:val="0"/>
                <w:iCs w:val="0"/>
                <w:caps w:val="0"/>
                <w:color w:val="0F1115"/>
                <w:spacing w:val="0"/>
                <w:sz w:val="21"/>
                <w:szCs w:val="21"/>
                <w:highlight w:val="none"/>
                <w:shd w:val="clear" w:fill="FFFFFF"/>
                <w:lang w:val="en-US" w:eastAsia="zh-CN"/>
              </w:rPr>
              <w:t>技术内容校对与审核</w:t>
            </w:r>
          </w:p>
        </w:tc>
      </w:tr>
      <w:tr w14:paraId="23B3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pct"/>
            <w:vAlign w:val="top"/>
          </w:tcPr>
          <w:p w14:paraId="5F00C336">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于宏影</w:t>
            </w:r>
          </w:p>
        </w:tc>
        <w:tc>
          <w:tcPr>
            <w:tcW w:w="715" w:type="pct"/>
            <w:vAlign w:val="top"/>
          </w:tcPr>
          <w:p w14:paraId="29817355">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女</w:t>
            </w:r>
          </w:p>
        </w:tc>
        <w:tc>
          <w:tcPr>
            <w:tcW w:w="715" w:type="pct"/>
            <w:vAlign w:val="top"/>
          </w:tcPr>
          <w:p w14:paraId="68E7E939">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37</w:t>
            </w:r>
          </w:p>
        </w:tc>
        <w:tc>
          <w:tcPr>
            <w:tcW w:w="1135" w:type="pct"/>
            <w:vAlign w:val="top"/>
          </w:tcPr>
          <w:p w14:paraId="31447D07">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国家林业和草原局哈尔滨林业机械研究所</w:t>
            </w:r>
          </w:p>
        </w:tc>
        <w:tc>
          <w:tcPr>
            <w:tcW w:w="761" w:type="pct"/>
            <w:vAlign w:val="top"/>
          </w:tcPr>
          <w:p w14:paraId="54FE0E94">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高级工程师</w:t>
            </w:r>
          </w:p>
        </w:tc>
        <w:tc>
          <w:tcPr>
            <w:tcW w:w="957" w:type="pct"/>
            <w:vAlign w:val="top"/>
          </w:tcPr>
          <w:p w14:paraId="6B5EC68E">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eastAsia" w:ascii="Times New Roman" w:hAnsi="Times New Roman" w:eastAsia="宋体" w:cs="Times New Roman"/>
                <w:i w:val="0"/>
                <w:iCs w:val="0"/>
                <w:caps w:val="0"/>
                <w:color w:val="0F1115"/>
                <w:spacing w:val="0"/>
                <w:sz w:val="21"/>
                <w:szCs w:val="21"/>
                <w:highlight w:val="none"/>
                <w:shd w:val="clear" w:fill="FFFFFF"/>
                <w:lang w:val="en-US" w:eastAsia="zh-CN"/>
              </w:rPr>
              <w:t>技术内容校对与审核</w:t>
            </w:r>
          </w:p>
        </w:tc>
      </w:tr>
      <w:tr w14:paraId="478A8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pct"/>
            <w:vAlign w:val="top"/>
          </w:tcPr>
          <w:p w14:paraId="462AC07C">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eastAsia" w:ascii="Times New Roman" w:cs="Times New Roman"/>
                <w:i w:val="0"/>
                <w:iCs w:val="0"/>
                <w:caps w:val="0"/>
                <w:color w:val="0F1115"/>
                <w:spacing w:val="0"/>
                <w:sz w:val="21"/>
                <w:szCs w:val="21"/>
                <w:highlight w:val="none"/>
                <w:shd w:val="clear" w:fill="FFFFFF"/>
                <w:lang w:val="en-US" w:eastAsia="zh-CN"/>
              </w:rPr>
              <w:t>黄艳</w:t>
            </w:r>
          </w:p>
        </w:tc>
        <w:tc>
          <w:tcPr>
            <w:tcW w:w="715" w:type="pct"/>
            <w:vAlign w:val="top"/>
          </w:tcPr>
          <w:p w14:paraId="019B7E2E">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eastAsia" w:ascii="Times New Roman" w:cs="Times New Roman"/>
                <w:i w:val="0"/>
                <w:iCs w:val="0"/>
                <w:caps w:val="0"/>
                <w:color w:val="0F1115"/>
                <w:spacing w:val="0"/>
                <w:sz w:val="21"/>
                <w:szCs w:val="21"/>
                <w:highlight w:val="none"/>
                <w:shd w:val="clear" w:fill="FFFFFF"/>
                <w:lang w:val="en-US" w:eastAsia="zh-CN"/>
              </w:rPr>
              <w:t>女</w:t>
            </w:r>
          </w:p>
        </w:tc>
        <w:tc>
          <w:tcPr>
            <w:tcW w:w="715" w:type="pct"/>
            <w:vAlign w:val="top"/>
          </w:tcPr>
          <w:p w14:paraId="68818660">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eastAsia" w:ascii="Times New Roman" w:cs="Times New Roman"/>
                <w:i w:val="0"/>
                <w:iCs w:val="0"/>
                <w:caps w:val="0"/>
                <w:color w:val="0F1115"/>
                <w:spacing w:val="0"/>
                <w:sz w:val="21"/>
                <w:szCs w:val="21"/>
                <w:highlight w:val="none"/>
                <w:shd w:val="clear" w:fill="FFFFFF"/>
                <w:lang w:val="en-US" w:eastAsia="zh-CN"/>
              </w:rPr>
              <w:t>37</w:t>
            </w:r>
          </w:p>
        </w:tc>
        <w:tc>
          <w:tcPr>
            <w:tcW w:w="1135" w:type="pct"/>
            <w:vAlign w:val="top"/>
          </w:tcPr>
          <w:p w14:paraId="6052A7DF">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国家林业和草原局哈尔滨林业机械研究所</w:t>
            </w:r>
          </w:p>
        </w:tc>
        <w:tc>
          <w:tcPr>
            <w:tcW w:w="761" w:type="pct"/>
            <w:vAlign w:val="top"/>
          </w:tcPr>
          <w:p w14:paraId="1B4BC511">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副研究员</w:t>
            </w:r>
          </w:p>
        </w:tc>
        <w:tc>
          <w:tcPr>
            <w:tcW w:w="957" w:type="pct"/>
            <w:vAlign w:val="top"/>
          </w:tcPr>
          <w:p w14:paraId="67AFA8A4">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eastAsia" w:ascii="Times New Roman" w:hAnsi="Times New Roman" w:eastAsia="宋体" w:cs="Times New Roman"/>
                <w:i w:val="0"/>
                <w:iCs w:val="0"/>
                <w:caps w:val="0"/>
                <w:color w:val="0F1115"/>
                <w:spacing w:val="0"/>
                <w:sz w:val="21"/>
                <w:szCs w:val="21"/>
                <w:highlight w:val="none"/>
                <w:shd w:val="clear" w:fill="FFFFFF"/>
                <w:lang w:val="en-US" w:eastAsia="zh-CN"/>
              </w:rPr>
            </w:pPr>
            <w:r>
              <w:rPr>
                <w:rFonts w:hint="eastAsia" w:ascii="Times New Roman" w:hAnsi="Times New Roman" w:eastAsia="宋体" w:cs="Times New Roman"/>
                <w:i w:val="0"/>
                <w:iCs w:val="0"/>
                <w:caps w:val="0"/>
                <w:color w:val="0F1115"/>
                <w:spacing w:val="0"/>
                <w:sz w:val="21"/>
                <w:szCs w:val="21"/>
                <w:highlight w:val="none"/>
                <w:shd w:val="clear" w:fill="FFFFFF"/>
                <w:lang w:val="en-US" w:eastAsia="zh-CN"/>
              </w:rPr>
              <w:t>标准草案校对</w:t>
            </w:r>
          </w:p>
        </w:tc>
      </w:tr>
      <w:tr w14:paraId="727C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4" w:type="pct"/>
            <w:vAlign w:val="top"/>
          </w:tcPr>
          <w:p w14:paraId="482AE15D">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王海燕</w:t>
            </w:r>
          </w:p>
        </w:tc>
        <w:tc>
          <w:tcPr>
            <w:tcW w:w="715" w:type="pct"/>
            <w:vAlign w:val="top"/>
          </w:tcPr>
          <w:p w14:paraId="7906668E">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女</w:t>
            </w:r>
          </w:p>
        </w:tc>
        <w:tc>
          <w:tcPr>
            <w:tcW w:w="715" w:type="pct"/>
            <w:vAlign w:val="top"/>
          </w:tcPr>
          <w:p w14:paraId="53D3C9F2">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47</w:t>
            </w:r>
          </w:p>
        </w:tc>
        <w:tc>
          <w:tcPr>
            <w:tcW w:w="1135" w:type="pct"/>
            <w:vAlign w:val="top"/>
          </w:tcPr>
          <w:p w14:paraId="6D0AC917">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呼中林业局生态修复管理科</w:t>
            </w:r>
          </w:p>
        </w:tc>
        <w:tc>
          <w:tcPr>
            <w:tcW w:w="761" w:type="pct"/>
            <w:vAlign w:val="top"/>
          </w:tcPr>
          <w:p w14:paraId="67B859A9">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助理工程师</w:t>
            </w:r>
          </w:p>
        </w:tc>
        <w:tc>
          <w:tcPr>
            <w:tcW w:w="957" w:type="pct"/>
            <w:vAlign w:val="top"/>
          </w:tcPr>
          <w:p w14:paraId="0D21AA61">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eastAsia" w:ascii="Times New Roman" w:hAnsi="Times New Roman" w:eastAsia="宋体" w:cs="Times New Roman"/>
                <w:i w:val="0"/>
                <w:iCs w:val="0"/>
                <w:caps w:val="0"/>
                <w:color w:val="0F1115"/>
                <w:spacing w:val="0"/>
                <w:sz w:val="21"/>
                <w:szCs w:val="21"/>
                <w:highlight w:val="none"/>
                <w:shd w:val="clear" w:fill="FFFFFF"/>
                <w:lang w:val="en-US" w:eastAsia="zh-CN"/>
              </w:rPr>
            </w:pPr>
            <w:r>
              <w:rPr>
                <w:rFonts w:hint="eastAsia" w:ascii="Times New Roman" w:hAnsi="Times New Roman" w:eastAsia="宋体" w:cs="Times New Roman"/>
                <w:i w:val="0"/>
                <w:iCs w:val="0"/>
                <w:caps w:val="0"/>
                <w:color w:val="0F1115"/>
                <w:spacing w:val="0"/>
                <w:sz w:val="21"/>
                <w:szCs w:val="21"/>
                <w:highlight w:val="none"/>
                <w:shd w:val="clear" w:fill="FFFFFF"/>
                <w:lang w:val="en-US" w:eastAsia="zh-CN"/>
              </w:rPr>
              <w:t>标准草案校对</w:t>
            </w:r>
          </w:p>
        </w:tc>
      </w:tr>
      <w:tr w14:paraId="3FEC4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pct"/>
            <w:vAlign w:val="top"/>
          </w:tcPr>
          <w:p w14:paraId="4E5455DE">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夏国强</w:t>
            </w:r>
          </w:p>
        </w:tc>
        <w:tc>
          <w:tcPr>
            <w:tcW w:w="715" w:type="pct"/>
            <w:vAlign w:val="top"/>
          </w:tcPr>
          <w:p w14:paraId="3C22B64F">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男</w:t>
            </w:r>
          </w:p>
        </w:tc>
        <w:tc>
          <w:tcPr>
            <w:tcW w:w="715" w:type="pct"/>
            <w:vAlign w:val="top"/>
          </w:tcPr>
          <w:p w14:paraId="10921112">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49</w:t>
            </w:r>
          </w:p>
        </w:tc>
        <w:tc>
          <w:tcPr>
            <w:tcW w:w="1135" w:type="pct"/>
            <w:vAlign w:val="top"/>
          </w:tcPr>
          <w:p w14:paraId="412A8E9F">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呼中林业局生态修复管理科</w:t>
            </w:r>
          </w:p>
        </w:tc>
        <w:tc>
          <w:tcPr>
            <w:tcW w:w="761" w:type="pct"/>
            <w:vAlign w:val="top"/>
          </w:tcPr>
          <w:p w14:paraId="1949AAF4">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助理工程师</w:t>
            </w:r>
          </w:p>
        </w:tc>
        <w:tc>
          <w:tcPr>
            <w:tcW w:w="957" w:type="pct"/>
            <w:vAlign w:val="top"/>
          </w:tcPr>
          <w:p w14:paraId="5C613FB6">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eastAsia" w:ascii="Times New Roman" w:hAnsi="Times New Roman" w:eastAsia="宋体" w:cs="Times New Roman"/>
                <w:i w:val="0"/>
                <w:iCs w:val="0"/>
                <w:caps w:val="0"/>
                <w:color w:val="0F1115"/>
                <w:spacing w:val="0"/>
                <w:sz w:val="21"/>
                <w:szCs w:val="21"/>
                <w:highlight w:val="none"/>
                <w:shd w:val="clear" w:fill="FFFFFF"/>
                <w:lang w:val="en-US" w:eastAsia="zh-CN"/>
              </w:rPr>
            </w:pPr>
            <w:r>
              <w:rPr>
                <w:rFonts w:hint="eastAsia" w:ascii="Times New Roman" w:hAnsi="Times New Roman" w:eastAsia="宋体" w:cs="Times New Roman"/>
                <w:i w:val="0"/>
                <w:iCs w:val="0"/>
                <w:caps w:val="0"/>
                <w:color w:val="0F1115"/>
                <w:spacing w:val="0"/>
                <w:sz w:val="21"/>
                <w:szCs w:val="21"/>
                <w:highlight w:val="none"/>
                <w:shd w:val="clear" w:fill="FFFFFF"/>
                <w:lang w:val="en-US" w:eastAsia="zh-CN"/>
              </w:rPr>
              <w:t>数据采集</w:t>
            </w:r>
          </w:p>
        </w:tc>
      </w:tr>
      <w:tr w14:paraId="67B7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pct"/>
            <w:shd w:val="clear" w:color="auto" w:fill="auto"/>
            <w:vAlign w:val="top"/>
          </w:tcPr>
          <w:p w14:paraId="795CDCE9">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bidi="ar-SA"/>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祝清超</w:t>
            </w:r>
          </w:p>
        </w:tc>
        <w:tc>
          <w:tcPr>
            <w:tcW w:w="715" w:type="pct"/>
            <w:shd w:val="clear" w:color="auto" w:fill="auto"/>
            <w:vAlign w:val="top"/>
          </w:tcPr>
          <w:p w14:paraId="446275C4">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bidi="ar-SA"/>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男</w:t>
            </w:r>
          </w:p>
        </w:tc>
        <w:tc>
          <w:tcPr>
            <w:tcW w:w="715" w:type="pct"/>
            <w:shd w:val="clear" w:color="auto" w:fill="auto"/>
            <w:vAlign w:val="top"/>
          </w:tcPr>
          <w:p w14:paraId="0F73426A">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bidi="ar-SA"/>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50</w:t>
            </w:r>
          </w:p>
        </w:tc>
        <w:tc>
          <w:tcPr>
            <w:tcW w:w="1135" w:type="pct"/>
            <w:shd w:val="clear" w:color="auto" w:fill="auto"/>
            <w:vAlign w:val="top"/>
          </w:tcPr>
          <w:p w14:paraId="1251858F">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bidi="ar-SA"/>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内蒙古阿龙山森林工业有限公司森林经营中心</w:t>
            </w:r>
          </w:p>
        </w:tc>
        <w:tc>
          <w:tcPr>
            <w:tcW w:w="761" w:type="pct"/>
            <w:shd w:val="clear" w:color="auto" w:fill="auto"/>
            <w:vAlign w:val="top"/>
          </w:tcPr>
          <w:p w14:paraId="2D45B0D1">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bidi="ar-SA"/>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苗圃副主任/工程师</w:t>
            </w:r>
          </w:p>
        </w:tc>
        <w:tc>
          <w:tcPr>
            <w:tcW w:w="957" w:type="pct"/>
            <w:shd w:val="clear" w:color="auto" w:fill="auto"/>
            <w:vAlign w:val="top"/>
          </w:tcPr>
          <w:p w14:paraId="748D55FF">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eastAsia" w:ascii="Times New Roman" w:hAnsi="Times New Roman" w:eastAsia="宋体" w:cs="Times New Roman"/>
                <w:i w:val="0"/>
                <w:iCs w:val="0"/>
                <w:caps w:val="0"/>
                <w:color w:val="0F1115"/>
                <w:spacing w:val="0"/>
                <w:sz w:val="21"/>
                <w:szCs w:val="21"/>
                <w:highlight w:val="none"/>
                <w:shd w:val="clear" w:fill="FFFFFF"/>
                <w:lang w:val="en-US" w:eastAsia="zh-CN" w:bidi="ar-SA"/>
              </w:rPr>
            </w:pPr>
            <w:r>
              <w:rPr>
                <w:rFonts w:hint="eastAsia" w:ascii="Times New Roman" w:hAnsi="Times New Roman" w:eastAsia="宋体" w:cs="Times New Roman"/>
                <w:i w:val="0"/>
                <w:iCs w:val="0"/>
                <w:caps w:val="0"/>
                <w:color w:val="0F1115"/>
                <w:spacing w:val="0"/>
                <w:sz w:val="21"/>
                <w:szCs w:val="21"/>
                <w:highlight w:val="none"/>
                <w:shd w:val="clear" w:fill="FFFFFF"/>
                <w:lang w:val="en-US" w:eastAsia="zh-CN"/>
              </w:rPr>
              <w:t>数据采集</w:t>
            </w:r>
          </w:p>
        </w:tc>
      </w:tr>
      <w:tr w14:paraId="7FC9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pct"/>
            <w:shd w:val="clear" w:color="auto" w:fill="auto"/>
            <w:vAlign w:val="top"/>
          </w:tcPr>
          <w:p w14:paraId="6E4F2982">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eastAsia" w:ascii="Times New Roman" w:cs="Times New Roman"/>
                <w:i w:val="0"/>
                <w:iCs w:val="0"/>
                <w:caps w:val="0"/>
                <w:color w:val="0F1115"/>
                <w:spacing w:val="0"/>
                <w:sz w:val="21"/>
                <w:szCs w:val="21"/>
                <w:highlight w:val="none"/>
                <w:shd w:val="clear" w:fill="FFFFFF"/>
                <w:lang w:val="en-US" w:eastAsia="zh-CN"/>
              </w:rPr>
              <w:t>崔嵘</w:t>
            </w:r>
          </w:p>
        </w:tc>
        <w:tc>
          <w:tcPr>
            <w:tcW w:w="715" w:type="pct"/>
            <w:shd w:val="clear" w:color="auto" w:fill="auto"/>
            <w:vAlign w:val="top"/>
          </w:tcPr>
          <w:p w14:paraId="05FE1A3B">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eastAsia" w:ascii="Times New Roman" w:cs="Times New Roman"/>
                <w:i w:val="0"/>
                <w:iCs w:val="0"/>
                <w:caps w:val="0"/>
                <w:color w:val="0F1115"/>
                <w:spacing w:val="0"/>
                <w:sz w:val="21"/>
                <w:szCs w:val="21"/>
                <w:highlight w:val="none"/>
                <w:shd w:val="clear" w:fill="FFFFFF"/>
                <w:lang w:val="en-US" w:eastAsia="zh-CN"/>
              </w:rPr>
              <w:t>男</w:t>
            </w:r>
          </w:p>
        </w:tc>
        <w:tc>
          <w:tcPr>
            <w:tcW w:w="715" w:type="pct"/>
            <w:shd w:val="clear" w:color="auto" w:fill="auto"/>
            <w:vAlign w:val="top"/>
          </w:tcPr>
          <w:p w14:paraId="66ACBB35">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eastAsia" w:ascii="Times New Roman" w:cs="Times New Roman"/>
                <w:i w:val="0"/>
                <w:iCs w:val="0"/>
                <w:caps w:val="0"/>
                <w:color w:val="0F1115"/>
                <w:spacing w:val="0"/>
                <w:sz w:val="21"/>
                <w:szCs w:val="21"/>
                <w:highlight w:val="none"/>
                <w:shd w:val="clear" w:fill="FFFFFF"/>
                <w:lang w:val="en-US" w:eastAsia="zh-CN"/>
              </w:rPr>
              <w:t>32</w:t>
            </w:r>
          </w:p>
        </w:tc>
        <w:tc>
          <w:tcPr>
            <w:tcW w:w="1135" w:type="pct"/>
            <w:shd w:val="clear" w:color="auto" w:fill="auto"/>
            <w:vAlign w:val="top"/>
          </w:tcPr>
          <w:p w14:paraId="5ABC50D7">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国家林业和草原局哈尔滨林业机械研究所</w:t>
            </w:r>
          </w:p>
        </w:tc>
        <w:tc>
          <w:tcPr>
            <w:tcW w:w="761" w:type="pct"/>
            <w:shd w:val="clear" w:color="auto" w:fill="auto"/>
            <w:vAlign w:val="top"/>
          </w:tcPr>
          <w:p w14:paraId="621DA697">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工程师</w:t>
            </w:r>
          </w:p>
        </w:tc>
        <w:tc>
          <w:tcPr>
            <w:tcW w:w="957" w:type="pct"/>
            <w:shd w:val="clear" w:color="auto" w:fill="auto"/>
            <w:vAlign w:val="top"/>
          </w:tcPr>
          <w:p w14:paraId="4FB1B7F1">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eastAsia" w:ascii="Times New Roman" w:hAnsi="Times New Roman" w:eastAsia="宋体" w:cs="Times New Roman"/>
                <w:i w:val="0"/>
                <w:iCs w:val="0"/>
                <w:caps w:val="0"/>
                <w:color w:val="0F1115"/>
                <w:spacing w:val="0"/>
                <w:sz w:val="21"/>
                <w:szCs w:val="21"/>
                <w:highlight w:val="none"/>
                <w:shd w:val="clear" w:fill="FFFFFF"/>
                <w:lang w:val="en-US" w:eastAsia="zh-CN"/>
              </w:rPr>
            </w:pPr>
            <w:r>
              <w:rPr>
                <w:rFonts w:hint="eastAsia" w:ascii="Times New Roman" w:hAnsi="Times New Roman" w:eastAsia="宋体" w:cs="Times New Roman"/>
                <w:i w:val="0"/>
                <w:iCs w:val="0"/>
                <w:caps w:val="0"/>
                <w:color w:val="0F1115"/>
                <w:spacing w:val="0"/>
                <w:sz w:val="21"/>
                <w:szCs w:val="21"/>
                <w:highlight w:val="none"/>
                <w:shd w:val="clear" w:fill="FFFFFF"/>
                <w:lang w:val="en-US" w:eastAsia="zh-CN"/>
              </w:rPr>
              <w:t>数据采集</w:t>
            </w:r>
          </w:p>
        </w:tc>
      </w:tr>
      <w:tr w14:paraId="2AC6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4" w:type="pct"/>
            <w:vAlign w:val="top"/>
          </w:tcPr>
          <w:p w14:paraId="080E2410">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薛娟</w:t>
            </w:r>
          </w:p>
        </w:tc>
        <w:tc>
          <w:tcPr>
            <w:tcW w:w="715" w:type="pct"/>
            <w:vAlign w:val="top"/>
          </w:tcPr>
          <w:p w14:paraId="64FE4967">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女</w:t>
            </w:r>
          </w:p>
        </w:tc>
        <w:tc>
          <w:tcPr>
            <w:tcW w:w="715" w:type="pct"/>
            <w:vAlign w:val="top"/>
          </w:tcPr>
          <w:p w14:paraId="3F1EED4C">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49</w:t>
            </w:r>
          </w:p>
        </w:tc>
        <w:tc>
          <w:tcPr>
            <w:tcW w:w="1135" w:type="pct"/>
            <w:vAlign w:val="top"/>
          </w:tcPr>
          <w:p w14:paraId="06124D44">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呼中林业局生态修复管理科</w:t>
            </w:r>
          </w:p>
        </w:tc>
        <w:tc>
          <w:tcPr>
            <w:tcW w:w="761" w:type="pct"/>
            <w:vAlign w:val="top"/>
          </w:tcPr>
          <w:p w14:paraId="051CD4E9">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助理工程师</w:t>
            </w:r>
          </w:p>
        </w:tc>
        <w:tc>
          <w:tcPr>
            <w:tcW w:w="957" w:type="pct"/>
            <w:vAlign w:val="top"/>
          </w:tcPr>
          <w:p w14:paraId="295E8077">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eastAsia" w:ascii="Times New Roman" w:hAnsi="Times New Roman" w:eastAsia="宋体" w:cs="Times New Roman"/>
                <w:i w:val="0"/>
                <w:iCs w:val="0"/>
                <w:caps w:val="0"/>
                <w:color w:val="0F1115"/>
                <w:spacing w:val="0"/>
                <w:sz w:val="21"/>
                <w:szCs w:val="21"/>
                <w:highlight w:val="none"/>
                <w:shd w:val="clear" w:fill="FFFFFF"/>
                <w:lang w:val="en-US" w:eastAsia="zh-CN"/>
              </w:rPr>
              <w:t>标准草案校对</w:t>
            </w:r>
          </w:p>
        </w:tc>
      </w:tr>
      <w:tr w14:paraId="63D9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pct"/>
            <w:vAlign w:val="top"/>
          </w:tcPr>
          <w:p w14:paraId="37663B8D">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沙梦举</w:t>
            </w:r>
          </w:p>
        </w:tc>
        <w:tc>
          <w:tcPr>
            <w:tcW w:w="715" w:type="pct"/>
            <w:vAlign w:val="top"/>
          </w:tcPr>
          <w:p w14:paraId="74CB18CA">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男</w:t>
            </w:r>
          </w:p>
        </w:tc>
        <w:tc>
          <w:tcPr>
            <w:tcW w:w="715" w:type="pct"/>
            <w:vAlign w:val="top"/>
          </w:tcPr>
          <w:p w14:paraId="57369972">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44</w:t>
            </w:r>
          </w:p>
        </w:tc>
        <w:tc>
          <w:tcPr>
            <w:tcW w:w="1135" w:type="pct"/>
            <w:vAlign w:val="top"/>
          </w:tcPr>
          <w:p w14:paraId="31082A43">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呼中林业局生态修复管理科</w:t>
            </w:r>
          </w:p>
        </w:tc>
        <w:tc>
          <w:tcPr>
            <w:tcW w:w="761" w:type="pct"/>
            <w:vAlign w:val="top"/>
          </w:tcPr>
          <w:p w14:paraId="4200F248">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工程师</w:t>
            </w:r>
          </w:p>
        </w:tc>
        <w:tc>
          <w:tcPr>
            <w:tcW w:w="957" w:type="pct"/>
            <w:vAlign w:val="top"/>
          </w:tcPr>
          <w:p w14:paraId="260C5F3E">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eastAsia" w:ascii="Times New Roman" w:hAnsi="Times New Roman" w:eastAsia="宋体" w:cs="Times New Roman"/>
                <w:i w:val="0"/>
                <w:iCs w:val="0"/>
                <w:caps w:val="0"/>
                <w:color w:val="0F1115"/>
                <w:spacing w:val="0"/>
                <w:sz w:val="21"/>
                <w:szCs w:val="21"/>
                <w:highlight w:val="none"/>
                <w:shd w:val="clear" w:fill="FFFFFF"/>
                <w:lang w:val="en-US" w:eastAsia="zh-CN"/>
              </w:rPr>
              <w:t>数据采集</w:t>
            </w:r>
          </w:p>
        </w:tc>
      </w:tr>
      <w:tr w14:paraId="5B4ED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pct"/>
            <w:vAlign w:val="top"/>
          </w:tcPr>
          <w:p w14:paraId="1D470243">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陈继国</w:t>
            </w:r>
          </w:p>
        </w:tc>
        <w:tc>
          <w:tcPr>
            <w:tcW w:w="715" w:type="pct"/>
            <w:vAlign w:val="top"/>
          </w:tcPr>
          <w:p w14:paraId="0F35BDEC">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男</w:t>
            </w:r>
          </w:p>
        </w:tc>
        <w:tc>
          <w:tcPr>
            <w:tcW w:w="715" w:type="pct"/>
            <w:vAlign w:val="top"/>
          </w:tcPr>
          <w:p w14:paraId="3169E648">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45</w:t>
            </w:r>
          </w:p>
        </w:tc>
        <w:tc>
          <w:tcPr>
            <w:tcW w:w="1135" w:type="pct"/>
            <w:vAlign w:val="top"/>
          </w:tcPr>
          <w:p w14:paraId="27A1042F">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呼中林业局生态修复管理科</w:t>
            </w:r>
          </w:p>
        </w:tc>
        <w:tc>
          <w:tcPr>
            <w:tcW w:w="761" w:type="pct"/>
            <w:vAlign w:val="top"/>
          </w:tcPr>
          <w:p w14:paraId="56F87B7C">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助理工程师</w:t>
            </w:r>
          </w:p>
        </w:tc>
        <w:tc>
          <w:tcPr>
            <w:tcW w:w="957" w:type="pct"/>
            <w:vAlign w:val="top"/>
          </w:tcPr>
          <w:p w14:paraId="1261A245">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eastAsia" w:ascii="Times New Roman" w:hAnsi="Times New Roman" w:eastAsia="宋体" w:cs="Times New Roman"/>
                <w:i w:val="0"/>
                <w:iCs w:val="0"/>
                <w:caps w:val="0"/>
                <w:color w:val="0F1115"/>
                <w:spacing w:val="0"/>
                <w:sz w:val="21"/>
                <w:szCs w:val="21"/>
                <w:highlight w:val="none"/>
                <w:shd w:val="clear" w:fill="FFFFFF"/>
                <w:lang w:val="en-US" w:eastAsia="zh-CN"/>
              </w:rPr>
              <w:t>数据采集</w:t>
            </w:r>
          </w:p>
        </w:tc>
      </w:tr>
      <w:tr w14:paraId="3D0E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pct"/>
            <w:shd w:val="clear" w:color="auto" w:fill="auto"/>
            <w:vAlign w:val="top"/>
          </w:tcPr>
          <w:p w14:paraId="3BD7B04D">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bidi="ar-SA"/>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郭琪</w:t>
            </w:r>
          </w:p>
        </w:tc>
        <w:tc>
          <w:tcPr>
            <w:tcW w:w="715" w:type="pct"/>
            <w:shd w:val="clear" w:color="auto" w:fill="auto"/>
            <w:vAlign w:val="top"/>
          </w:tcPr>
          <w:p w14:paraId="265E1B95">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bidi="ar-SA"/>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女</w:t>
            </w:r>
          </w:p>
        </w:tc>
        <w:tc>
          <w:tcPr>
            <w:tcW w:w="715" w:type="pct"/>
            <w:shd w:val="clear" w:color="auto" w:fill="auto"/>
            <w:vAlign w:val="top"/>
          </w:tcPr>
          <w:p w14:paraId="7EFB8080">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bidi="ar-SA"/>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28</w:t>
            </w:r>
          </w:p>
        </w:tc>
        <w:tc>
          <w:tcPr>
            <w:tcW w:w="1135" w:type="pct"/>
            <w:shd w:val="clear" w:color="auto" w:fill="auto"/>
            <w:vAlign w:val="top"/>
          </w:tcPr>
          <w:p w14:paraId="0C870625">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bidi="ar-SA"/>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黑龙江省林业科学研究所</w:t>
            </w:r>
          </w:p>
        </w:tc>
        <w:tc>
          <w:tcPr>
            <w:tcW w:w="761" w:type="pct"/>
            <w:shd w:val="clear" w:color="auto" w:fill="auto"/>
            <w:vAlign w:val="top"/>
          </w:tcPr>
          <w:p w14:paraId="0B0D72E6">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bidi="ar-SA"/>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研究实习员</w:t>
            </w:r>
          </w:p>
        </w:tc>
        <w:tc>
          <w:tcPr>
            <w:tcW w:w="957" w:type="pct"/>
            <w:shd w:val="clear" w:color="auto" w:fill="auto"/>
            <w:vAlign w:val="top"/>
          </w:tcPr>
          <w:p w14:paraId="23C3ED99">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bidi="ar-SA"/>
              </w:rPr>
            </w:pPr>
            <w:r>
              <w:rPr>
                <w:rFonts w:hint="eastAsia" w:ascii="Times New Roman" w:hAnsi="Times New Roman" w:eastAsia="宋体" w:cs="Times New Roman"/>
                <w:i w:val="0"/>
                <w:iCs w:val="0"/>
                <w:caps w:val="0"/>
                <w:color w:val="0F1115"/>
                <w:spacing w:val="0"/>
                <w:sz w:val="21"/>
                <w:szCs w:val="21"/>
                <w:highlight w:val="none"/>
                <w:shd w:val="clear" w:fill="FFFFFF"/>
                <w:lang w:val="en-US" w:eastAsia="zh-CN"/>
              </w:rPr>
              <w:t>数据采集</w:t>
            </w:r>
            <w:r>
              <w:rPr>
                <w:rFonts w:hint="eastAsia" w:ascii="Times New Roman" w:cs="Times New Roman"/>
                <w:i w:val="0"/>
                <w:iCs w:val="0"/>
                <w:caps w:val="0"/>
                <w:color w:val="0F1115"/>
                <w:spacing w:val="0"/>
                <w:sz w:val="21"/>
                <w:szCs w:val="21"/>
                <w:highlight w:val="none"/>
                <w:shd w:val="clear" w:fill="FFFFFF"/>
                <w:lang w:val="en-US" w:eastAsia="zh-CN"/>
              </w:rPr>
              <w:t>和分析</w:t>
            </w:r>
          </w:p>
        </w:tc>
      </w:tr>
      <w:tr w14:paraId="275A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4" w:type="pct"/>
            <w:vAlign w:val="top"/>
          </w:tcPr>
          <w:p w14:paraId="42BBE5E4">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汪洋</w:t>
            </w:r>
          </w:p>
        </w:tc>
        <w:tc>
          <w:tcPr>
            <w:tcW w:w="715" w:type="pct"/>
            <w:vAlign w:val="top"/>
          </w:tcPr>
          <w:p w14:paraId="6AC215A0">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女</w:t>
            </w:r>
          </w:p>
        </w:tc>
        <w:tc>
          <w:tcPr>
            <w:tcW w:w="715" w:type="pct"/>
            <w:vAlign w:val="top"/>
          </w:tcPr>
          <w:p w14:paraId="45640FA8">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40</w:t>
            </w:r>
          </w:p>
        </w:tc>
        <w:tc>
          <w:tcPr>
            <w:tcW w:w="1135" w:type="pct"/>
            <w:vAlign w:val="top"/>
          </w:tcPr>
          <w:p w14:paraId="7DC4380B">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内蒙古阿龙山森林工业有限公司森林经营中心</w:t>
            </w:r>
          </w:p>
        </w:tc>
        <w:tc>
          <w:tcPr>
            <w:tcW w:w="761" w:type="pct"/>
            <w:vAlign w:val="top"/>
          </w:tcPr>
          <w:p w14:paraId="0F7CB090">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工程师</w:t>
            </w:r>
          </w:p>
        </w:tc>
        <w:tc>
          <w:tcPr>
            <w:tcW w:w="957" w:type="pct"/>
            <w:vAlign w:val="top"/>
          </w:tcPr>
          <w:p w14:paraId="1A08C353">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eastAsia" w:ascii="Times New Roman" w:hAnsi="Times New Roman" w:eastAsia="宋体" w:cs="Times New Roman"/>
                <w:i w:val="0"/>
                <w:iCs w:val="0"/>
                <w:caps w:val="0"/>
                <w:color w:val="0F1115"/>
                <w:spacing w:val="0"/>
                <w:sz w:val="21"/>
                <w:szCs w:val="21"/>
                <w:highlight w:val="none"/>
                <w:shd w:val="clear" w:fill="FFFFFF"/>
                <w:lang w:val="en-US" w:eastAsia="zh-CN"/>
              </w:rPr>
              <w:t>数据采集</w:t>
            </w:r>
            <w:r>
              <w:rPr>
                <w:rFonts w:hint="eastAsia" w:ascii="Times New Roman" w:cs="Times New Roman"/>
                <w:i w:val="0"/>
                <w:iCs w:val="0"/>
                <w:caps w:val="0"/>
                <w:color w:val="0F1115"/>
                <w:spacing w:val="0"/>
                <w:sz w:val="21"/>
                <w:szCs w:val="21"/>
                <w:highlight w:val="none"/>
                <w:shd w:val="clear" w:fill="FFFFFF"/>
                <w:lang w:val="en-US" w:eastAsia="zh-CN"/>
              </w:rPr>
              <w:t>和分析</w:t>
            </w:r>
          </w:p>
        </w:tc>
      </w:tr>
      <w:tr w14:paraId="7729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pct"/>
            <w:vAlign w:val="top"/>
          </w:tcPr>
          <w:p w14:paraId="7D505476">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程莉</w:t>
            </w:r>
          </w:p>
        </w:tc>
        <w:tc>
          <w:tcPr>
            <w:tcW w:w="715" w:type="pct"/>
            <w:vAlign w:val="top"/>
          </w:tcPr>
          <w:p w14:paraId="5F015CB4">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女</w:t>
            </w:r>
          </w:p>
        </w:tc>
        <w:tc>
          <w:tcPr>
            <w:tcW w:w="715" w:type="pct"/>
            <w:vAlign w:val="top"/>
          </w:tcPr>
          <w:p w14:paraId="05592D36">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44</w:t>
            </w:r>
          </w:p>
        </w:tc>
        <w:tc>
          <w:tcPr>
            <w:tcW w:w="1135" w:type="pct"/>
            <w:vAlign w:val="top"/>
          </w:tcPr>
          <w:p w14:paraId="4B5DEF56">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内蒙古阿龙山森林工业有限公司森林经营中心</w:t>
            </w:r>
          </w:p>
        </w:tc>
        <w:tc>
          <w:tcPr>
            <w:tcW w:w="761" w:type="pct"/>
            <w:vAlign w:val="top"/>
          </w:tcPr>
          <w:p w14:paraId="082DA1DB">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工程师</w:t>
            </w:r>
          </w:p>
        </w:tc>
        <w:tc>
          <w:tcPr>
            <w:tcW w:w="957" w:type="pct"/>
            <w:vAlign w:val="top"/>
          </w:tcPr>
          <w:p w14:paraId="2C52572A">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default" w:ascii="Times New Roman" w:hAnsi="Times New Roman" w:eastAsia="宋体" w:cs="Times New Roman"/>
                <w:i w:val="0"/>
                <w:iCs w:val="0"/>
                <w:caps w:val="0"/>
                <w:color w:val="0F1115"/>
                <w:spacing w:val="0"/>
                <w:sz w:val="21"/>
                <w:szCs w:val="21"/>
                <w:highlight w:val="none"/>
                <w:shd w:val="clear" w:fill="FFFFFF"/>
                <w:lang w:val="en-US" w:eastAsia="zh-CN"/>
              </w:rPr>
            </w:pPr>
            <w:r>
              <w:rPr>
                <w:rFonts w:hint="eastAsia" w:ascii="Times New Roman" w:hAnsi="Times New Roman" w:eastAsia="宋体" w:cs="Times New Roman"/>
                <w:i w:val="0"/>
                <w:iCs w:val="0"/>
                <w:caps w:val="0"/>
                <w:color w:val="0F1115"/>
                <w:spacing w:val="0"/>
                <w:sz w:val="21"/>
                <w:szCs w:val="21"/>
                <w:highlight w:val="none"/>
                <w:shd w:val="clear" w:fill="FFFFFF"/>
                <w:lang w:val="en-US" w:eastAsia="zh-CN"/>
              </w:rPr>
              <w:t>数据采集</w:t>
            </w:r>
            <w:r>
              <w:rPr>
                <w:rFonts w:hint="eastAsia" w:ascii="Times New Roman" w:cs="Times New Roman"/>
                <w:i w:val="0"/>
                <w:iCs w:val="0"/>
                <w:caps w:val="0"/>
                <w:color w:val="0F1115"/>
                <w:spacing w:val="0"/>
                <w:sz w:val="21"/>
                <w:szCs w:val="21"/>
                <w:highlight w:val="none"/>
                <w:shd w:val="clear" w:fill="FFFFFF"/>
                <w:lang w:val="en-US" w:eastAsia="zh-CN"/>
              </w:rPr>
              <w:t>和分析</w:t>
            </w:r>
          </w:p>
        </w:tc>
      </w:tr>
    </w:tbl>
    <w:p w14:paraId="0B254736">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firstLine="420"/>
        <w:rPr>
          <w:rFonts w:hint="default" w:ascii="Times New Roman" w:eastAsia="Segoe UI" w:cs="Times New Roman"/>
          <w:i w:val="0"/>
          <w:iCs w:val="0"/>
          <w:caps w:val="0"/>
          <w:color w:val="0F1115"/>
          <w:spacing w:val="0"/>
          <w:sz w:val="28"/>
          <w:szCs w:val="28"/>
          <w:highlight w:val="yellow"/>
          <w:shd w:val="clear" w:fill="FFFFFF"/>
          <w:lang w:val="en-US" w:eastAsia="zh-CN"/>
        </w:rPr>
      </w:pPr>
    </w:p>
    <w:p w14:paraId="5EE20C3A">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jc w:val="both"/>
        <w:textAlignment w:val="auto"/>
        <w:rPr>
          <w:rFonts w:hint="eastAsia" w:asciiTheme="minorEastAsia" w:hAnsiTheme="minorEastAsia" w:eastAsiaTheme="minorEastAsia"/>
          <w:sz w:val="28"/>
          <w:szCs w:val="28"/>
        </w:rPr>
      </w:pPr>
      <w:r>
        <w:rPr>
          <w:rFonts w:hint="eastAsia" w:asciiTheme="minorEastAsia" w:hAnsiTheme="minorEastAsia" w:eastAsiaTheme="minorEastAsia" w:cstheme="minorBidi"/>
          <w:sz w:val="28"/>
          <w:szCs w:val="28"/>
          <w:lang w:val="en-US" w:eastAsia="zh-CN" w:bidi="ar-SA"/>
        </w:rPr>
        <w:t>二、</w:t>
      </w:r>
      <w:r>
        <w:rPr>
          <w:rFonts w:hint="eastAsia" w:asciiTheme="minorEastAsia" w:hAnsiTheme="minorEastAsia" w:eastAsiaTheme="minorEastAsia"/>
          <w:b/>
          <w:bCs/>
          <w:sz w:val="28"/>
          <w:szCs w:val="28"/>
        </w:rPr>
        <w:t>标准编制原则和确定标准主要内容（如技术指标、参数、公式、性能要求、试验方法、检验规则等）的论据</w:t>
      </w:r>
    </w:p>
    <w:p w14:paraId="591B56F0">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firstLine="420"/>
        <w:textAlignment w:val="auto"/>
        <w:rPr>
          <w:rFonts w:hint="eastAsia" w:ascii="仿宋" w:hAnsi="仿宋" w:eastAsia="仿宋" w:cs="仿宋"/>
          <w:i w:val="0"/>
          <w:iCs w:val="0"/>
          <w:caps w:val="0"/>
          <w:color w:val="0F1115"/>
          <w:spacing w:val="0"/>
          <w:sz w:val="28"/>
          <w:szCs w:val="28"/>
          <w:shd w:val="clear" w:fill="FFFFFF"/>
          <w:lang w:val="en-US" w:eastAsia="zh-CN"/>
        </w:rPr>
      </w:pPr>
      <w:r>
        <w:rPr>
          <w:rFonts w:hint="eastAsia" w:ascii="仿宋" w:hAnsi="仿宋" w:eastAsia="仿宋" w:cs="仿宋"/>
          <w:i w:val="0"/>
          <w:iCs w:val="0"/>
          <w:caps w:val="0"/>
          <w:color w:val="0F1115"/>
          <w:spacing w:val="0"/>
          <w:sz w:val="28"/>
          <w:szCs w:val="28"/>
          <w:shd w:val="clear" w:fill="FFFFFF"/>
          <w:lang w:val="en-US" w:eastAsia="zh-CN"/>
        </w:rPr>
        <w:t>本标准文件按照GB/T 1.1—2020《标准化工作导则  第1部分：标准化文件的结构和起草规则》的规定起草。根据已开展</w:t>
      </w:r>
      <w:r>
        <w:rPr>
          <w:rFonts w:hint="eastAsia" w:ascii="仿宋" w:hAnsi="仿宋" w:eastAsia="仿宋" w:cs="仿宋"/>
          <w:i w:val="0"/>
          <w:iCs w:val="0"/>
          <w:caps w:val="0"/>
          <w:color w:val="0F1115"/>
          <w:spacing w:val="0"/>
          <w:sz w:val="28"/>
          <w:szCs w:val="28"/>
          <w:shd w:val="clear" w:fill="FFFFFF"/>
        </w:rPr>
        <w:t>的偃松种质资源研究工作，</w:t>
      </w:r>
      <w:r>
        <w:rPr>
          <w:rFonts w:hint="eastAsia" w:ascii="仿宋" w:hAnsi="仿宋" w:eastAsia="仿宋" w:cs="仿宋"/>
          <w:i w:val="0"/>
          <w:iCs w:val="0"/>
          <w:caps w:val="0"/>
          <w:color w:val="0F1115"/>
          <w:spacing w:val="0"/>
          <w:sz w:val="28"/>
          <w:szCs w:val="28"/>
          <w:shd w:val="clear" w:fill="FFFFFF"/>
          <w:lang w:val="en-US" w:eastAsia="zh-CN"/>
        </w:rPr>
        <w:t>本标准的主要内容包括以下几项：</w:t>
      </w:r>
    </w:p>
    <w:p w14:paraId="579F0C5E">
      <w:pPr>
        <w:pStyle w:val="9"/>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仿宋" w:hAnsi="仿宋" w:eastAsia="仿宋" w:cs="仿宋"/>
          <w:i w:val="0"/>
          <w:iCs w:val="0"/>
          <w:caps w:val="0"/>
          <w:color w:val="0F1115"/>
          <w:spacing w:val="0"/>
          <w:sz w:val="28"/>
          <w:szCs w:val="28"/>
          <w:shd w:val="clear" w:fill="FFFFFF"/>
          <w:lang w:val="en-US" w:eastAsia="zh-CN"/>
        </w:rPr>
      </w:pPr>
      <w:r>
        <w:rPr>
          <w:rFonts w:hint="eastAsia" w:ascii="仿宋" w:hAnsi="仿宋" w:eastAsia="仿宋" w:cs="仿宋"/>
          <w:i w:val="0"/>
          <w:iCs w:val="0"/>
          <w:caps w:val="0"/>
          <w:color w:val="0F1115"/>
          <w:spacing w:val="0"/>
          <w:sz w:val="28"/>
          <w:szCs w:val="28"/>
          <w:shd w:val="clear" w:fill="FFFFFF"/>
        </w:rPr>
        <w:t>（1）</w:t>
      </w:r>
      <w:r>
        <w:rPr>
          <w:rFonts w:hint="eastAsia" w:ascii="仿宋" w:hAnsi="仿宋" w:eastAsia="仿宋" w:cs="仿宋"/>
          <w:i w:val="0"/>
          <w:iCs w:val="0"/>
          <w:caps w:val="0"/>
          <w:color w:val="0F1115"/>
          <w:spacing w:val="0"/>
          <w:sz w:val="28"/>
          <w:szCs w:val="28"/>
          <w:shd w:val="clear" w:fill="FFFFFF"/>
          <w:lang w:val="en-US" w:eastAsia="zh-CN"/>
        </w:rPr>
        <w:t>种质资源调查。试验方法包括调查准备、参照GB/T 26424    《森林资源规划设计调查技术规程》进行区划、踏查与林分调查（生长调查、结实调查、物候调查等）。（2）种质资源收集。试验方法为确定种质资源收集的对象、范</w:t>
      </w:r>
      <w:r>
        <w:rPr>
          <w:rFonts w:hint="eastAsia" w:ascii="仿宋" w:hAnsi="仿宋" w:eastAsia="仿宋" w:cs="仿宋"/>
          <w:i w:val="0"/>
          <w:iCs w:val="0"/>
          <w:caps w:val="0"/>
          <w:color w:val="0F1115"/>
          <w:spacing w:val="0"/>
          <w:sz w:val="28"/>
          <w:szCs w:val="28"/>
          <w:shd w:val="clear" w:fill="FFFFFF"/>
        </w:rPr>
        <w:t>围和数量</w:t>
      </w:r>
      <w:r>
        <w:rPr>
          <w:rFonts w:hint="eastAsia" w:ascii="仿宋" w:hAnsi="仿宋" w:eastAsia="仿宋" w:cs="仿宋"/>
          <w:i w:val="0"/>
          <w:iCs w:val="0"/>
          <w:caps w:val="0"/>
          <w:color w:val="0F1115"/>
          <w:spacing w:val="0"/>
          <w:sz w:val="28"/>
          <w:szCs w:val="28"/>
          <w:shd w:val="clear" w:fill="FFFFFF"/>
          <w:lang w:eastAsia="zh-CN"/>
        </w:rPr>
        <w:t>，</w:t>
      </w:r>
      <w:r>
        <w:rPr>
          <w:rFonts w:hint="eastAsia" w:ascii="仿宋" w:hAnsi="仿宋" w:eastAsia="仿宋" w:cs="仿宋"/>
          <w:i w:val="0"/>
          <w:iCs w:val="0"/>
          <w:caps w:val="0"/>
          <w:color w:val="0F1115"/>
          <w:spacing w:val="0"/>
          <w:sz w:val="28"/>
          <w:szCs w:val="28"/>
          <w:shd w:val="clear" w:fill="FFFFFF"/>
          <w:lang w:val="en-US" w:eastAsia="zh-CN"/>
        </w:rPr>
        <w:t>并记录选中种质的立地因子和生长量</w:t>
      </w:r>
      <w:r>
        <w:rPr>
          <w:rFonts w:hint="eastAsia" w:ascii="仿宋" w:hAnsi="仿宋" w:eastAsia="仿宋" w:cs="仿宋"/>
          <w:i w:val="0"/>
          <w:iCs w:val="0"/>
          <w:caps w:val="0"/>
          <w:color w:val="0F1115"/>
          <w:spacing w:val="0"/>
          <w:sz w:val="28"/>
          <w:szCs w:val="28"/>
          <w:shd w:val="clear" w:fill="FFFFFF"/>
        </w:rPr>
        <w:t>。（</w:t>
      </w:r>
      <w:r>
        <w:rPr>
          <w:rFonts w:hint="eastAsia" w:ascii="仿宋" w:hAnsi="仿宋" w:eastAsia="仿宋" w:cs="仿宋"/>
          <w:i w:val="0"/>
          <w:iCs w:val="0"/>
          <w:caps w:val="0"/>
          <w:color w:val="0F1115"/>
          <w:spacing w:val="0"/>
          <w:sz w:val="28"/>
          <w:szCs w:val="28"/>
          <w:shd w:val="clear" w:fill="FFFFFF"/>
          <w:lang w:val="en-US" w:eastAsia="zh-CN"/>
        </w:rPr>
        <w:t>3</w:t>
      </w:r>
      <w:r>
        <w:rPr>
          <w:rFonts w:hint="eastAsia" w:ascii="仿宋" w:hAnsi="仿宋" w:eastAsia="仿宋" w:cs="仿宋"/>
          <w:i w:val="0"/>
          <w:iCs w:val="0"/>
          <w:caps w:val="0"/>
          <w:color w:val="0F1115"/>
          <w:spacing w:val="0"/>
          <w:sz w:val="28"/>
          <w:szCs w:val="28"/>
          <w:shd w:val="clear" w:fill="FFFFFF"/>
        </w:rPr>
        <w:t>）</w:t>
      </w:r>
      <w:r>
        <w:rPr>
          <w:rFonts w:hint="eastAsia" w:ascii="仿宋" w:hAnsi="仿宋" w:eastAsia="仿宋" w:cs="仿宋"/>
          <w:i w:val="0"/>
          <w:iCs w:val="0"/>
          <w:caps w:val="0"/>
          <w:color w:val="0F1115"/>
          <w:spacing w:val="0"/>
          <w:sz w:val="28"/>
          <w:szCs w:val="28"/>
          <w:shd w:val="clear" w:fill="FFFFFF"/>
          <w:lang w:val="en-US" w:eastAsia="zh-CN"/>
        </w:rPr>
        <w:t>种质资源保</w:t>
      </w:r>
      <w:r>
        <w:rPr>
          <w:rFonts w:hint="eastAsia" w:ascii="仿宋" w:hAnsi="仿宋" w:eastAsia="仿宋" w:cs="仿宋"/>
          <w:i w:val="0"/>
          <w:iCs w:val="0"/>
          <w:caps w:val="0"/>
          <w:color w:val="0F1115"/>
          <w:spacing w:val="0"/>
          <w:sz w:val="28"/>
          <w:szCs w:val="28"/>
          <w:shd w:val="clear" w:fill="FFFFFF"/>
        </w:rPr>
        <w:t>存</w:t>
      </w:r>
      <w:r>
        <w:rPr>
          <w:rFonts w:hint="eastAsia" w:ascii="仿宋" w:hAnsi="仿宋" w:eastAsia="仿宋" w:cs="仿宋"/>
          <w:i w:val="0"/>
          <w:iCs w:val="0"/>
          <w:caps w:val="0"/>
          <w:color w:val="0F1115"/>
          <w:spacing w:val="0"/>
          <w:sz w:val="28"/>
          <w:szCs w:val="28"/>
          <w:shd w:val="clear" w:fill="FFFFFF"/>
          <w:lang w:eastAsia="zh-CN"/>
        </w:rPr>
        <w:t>。</w:t>
      </w:r>
      <w:r>
        <w:rPr>
          <w:rFonts w:hint="eastAsia" w:ascii="仿宋" w:hAnsi="仿宋" w:eastAsia="仿宋" w:cs="仿宋"/>
          <w:i w:val="0"/>
          <w:iCs w:val="0"/>
          <w:caps w:val="0"/>
          <w:color w:val="0F1115"/>
          <w:spacing w:val="0"/>
          <w:sz w:val="28"/>
          <w:szCs w:val="28"/>
          <w:shd w:val="clear" w:fill="FFFFFF"/>
          <w:lang w:val="en-US" w:eastAsia="zh-CN"/>
        </w:rPr>
        <w:t>参照GB</w:t>
      </w:r>
      <w:r>
        <w:rPr>
          <w:rFonts w:hint="eastAsia" w:ascii="仿宋" w:hAnsi="仿宋" w:eastAsia="仿宋" w:cs="仿宋"/>
          <w:i w:val="0"/>
          <w:iCs w:val="0"/>
          <w:caps w:val="0"/>
          <w:color w:val="0F1115"/>
          <w:spacing w:val="0"/>
          <w:sz w:val="28"/>
          <w:szCs w:val="28"/>
          <w:shd w:val="clear" w:fill="FFFFFF"/>
        </w:rPr>
        <w:t>/T</w:t>
      </w:r>
      <w:r>
        <w:rPr>
          <w:rFonts w:hint="eastAsia" w:ascii="仿宋" w:hAnsi="仿宋" w:eastAsia="仿宋" w:cs="仿宋"/>
          <w:i w:val="0"/>
          <w:iCs w:val="0"/>
          <w:caps w:val="0"/>
          <w:color w:val="0F1115"/>
          <w:spacing w:val="0"/>
          <w:sz w:val="28"/>
          <w:szCs w:val="28"/>
          <w:shd w:val="clear" w:fill="FFFFFF"/>
          <w:lang w:val="en-US" w:eastAsia="zh-CN"/>
        </w:rPr>
        <w:t xml:space="preserve"> 2772《林木种子检验规程》和LY/T 2417《林木种质资源异地保存库营建技术规程》。</w:t>
      </w:r>
      <w:r>
        <w:rPr>
          <w:rFonts w:hint="eastAsia" w:ascii="仿宋" w:hAnsi="仿宋" w:eastAsia="仿宋" w:cs="仿宋"/>
          <w:i w:val="0"/>
          <w:iCs w:val="0"/>
          <w:caps w:val="0"/>
          <w:color w:val="0F1115"/>
          <w:spacing w:val="0"/>
          <w:sz w:val="28"/>
          <w:szCs w:val="28"/>
          <w:shd w:val="clear" w:fill="FFFFFF"/>
        </w:rPr>
        <w:t>确定原地保存、异地保存和设施保存三种保存方式的适用条件和具体要求。（</w:t>
      </w:r>
      <w:r>
        <w:rPr>
          <w:rFonts w:hint="eastAsia" w:ascii="仿宋" w:hAnsi="仿宋" w:eastAsia="仿宋" w:cs="仿宋"/>
          <w:i w:val="0"/>
          <w:iCs w:val="0"/>
          <w:caps w:val="0"/>
          <w:color w:val="0F1115"/>
          <w:spacing w:val="0"/>
          <w:sz w:val="28"/>
          <w:szCs w:val="28"/>
          <w:shd w:val="clear" w:fill="FFFFFF"/>
          <w:lang w:val="en-US" w:eastAsia="zh-CN"/>
        </w:rPr>
        <w:t>4</w:t>
      </w:r>
      <w:r>
        <w:rPr>
          <w:rFonts w:hint="eastAsia" w:ascii="仿宋" w:hAnsi="仿宋" w:eastAsia="仿宋" w:cs="仿宋"/>
          <w:i w:val="0"/>
          <w:iCs w:val="0"/>
          <w:caps w:val="0"/>
          <w:color w:val="0F1115"/>
          <w:spacing w:val="0"/>
          <w:sz w:val="28"/>
          <w:szCs w:val="28"/>
          <w:shd w:val="clear" w:fill="FFFFFF"/>
        </w:rPr>
        <w:t>）</w:t>
      </w:r>
      <w:r>
        <w:rPr>
          <w:rFonts w:hint="eastAsia" w:ascii="仿宋" w:hAnsi="仿宋" w:eastAsia="仿宋" w:cs="仿宋"/>
          <w:i w:val="0"/>
          <w:iCs w:val="0"/>
          <w:caps w:val="0"/>
          <w:color w:val="0F1115"/>
          <w:spacing w:val="0"/>
          <w:sz w:val="28"/>
          <w:szCs w:val="28"/>
          <w:shd w:val="clear" w:fill="FFFFFF"/>
          <w:lang w:val="en-US" w:eastAsia="zh-CN"/>
        </w:rPr>
        <w:t>种质资源</w:t>
      </w:r>
      <w:r>
        <w:rPr>
          <w:rFonts w:hint="eastAsia" w:ascii="仿宋" w:hAnsi="仿宋" w:eastAsia="仿宋" w:cs="仿宋"/>
          <w:i w:val="0"/>
          <w:iCs w:val="0"/>
          <w:caps w:val="0"/>
          <w:color w:val="0F1115"/>
          <w:spacing w:val="0"/>
          <w:sz w:val="28"/>
          <w:szCs w:val="28"/>
          <w:shd w:val="clear" w:fill="FFFFFF"/>
        </w:rPr>
        <w:t>评价</w:t>
      </w:r>
      <w:r>
        <w:rPr>
          <w:rFonts w:hint="eastAsia" w:ascii="仿宋" w:hAnsi="仿宋" w:eastAsia="仿宋" w:cs="仿宋"/>
          <w:i w:val="0"/>
          <w:iCs w:val="0"/>
          <w:caps w:val="0"/>
          <w:color w:val="0F1115"/>
          <w:spacing w:val="0"/>
          <w:sz w:val="28"/>
          <w:szCs w:val="28"/>
          <w:shd w:val="clear" w:fill="FFFFFF"/>
          <w:lang w:eastAsia="zh-CN"/>
        </w:rPr>
        <w:t>。</w:t>
      </w:r>
      <w:r>
        <w:rPr>
          <w:rFonts w:hint="eastAsia" w:ascii="仿宋" w:hAnsi="仿宋" w:eastAsia="仿宋" w:cs="仿宋"/>
          <w:i w:val="0"/>
          <w:iCs w:val="0"/>
          <w:caps w:val="0"/>
          <w:color w:val="0F1115"/>
          <w:spacing w:val="0"/>
          <w:sz w:val="28"/>
          <w:szCs w:val="28"/>
          <w:shd w:val="clear" w:fill="FFFFFF"/>
        </w:rPr>
        <w:t>评价指标</w:t>
      </w:r>
      <w:r>
        <w:rPr>
          <w:rFonts w:hint="eastAsia" w:ascii="仿宋" w:hAnsi="仿宋" w:eastAsia="仿宋" w:cs="仿宋"/>
          <w:i w:val="0"/>
          <w:iCs w:val="0"/>
          <w:caps w:val="0"/>
          <w:color w:val="0F1115"/>
          <w:spacing w:val="0"/>
          <w:sz w:val="28"/>
          <w:szCs w:val="28"/>
          <w:shd w:val="clear" w:fill="FFFFFF"/>
          <w:lang w:val="en-US" w:eastAsia="zh-CN"/>
        </w:rPr>
        <w:t>包括生长性状、结实性状和种子品质</w:t>
      </w:r>
      <w:r>
        <w:rPr>
          <w:rFonts w:hint="eastAsia" w:ascii="仿宋" w:hAnsi="仿宋" w:eastAsia="仿宋" w:cs="仿宋"/>
          <w:i w:val="0"/>
          <w:iCs w:val="0"/>
          <w:caps w:val="0"/>
          <w:color w:val="0F1115"/>
          <w:spacing w:val="0"/>
          <w:sz w:val="28"/>
          <w:szCs w:val="28"/>
          <w:shd w:val="clear" w:fill="FFFFFF"/>
        </w:rPr>
        <w:t>。</w:t>
      </w:r>
      <w:r>
        <w:rPr>
          <w:rFonts w:hint="eastAsia" w:ascii="仿宋" w:hAnsi="仿宋" w:eastAsia="仿宋" w:cs="仿宋"/>
          <w:i w:val="0"/>
          <w:iCs w:val="0"/>
          <w:caps w:val="0"/>
          <w:color w:val="0F1115"/>
          <w:spacing w:val="0"/>
          <w:sz w:val="28"/>
          <w:szCs w:val="28"/>
          <w:shd w:val="clear" w:fill="FFFFFF"/>
          <w:lang w:val="en-US" w:eastAsia="zh-CN"/>
        </w:rPr>
        <w:t>确定种质资源分级方法</w:t>
      </w:r>
      <w:r>
        <w:rPr>
          <w:rFonts w:hint="eastAsia" w:ascii="仿宋" w:hAnsi="仿宋" w:eastAsia="仿宋" w:cs="仿宋"/>
          <w:i w:val="0"/>
          <w:iCs w:val="0"/>
          <w:caps w:val="0"/>
          <w:color w:val="0F1115"/>
          <w:spacing w:val="0"/>
          <w:sz w:val="28"/>
          <w:szCs w:val="28"/>
          <w:shd w:val="clear" w:fill="FFFFFF"/>
          <w:lang w:eastAsia="zh-CN"/>
        </w:rPr>
        <w:t>。</w:t>
      </w:r>
      <w:r>
        <w:rPr>
          <w:rFonts w:hint="eastAsia" w:ascii="仿宋" w:hAnsi="仿宋" w:eastAsia="仿宋" w:cs="仿宋"/>
          <w:i w:val="0"/>
          <w:iCs w:val="0"/>
          <w:caps w:val="0"/>
          <w:color w:val="0F1115"/>
          <w:spacing w:val="0"/>
          <w:sz w:val="28"/>
          <w:szCs w:val="28"/>
          <w:shd w:val="clear" w:fill="FFFFFF"/>
          <w:lang w:val="en-US" w:eastAsia="zh-CN"/>
        </w:rPr>
        <w:t>评价方法为建立隶属函数法和主</w:t>
      </w:r>
      <w:r>
        <w:rPr>
          <w:rFonts w:hint="eastAsia" w:ascii="仿宋" w:hAnsi="仿宋" w:eastAsia="仿宋" w:cs="仿宋"/>
          <w:i w:val="0"/>
          <w:iCs w:val="0"/>
          <w:caps w:val="0"/>
          <w:color w:val="0F1115"/>
          <w:spacing w:val="0"/>
          <w:sz w:val="28"/>
          <w:szCs w:val="28"/>
          <w:shd w:val="clear" w:fill="FFFFFF"/>
        </w:rPr>
        <w:t>成分综合评价模型。</w:t>
      </w:r>
      <w:r>
        <w:rPr>
          <w:rFonts w:hint="eastAsia" w:ascii="仿宋" w:hAnsi="仿宋" w:eastAsia="仿宋" w:cs="仿宋"/>
          <w:i w:val="0"/>
          <w:iCs w:val="0"/>
          <w:caps w:val="0"/>
          <w:color w:val="0F1115"/>
          <w:spacing w:val="0"/>
          <w:sz w:val="28"/>
          <w:szCs w:val="28"/>
          <w:shd w:val="clear" w:fill="FFFFFF"/>
          <w:lang w:eastAsia="zh-CN"/>
        </w:rPr>
        <w:t>（</w:t>
      </w:r>
      <w:r>
        <w:rPr>
          <w:rFonts w:hint="eastAsia" w:ascii="仿宋" w:hAnsi="仿宋" w:eastAsia="仿宋" w:cs="仿宋"/>
          <w:i w:val="0"/>
          <w:iCs w:val="0"/>
          <w:caps w:val="0"/>
          <w:color w:val="0F1115"/>
          <w:spacing w:val="0"/>
          <w:sz w:val="28"/>
          <w:szCs w:val="28"/>
          <w:shd w:val="clear" w:fill="FFFFFF"/>
          <w:lang w:val="en-US" w:eastAsia="zh-CN"/>
        </w:rPr>
        <w:t>5</w:t>
      </w:r>
      <w:r>
        <w:rPr>
          <w:rFonts w:hint="eastAsia" w:ascii="仿宋" w:hAnsi="仿宋" w:eastAsia="仿宋" w:cs="仿宋"/>
          <w:i w:val="0"/>
          <w:iCs w:val="0"/>
          <w:caps w:val="0"/>
          <w:color w:val="0F1115"/>
          <w:spacing w:val="0"/>
          <w:sz w:val="28"/>
          <w:szCs w:val="28"/>
          <w:shd w:val="clear" w:fill="FFFFFF"/>
          <w:lang w:eastAsia="zh-CN"/>
        </w:rPr>
        <w:t>）</w:t>
      </w:r>
      <w:r>
        <w:rPr>
          <w:rFonts w:hint="eastAsia" w:ascii="仿宋" w:hAnsi="仿宋" w:eastAsia="仿宋" w:cs="仿宋"/>
          <w:i w:val="0"/>
          <w:iCs w:val="0"/>
          <w:caps w:val="0"/>
          <w:color w:val="0F1115"/>
          <w:spacing w:val="0"/>
          <w:sz w:val="28"/>
          <w:szCs w:val="28"/>
          <w:shd w:val="clear" w:fill="FFFFFF"/>
          <w:lang w:val="en-US" w:eastAsia="zh-CN"/>
        </w:rPr>
        <w:t>档案管理，包括基础档案、影像资料、种质资源档案和生产经营档案等。</w:t>
      </w:r>
    </w:p>
    <w:p w14:paraId="4AF14C89">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Theme="minorEastAsia" w:hAnsiTheme="minorEastAsia" w:eastAsiaTheme="minorEastAsia"/>
          <w:b/>
          <w:bCs/>
          <w:sz w:val="28"/>
          <w:szCs w:val="28"/>
          <w:highlight w:val="none"/>
        </w:rPr>
      </w:pPr>
      <w:r>
        <w:rPr>
          <w:rFonts w:hint="eastAsia" w:asciiTheme="minorEastAsia" w:hAnsiTheme="minorEastAsia" w:eastAsiaTheme="minorEastAsia"/>
          <w:b/>
          <w:bCs/>
          <w:sz w:val="28"/>
          <w:szCs w:val="28"/>
        </w:rPr>
        <w:t>三、</w:t>
      </w:r>
      <w:r>
        <w:rPr>
          <w:rFonts w:hint="eastAsia" w:asciiTheme="minorEastAsia" w:hAnsiTheme="minorEastAsia" w:eastAsiaTheme="minorEastAsia"/>
          <w:b/>
          <w:bCs/>
          <w:sz w:val="28"/>
          <w:szCs w:val="28"/>
          <w:highlight w:val="none"/>
        </w:rPr>
        <w:t>主要试验（或验证）的分析、综述报告，技术经济论证，预期的经济效果</w:t>
      </w:r>
    </w:p>
    <w:p w14:paraId="1BE28967">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firstLine="420"/>
        <w:textAlignment w:val="auto"/>
        <w:rPr>
          <w:rFonts w:hint="eastAsia" w:ascii="仿宋" w:hAnsi="仿宋" w:eastAsia="仿宋" w:cs="仿宋"/>
          <w:i w:val="0"/>
          <w:iCs w:val="0"/>
          <w:caps w:val="0"/>
          <w:color w:val="0F1115"/>
          <w:spacing w:val="0"/>
          <w:sz w:val="28"/>
          <w:szCs w:val="28"/>
          <w:shd w:val="clear" w:fill="FFFFFF"/>
          <w:lang w:val="en-US" w:eastAsia="zh-CN"/>
        </w:rPr>
      </w:pPr>
      <w:r>
        <w:rPr>
          <w:rFonts w:hint="eastAsia" w:ascii="仿宋" w:hAnsi="仿宋" w:eastAsia="仿宋" w:cs="仿宋"/>
          <w:i w:val="0"/>
          <w:iCs w:val="0"/>
          <w:caps w:val="0"/>
          <w:color w:val="0F1115"/>
          <w:spacing w:val="0"/>
          <w:sz w:val="28"/>
          <w:szCs w:val="28"/>
          <w:shd w:val="clear" w:fill="FFFFFF"/>
          <w:lang w:val="en-US" w:eastAsia="zh-CN"/>
        </w:rPr>
        <w:t>为验证本标准种质资源调查、收集、保存和评价试验指标和技术方法的可行性，起草组成员于2016年至2025年间，</w:t>
      </w:r>
      <w:r>
        <w:rPr>
          <w:rFonts w:hint="eastAsia" w:ascii="仿宋" w:hAnsi="仿宋" w:eastAsia="仿宋" w:cs="仿宋"/>
          <w:i w:val="0"/>
          <w:iCs w:val="0"/>
          <w:caps w:val="0"/>
          <w:color w:val="0F1115"/>
          <w:spacing w:val="0"/>
          <w:sz w:val="28"/>
          <w:szCs w:val="28"/>
          <w:shd w:val="clear" w:fill="FFFFFF"/>
        </w:rPr>
        <w:t>系统调查</w:t>
      </w:r>
      <w:r>
        <w:rPr>
          <w:rFonts w:hint="eastAsia" w:ascii="仿宋" w:hAnsi="仿宋" w:eastAsia="仿宋" w:cs="仿宋"/>
          <w:i w:val="0"/>
          <w:iCs w:val="0"/>
          <w:caps w:val="0"/>
          <w:color w:val="0F1115"/>
          <w:spacing w:val="0"/>
          <w:sz w:val="28"/>
          <w:szCs w:val="28"/>
          <w:shd w:val="clear" w:fill="FFFFFF"/>
          <w:lang w:val="en-US" w:eastAsia="zh-CN"/>
        </w:rPr>
        <w:t>了大兴安岭呼中、漠河、新林、阿木尔、满归、阿龙山等种源区，遍布3省9地30个群体，</w:t>
      </w:r>
      <w:r>
        <w:rPr>
          <w:rFonts w:hint="eastAsia" w:ascii="仿宋" w:hAnsi="仿宋" w:eastAsia="仿宋" w:cs="仿宋"/>
          <w:i w:val="0"/>
          <w:iCs w:val="0"/>
          <w:caps w:val="0"/>
          <w:color w:val="0F1115"/>
          <w:spacing w:val="0"/>
          <w:sz w:val="28"/>
          <w:szCs w:val="28"/>
          <w:shd w:val="clear" w:fill="FFFFFF"/>
        </w:rPr>
        <w:t>采集</w:t>
      </w:r>
      <w:r>
        <w:rPr>
          <w:rFonts w:hint="eastAsia" w:ascii="仿宋" w:hAnsi="仿宋" w:eastAsia="仿宋" w:cs="仿宋"/>
          <w:i w:val="0"/>
          <w:iCs w:val="0"/>
          <w:caps w:val="0"/>
          <w:color w:val="0F1115"/>
          <w:spacing w:val="0"/>
          <w:sz w:val="28"/>
          <w:szCs w:val="28"/>
          <w:shd w:val="clear" w:fill="FFFFFF"/>
          <w:lang w:val="en-US" w:eastAsia="zh-CN"/>
        </w:rPr>
        <w:t>优异和特色</w:t>
      </w:r>
      <w:r>
        <w:rPr>
          <w:rFonts w:hint="eastAsia" w:ascii="仿宋" w:hAnsi="仿宋" w:eastAsia="仿宋" w:cs="仿宋"/>
          <w:i w:val="0"/>
          <w:iCs w:val="0"/>
          <w:caps w:val="0"/>
          <w:color w:val="0F1115"/>
          <w:spacing w:val="0"/>
          <w:sz w:val="28"/>
          <w:szCs w:val="28"/>
          <w:shd w:val="clear" w:fill="FFFFFF"/>
        </w:rPr>
        <w:t>种质资源700余份，繁育家系苗木</w:t>
      </w:r>
      <w:r>
        <w:rPr>
          <w:rFonts w:hint="eastAsia" w:ascii="仿宋" w:hAnsi="仿宋" w:eastAsia="仿宋" w:cs="仿宋"/>
          <w:i w:val="0"/>
          <w:iCs w:val="0"/>
          <w:caps w:val="0"/>
          <w:color w:val="0F1115"/>
          <w:spacing w:val="0"/>
          <w:sz w:val="28"/>
          <w:szCs w:val="28"/>
          <w:shd w:val="clear" w:fill="FFFFFF"/>
          <w:lang w:val="en-US" w:eastAsia="zh-CN"/>
        </w:rPr>
        <w:t>20余万</w:t>
      </w:r>
      <w:r>
        <w:rPr>
          <w:rFonts w:hint="eastAsia" w:ascii="仿宋" w:hAnsi="仿宋" w:eastAsia="仿宋" w:cs="仿宋"/>
          <w:i w:val="0"/>
          <w:iCs w:val="0"/>
          <w:caps w:val="0"/>
          <w:color w:val="0F1115"/>
          <w:spacing w:val="0"/>
          <w:sz w:val="28"/>
          <w:szCs w:val="28"/>
          <w:shd w:val="clear" w:fill="FFFFFF"/>
        </w:rPr>
        <w:t>株，无性系</w:t>
      </w:r>
      <w:r>
        <w:rPr>
          <w:rFonts w:hint="eastAsia" w:ascii="仿宋" w:hAnsi="仿宋" w:eastAsia="仿宋" w:cs="仿宋"/>
          <w:i w:val="0"/>
          <w:iCs w:val="0"/>
          <w:caps w:val="0"/>
          <w:color w:val="0F1115"/>
          <w:spacing w:val="0"/>
          <w:sz w:val="28"/>
          <w:szCs w:val="28"/>
          <w:shd w:val="clear" w:fill="FFFFFF"/>
          <w:lang w:val="en-US" w:eastAsia="zh-CN"/>
        </w:rPr>
        <w:t>嫁接</w:t>
      </w:r>
      <w:r>
        <w:rPr>
          <w:rFonts w:hint="eastAsia" w:ascii="仿宋" w:hAnsi="仿宋" w:eastAsia="仿宋" w:cs="仿宋"/>
          <w:i w:val="0"/>
          <w:iCs w:val="0"/>
          <w:caps w:val="0"/>
          <w:color w:val="0F1115"/>
          <w:spacing w:val="0"/>
          <w:sz w:val="28"/>
          <w:szCs w:val="28"/>
          <w:shd w:val="clear" w:fill="FFFFFF"/>
        </w:rPr>
        <w:t>苗木</w:t>
      </w:r>
      <w:r>
        <w:rPr>
          <w:rFonts w:hint="eastAsia" w:ascii="仿宋" w:hAnsi="仿宋" w:eastAsia="仿宋" w:cs="仿宋"/>
          <w:i w:val="0"/>
          <w:iCs w:val="0"/>
          <w:caps w:val="0"/>
          <w:color w:val="0F1115"/>
          <w:spacing w:val="0"/>
          <w:sz w:val="28"/>
          <w:szCs w:val="28"/>
          <w:shd w:val="clear" w:fill="FFFFFF"/>
          <w:lang w:val="en-US" w:eastAsia="zh-CN"/>
        </w:rPr>
        <w:t>8000余</w:t>
      </w:r>
      <w:r>
        <w:rPr>
          <w:rFonts w:hint="eastAsia" w:ascii="仿宋" w:hAnsi="仿宋" w:eastAsia="仿宋" w:cs="仿宋"/>
          <w:i w:val="0"/>
          <w:iCs w:val="0"/>
          <w:caps w:val="0"/>
          <w:color w:val="0F1115"/>
          <w:spacing w:val="0"/>
          <w:sz w:val="28"/>
          <w:szCs w:val="28"/>
          <w:shd w:val="clear" w:fill="FFFFFF"/>
        </w:rPr>
        <w:t>株</w:t>
      </w:r>
      <w:r>
        <w:rPr>
          <w:rFonts w:hint="eastAsia" w:ascii="仿宋" w:hAnsi="仿宋" w:eastAsia="仿宋" w:cs="仿宋"/>
          <w:i w:val="0"/>
          <w:iCs w:val="0"/>
          <w:caps w:val="0"/>
          <w:color w:val="0F1115"/>
          <w:spacing w:val="0"/>
          <w:sz w:val="28"/>
          <w:szCs w:val="28"/>
          <w:shd w:val="clear" w:fill="FFFFFF"/>
          <w:lang w:eastAsia="zh-CN"/>
        </w:rPr>
        <w:t>，</w:t>
      </w:r>
      <w:r>
        <w:rPr>
          <w:rFonts w:hint="eastAsia" w:ascii="仿宋" w:hAnsi="仿宋" w:eastAsia="仿宋" w:cs="仿宋"/>
          <w:i w:val="0"/>
          <w:iCs w:val="0"/>
          <w:caps w:val="0"/>
          <w:color w:val="0F1115"/>
          <w:spacing w:val="0"/>
          <w:sz w:val="28"/>
          <w:szCs w:val="28"/>
          <w:shd w:val="clear" w:fill="FFFFFF"/>
          <w:lang w:val="en-US" w:eastAsia="zh-CN"/>
        </w:rPr>
        <w:t>布设固定检测样地30余块，形成了一套覆盖种质资源“调查—收集—保存—评价”全链条的技术规范与操作流程。</w:t>
      </w:r>
    </w:p>
    <w:p w14:paraId="2CCFB465">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firstLine="420"/>
        <w:textAlignment w:val="auto"/>
        <w:rPr>
          <w:rFonts w:hint="default" w:asciiTheme="minorEastAsia" w:hAnsiTheme="minorEastAsia" w:eastAsiaTheme="minorEastAsia" w:cstheme="minorBidi"/>
          <w:b/>
          <w:bCs/>
          <w:sz w:val="28"/>
          <w:szCs w:val="28"/>
          <w:lang w:val="en-US" w:eastAsia="zh-CN" w:bidi="ar-SA"/>
        </w:rPr>
      </w:pPr>
      <w:r>
        <w:rPr>
          <w:rFonts w:hint="eastAsia" w:asciiTheme="minorEastAsia" w:hAnsiTheme="minorEastAsia" w:eastAsiaTheme="minorEastAsia" w:cstheme="minorBidi"/>
          <w:b/>
          <w:bCs/>
          <w:sz w:val="28"/>
          <w:szCs w:val="28"/>
          <w:lang w:val="en-US" w:eastAsia="zh-CN" w:bidi="ar-SA"/>
        </w:rPr>
        <w:t>（一）</w:t>
      </w:r>
      <w:r>
        <w:rPr>
          <w:rFonts w:hint="default" w:asciiTheme="minorEastAsia" w:hAnsiTheme="minorEastAsia" w:eastAsiaTheme="minorEastAsia" w:cstheme="minorBidi"/>
          <w:b/>
          <w:bCs/>
          <w:sz w:val="28"/>
          <w:szCs w:val="28"/>
          <w:lang w:val="en-US" w:eastAsia="zh-CN" w:bidi="ar-SA"/>
        </w:rPr>
        <w:t>主要试验（或验证）的分析</w:t>
      </w:r>
      <w:r>
        <w:rPr>
          <w:rFonts w:hint="eastAsia" w:asciiTheme="minorEastAsia" w:hAnsiTheme="minorEastAsia" w:eastAsiaTheme="minorEastAsia" w:cstheme="minorBidi"/>
          <w:b/>
          <w:bCs/>
          <w:sz w:val="28"/>
          <w:szCs w:val="28"/>
          <w:lang w:val="en-US" w:eastAsia="zh-CN" w:bidi="ar-SA"/>
        </w:rPr>
        <w:t>、</w:t>
      </w:r>
      <w:r>
        <w:rPr>
          <w:rFonts w:hint="default" w:asciiTheme="minorEastAsia" w:hAnsiTheme="minorEastAsia" w:eastAsiaTheme="minorEastAsia" w:cstheme="minorBidi"/>
          <w:b/>
          <w:bCs/>
          <w:sz w:val="28"/>
          <w:szCs w:val="28"/>
          <w:lang w:val="en-US" w:eastAsia="zh-CN" w:bidi="ar-SA"/>
        </w:rPr>
        <w:t>综述报告</w:t>
      </w:r>
    </w:p>
    <w:p w14:paraId="028AEAC4">
      <w:pPr>
        <w:pStyle w:val="8"/>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firstLine="420"/>
        <w:textAlignment w:val="auto"/>
        <w:rPr>
          <w:rFonts w:hint="eastAsia" w:ascii="仿宋" w:hAnsi="仿宋" w:eastAsia="仿宋" w:cs="仿宋"/>
          <w:i w:val="0"/>
          <w:iCs w:val="0"/>
          <w:caps w:val="0"/>
          <w:color w:val="0F1115"/>
          <w:spacing w:val="0"/>
          <w:sz w:val="28"/>
          <w:szCs w:val="28"/>
          <w:shd w:val="clear" w:fill="FFFFFF"/>
        </w:rPr>
      </w:pPr>
      <w:r>
        <w:rPr>
          <w:rFonts w:hint="eastAsia" w:ascii="仿宋" w:hAnsi="仿宋" w:eastAsia="仿宋" w:cs="仿宋"/>
          <w:i w:val="0"/>
          <w:iCs w:val="0"/>
          <w:caps w:val="0"/>
          <w:color w:val="0F1115"/>
          <w:spacing w:val="0"/>
          <w:sz w:val="28"/>
          <w:szCs w:val="28"/>
          <w:shd w:val="clear" w:fill="FFFFFF"/>
        </w:rPr>
        <w:t>种质资源调查试验</w:t>
      </w:r>
    </w:p>
    <w:p w14:paraId="76F87FD4">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firstLine="420"/>
        <w:textAlignment w:val="auto"/>
        <w:rPr>
          <w:rFonts w:hint="eastAsia" w:ascii="仿宋" w:hAnsi="仿宋" w:eastAsia="仿宋" w:cs="仿宋"/>
          <w:i w:val="0"/>
          <w:iCs w:val="0"/>
          <w:caps w:val="0"/>
          <w:color w:val="0F1115"/>
          <w:spacing w:val="0"/>
          <w:sz w:val="28"/>
          <w:szCs w:val="28"/>
          <w:shd w:val="clear" w:fill="FFFFFF"/>
          <w:lang w:val="en-US" w:eastAsia="zh-CN"/>
        </w:rPr>
      </w:pPr>
      <w:r>
        <w:rPr>
          <w:rFonts w:hint="eastAsia" w:ascii="仿宋" w:hAnsi="仿宋" w:eastAsia="仿宋" w:cs="仿宋"/>
          <w:i w:val="0"/>
          <w:iCs w:val="0"/>
          <w:caps w:val="0"/>
          <w:color w:val="0F1115"/>
          <w:spacing w:val="0"/>
          <w:sz w:val="28"/>
          <w:szCs w:val="28"/>
          <w:shd w:val="clear" w:fill="FFFFFF"/>
          <w:lang w:val="en-US" w:eastAsia="zh-CN"/>
        </w:rPr>
        <w:t>在资源调查环节，起草组在黑龙江大兴安岭呼中、内蒙古大兴安岭满归等地，按不同海拔和林型（偃松矮曲林、偃松—落叶松混交林等）布设400m</w:t>
      </w:r>
      <w:r>
        <w:rPr>
          <w:rFonts w:hint="eastAsia" w:ascii="仿宋" w:hAnsi="仿宋" w:eastAsia="仿宋" w:cs="仿宋"/>
          <w:i w:val="0"/>
          <w:iCs w:val="0"/>
          <w:caps w:val="0"/>
          <w:color w:val="0F1115"/>
          <w:spacing w:val="0"/>
          <w:sz w:val="28"/>
          <w:szCs w:val="28"/>
          <w:shd w:val="clear" w:fill="FFFFFF"/>
          <w:vertAlign w:val="superscript"/>
          <w:lang w:val="en-US" w:eastAsia="zh-CN"/>
        </w:rPr>
        <w:t>2</w:t>
      </w:r>
      <w:r>
        <w:rPr>
          <w:rFonts w:hint="eastAsia" w:ascii="仿宋" w:hAnsi="仿宋" w:eastAsia="仿宋" w:cs="仿宋"/>
          <w:i w:val="0"/>
          <w:iCs w:val="0"/>
          <w:caps w:val="0"/>
          <w:color w:val="0F1115"/>
          <w:spacing w:val="0"/>
          <w:sz w:val="28"/>
          <w:szCs w:val="28"/>
          <w:shd w:val="clear" w:fill="FFFFFF"/>
          <w:lang w:val="en-US" w:eastAsia="zh-CN"/>
        </w:rPr>
        <w:t>～600m</w:t>
      </w:r>
      <w:r>
        <w:rPr>
          <w:rFonts w:hint="eastAsia" w:ascii="仿宋" w:hAnsi="仿宋" w:eastAsia="仿宋" w:cs="仿宋"/>
          <w:i w:val="0"/>
          <w:iCs w:val="0"/>
          <w:caps w:val="0"/>
          <w:color w:val="0F1115"/>
          <w:spacing w:val="0"/>
          <w:sz w:val="28"/>
          <w:szCs w:val="28"/>
          <w:shd w:val="clear" w:fill="FFFFFF"/>
          <w:vertAlign w:val="superscript"/>
          <w:lang w:val="en-US" w:eastAsia="zh-CN"/>
        </w:rPr>
        <w:t>2</w:t>
      </w:r>
      <w:r>
        <w:rPr>
          <w:rFonts w:hint="eastAsia" w:ascii="仿宋" w:hAnsi="仿宋" w:eastAsia="仿宋" w:cs="仿宋"/>
          <w:i w:val="0"/>
          <w:iCs w:val="0"/>
          <w:caps w:val="0"/>
          <w:color w:val="0F1115"/>
          <w:spacing w:val="0"/>
          <w:sz w:val="28"/>
          <w:szCs w:val="28"/>
          <w:shd w:val="clear" w:fill="FFFFFF"/>
          <w:lang w:val="en-US" w:eastAsia="zh-CN"/>
        </w:rPr>
        <w:t>的标准地，每年观测偃松生长情况并调查结实量。调查结果表明，不同标准地间的偃松生长结实规律与海拔变化基本一致。说明该方法具有较好的可重复性，适用于大面积的资源调查。</w:t>
      </w:r>
    </w:p>
    <w:p w14:paraId="592B5FFE">
      <w:pPr>
        <w:pStyle w:val="8"/>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firstLine="420"/>
        <w:textAlignment w:val="auto"/>
        <w:rPr>
          <w:rFonts w:hint="eastAsia" w:ascii="仿宋" w:hAnsi="仿宋" w:eastAsia="仿宋" w:cs="仿宋"/>
          <w:i w:val="0"/>
          <w:iCs w:val="0"/>
          <w:caps w:val="0"/>
          <w:color w:val="0F1115"/>
          <w:spacing w:val="0"/>
          <w:sz w:val="28"/>
          <w:szCs w:val="28"/>
          <w:shd w:val="clear" w:fill="FFFFFF"/>
          <w:lang w:val="en-US" w:eastAsia="zh-CN"/>
        </w:rPr>
      </w:pPr>
      <w:r>
        <w:rPr>
          <w:rFonts w:hint="eastAsia" w:ascii="仿宋" w:hAnsi="仿宋" w:eastAsia="仿宋" w:cs="仿宋"/>
          <w:i w:val="0"/>
          <w:iCs w:val="0"/>
          <w:caps w:val="0"/>
          <w:color w:val="0F1115"/>
          <w:spacing w:val="0"/>
          <w:sz w:val="28"/>
          <w:szCs w:val="28"/>
          <w:shd w:val="clear" w:fill="FFFFFF"/>
        </w:rPr>
        <w:t>种质资源</w:t>
      </w:r>
      <w:r>
        <w:rPr>
          <w:rFonts w:hint="eastAsia" w:ascii="仿宋" w:hAnsi="仿宋" w:eastAsia="仿宋" w:cs="仿宋"/>
          <w:i w:val="0"/>
          <w:iCs w:val="0"/>
          <w:caps w:val="0"/>
          <w:color w:val="0F1115"/>
          <w:spacing w:val="0"/>
          <w:sz w:val="28"/>
          <w:szCs w:val="28"/>
          <w:shd w:val="clear" w:fill="FFFFFF"/>
          <w:lang w:val="en-US" w:eastAsia="zh-CN"/>
        </w:rPr>
        <w:t>收集和保存方法验证</w:t>
      </w:r>
    </w:p>
    <w:p w14:paraId="6EEF44ED">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textAlignment w:val="auto"/>
        <w:rPr>
          <w:rFonts w:hint="eastAsia" w:ascii="仿宋" w:hAnsi="仿宋" w:eastAsia="仿宋" w:cs="仿宋"/>
          <w:i w:val="0"/>
          <w:iCs w:val="0"/>
          <w:caps w:val="0"/>
          <w:color w:val="0F1115"/>
          <w:spacing w:val="0"/>
          <w:sz w:val="28"/>
          <w:szCs w:val="28"/>
          <w:shd w:val="clear" w:fill="FFFFFF"/>
        </w:rPr>
      </w:pPr>
      <w:r>
        <w:rPr>
          <w:rFonts w:hint="eastAsia" w:ascii="仿宋" w:hAnsi="仿宋" w:eastAsia="仿宋" w:cs="仿宋"/>
          <w:i w:val="0"/>
          <w:iCs w:val="0"/>
          <w:caps w:val="0"/>
          <w:color w:val="0F1115"/>
          <w:spacing w:val="0"/>
          <w:sz w:val="28"/>
          <w:szCs w:val="28"/>
          <w:shd w:val="clear" w:fill="FFFFFF"/>
          <w:lang w:val="en-US" w:eastAsia="zh-CN"/>
        </w:rPr>
        <w:t>在种质收集方面，验证了种子采集、穗条采集及保存的技术参数。截至目前，共完成收集和保存偃松种质资源700余份，部分资源信息已共享至国家林木种质资源库，原地保存面积达158公顷。利用轻基质育苗技术规模化繁育实生苗20万株；收集优质穗条460份，运用贴接、劈接法完成嫁接1万余株。建立了</w:t>
      </w:r>
      <w:r>
        <w:rPr>
          <w:rFonts w:hint="eastAsia" w:ascii="仿宋" w:hAnsi="仿宋" w:eastAsia="仿宋" w:cs="仿宋"/>
          <w:i w:val="0"/>
          <w:iCs w:val="0"/>
          <w:caps w:val="0"/>
          <w:color w:val="0F1115"/>
          <w:spacing w:val="0"/>
          <w:sz w:val="28"/>
          <w:szCs w:val="28"/>
          <w:shd w:val="clear" w:fill="FFFFFF"/>
        </w:rPr>
        <w:t>原地保存库</w:t>
      </w:r>
      <w:r>
        <w:rPr>
          <w:rFonts w:hint="eastAsia" w:ascii="仿宋" w:hAnsi="仿宋" w:eastAsia="仿宋" w:cs="仿宋"/>
          <w:i w:val="0"/>
          <w:iCs w:val="0"/>
          <w:caps w:val="0"/>
          <w:color w:val="0F1115"/>
          <w:spacing w:val="0"/>
          <w:sz w:val="28"/>
          <w:szCs w:val="28"/>
          <w:shd w:val="clear" w:fill="FFFFFF"/>
          <w:lang w:val="en-US" w:eastAsia="zh-CN"/>
        </w:rPr>
        <w:t>1处</w:t>
      </w:r>
      <w:r>
        <w:rPr>
          <w:rFonts w:hint="eastAsia" w:ascii="仿宋" w:hAnsi="仿宋" w:eastAsia="仿宋" w:cs="仿宋"/>
          <w:i w:val="0"/>
          <w:iCs w:val="0"/>
          <w:caps w:val="0"/>
          <w:color w:val="0F1115"/>
          <w:spacing w:val="0"/>
          <w:sz w:val="28"/>
          <w:szCs w:val="28"/>
          <w:shd w:val="clear" w:fill="FFFFFF"/>
        </w:rPr>
        <w:t>、异地保存库</w:t>
      </w:r>
      <w:r>
        <w:rPr>
          <w:rFonts w:hint="eastAsia" w:ascii="仿宋" w:hAnsi="仿宋" w:eastAsia="仿宋" w:cs="仿宋"/>
          <w:i w:val="0"/>
          <w:iCs w:val="0"/>
          <w:caps w:val="0"/>
          <w:color w:val="0F1115"/>
          <w:spacing w:val="0"/>
          <w:sz w:val="28"/>
          <w:szCs w:val="28"/>
          <w:shd w:val="clear" w:fill="FFFFFF"/>
          <w:lang w:val="en-US" w:eastAsia="zh-CN"/>
        </w:rPr>
        <w:t>1处、设施保存库1处。同时</w:t>
      </w:r>
      <w:r>
        <w:rPr>
          <w:rFonts w:hint="eastAsia" w:ascii="仿宋" w:hAnsi="仿宋" w:eastAsia="仿宋" w:cs="仿宋"/>
          <w:i w:val="0"/>
          <w:iCs w:val="0"/>
          <w:caps w:val="0"/>
          <w:color w:val="0F1115"/>
          <w:spacing w:val="0"/>
          <w:sz w:val="28"/>
          <w:szCs w:val="28"/>
          <w:shd w:val="clear" w:fill="FFFFFF"/>
          <w:lang w:eastAsia="zh-CN"/>
        </w:rPr>
        <w:t>对收集材料的表型性状</w:t>
      </w:r>
      <w:r>
        <w:rPr>
          <w:rFonts w:hint="eastAsia" w:ascii="仿宋" w:hAnsi="仿宋" w:eastAsia="仿宋" w:cs="仿宋"/>
          <w:i w:val="0"/>
          <w:iCs w:val="0"/>
          <w:caps w:val="0"/>
          <w:color w:val="0F1115"/>
          <w:spacing w:val="0"/>
          <w:sz w:val="28"/>
          <w:szCs w:val="28"/>
          <w:shd w:val="clear" w:fill="FFFFFF"/>
          <w:lang w:val="en-US" w:eastAsia="zh-CN"/>
        </w:rPr>
        <w:t>进行</w:t>
      </w:r>
      <w:r>
        <w:rPr>
          <w:rFonts w:hint="eastAsia" w:ascii="仿宋" w:hAnsi="仿宋" w:eastAsia="仿宋" w:cs="仿宋"/>
          <w:i w:val="0"/>
          <w:iCs w:val="0"/>
          <w:caps w:val="0"/>
          <w:color w:val="0F1115"/>
          <w:spacing w:val="0"/>
          <w:sz w:val="28"/>
          <w:szCs w:val="28"/>
          <w:shd w:val="clear" w:fill="FFFFFF"/>
          <w:lang w:eastAsia="zh-CN"/>
        </w:rPr>
        <w:t>测定和遗传多样性分析，验证了收集策略的科学性和代表性。</w:t>
      </w:r>
      <w:r>
        <w:rPr>
          <w:rFonts w:hint="eastAsia" w:ascii="仿宋" w:hAnsi="仿宋" w:eastAsia="仿宋" w:cs="仿宋"/>
          <w:i w:val="0"/>
          <w:iCs w:val="0"/>
          <w:caps w:val="0"/>
          <w:color w:val="0F1115"/>
          <w:spacing w:val="0"/>
          <w:sz w:val="28"/>
          <w:szCs w:val="28"/>
          <w:shd w:val="clear" w:fill="FFFFFF"/>
          <w:lang w:val="en-US" w:eastAsia="zh-CN"/>
        </w:rPr>
        <w:fldChar w:fldCharType="begin"/>
      </w:r>
      <w:r>
        <w:rPr>
          <w:rFonts w:hint="eastAsia" w:ascii="仿宋" w:hAnsi="仿宋" w:eastAsia="仿宋" w:cs="仿宋"/>
          <w:i w:val="0"/>
          <w:iCs w:val="0"/>
          <w:caps w:val="0"/>
          <w:color w:val="0F1115"/>
          <w:spacing w:val="0"/>
          <w:sz w:val="28"/>
          <w:szCs w:val="28"/>
          <w:shd w:val="clear" w:fill="FFFFFF"/>
          <w:lang w:val="en-US" w:eastAsia="zh-CN"/>
        </w:rPr>
        <w:instrText xml:space="preserve"> HYPERLINK "http://www.isenlin.cn/sf_71170A5566D5446ABE5B175E8A2CFC05_209_4370F831325.html" \t "https://chat.deepseek.com/a/chat/s/_blank" </w:instrText>
      </w:r>
      <w:r>
        <w:rPr>
          <w:rFonts w:hint="eastAsia" w:ascii="仿宋" w:hAnsi="仿宋" w:eastAsia="仿宋" w:cs="仿宋"/>
          <w:i w:val="0"/>
          <w:iCs w:val="0"/>
          <w:caps w:val="0"/>
          <w:color w:val="0F1115"/>
          <w:spacing w:val="0"/>
          <w:sz w:val="28"/>
          <w:szCs w:val="28"/>
          <w:shd w:val="clear" w:fill="FFFFFF"/>
          <w:lang w:val="en-US" w:eastAsia="zh-CN"/>
        </w:rPr>
        <w:fldChar w:fldCharType="separate"/>
      </w:r>
      <w:r>
        <w:rPr>
          <w:rFonts w:hint="eastAsia" w:ascii="仿宋" w:hAnsi="仿宋" w:eastAsia="仿宋" w:cs="仿宋"/>
          <w:i w:val="0"/>
          <w:iCs w:val="0"/>
          <w:caps w:val="0"/>
          <w:color w:val="0F1115"/>
          <w:spacing w:val="0"/>
          <w:sz w:val="28"/>
          <w:szCs w:val="28"/>
          <w:shd w:val="clear" w:fill="FFFFFF"/>
          <w:lang w:val="en-US" w:eastAsia="zh-CN"/>
        </w:rPr>
        <w:fldChar w:fldCharType="end"/>
      </w:r>
      <w:r>
        <w:rPr>
          <w:rFonts w:hint="eastAsia" w:ascii="仿宋" w:hAnsi="仿宋" w:eastAsia="仿宋" w:cs="仿宋"/>
          <w:i w:val="0"/>
          <w:iCs w:val="0"/>
          <w:caps w:val="0"/>
          <w:color w:val="0F1115"/>
          <w:spacing w:val="0"/>
          <w:sz w:val="28"/>
          <w:szCs w:val="28"/>
          <w:shd w:val="clear" w:fill="FFFFFF"/>
          <w:lang w:val="en-US" w:eastAsia="zh-CN"/>
        </w:rPr>
        <w:t>验证结果表明：种子发芽率为55%～65%，轻基质育苗技术出苗率稳定；发明了“一种缩短偃松育种周期的高效嫁接方法”，使嫁接成活率从50%提高到90%；种质设施保存条件（温度-20℃～-18℃、相对湿度50%～60%）和保存期限（10年）参数合理可行。表型指标测定显示：种质资源存在丰富的遗传变异（CV=2.59%～38.61%），Shannon's多样性指数变幅为0.46～1.11，各群体的遗传多样性相对丰富。对群体进行分子遗传变异方差分析可知，个体内方差分量的贡献率为占98%，说明个体内的遗传变异是导致偃松群体遗传多样性分化的主要原因。</w:t>
      </w:r>
    </w:p>
    <w:p w14:paraId="1CCF9B67">
      <w:pPr>
        <w:pStyle w:val="8"/>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left="0" w:leftChars="0" w:firstLine="560" w:firstLineChars="200"/>
        <w:textAlignment w:val="auto"/>
        <w:rPr>
          <w:rFonts w:hint="eastAsia" w:ascii="仿宋" w:hAnsi="仿宋" w:eastAsia="仿宋" w:cs="仿宋"/>
          <w:i w:val="0"/>
          <w:iCs w:val="0"/>
          <w:caps w:val="0"/>
          <w:color w:val="0F1115"/>
          <w:spacing w:val="0"/>
          <w:sz w:val="28"/>
          <w:szCs w:val="28"/>
          <w:shd w:val="clear" w:fill="FFFFFF"/>
        </w:rPr>
      </w:pPr>
      <w:r>
        <w:rPr>
          <w:rFonts w:hint="eastAsia" w:ascii="仿宋" w:hAnsi="仿宋" w:eastAsia="仿宋" w:cs="仿宋"/>
          <w:i w:val="0"/>
          <w:iCs w:val="0"/>
          <w:caps w:val="0"/>
          <w:color w:val="0F1115"/>
          <w:spacing w:val="0"/>
          <w:sz w:val="28"/>
          <w:szCs w:val="28"/>
          <w:shd w:val="clear" w:fill="FFFFFF"/>
          <w:lang w:val="en-US" w:eastAsia="zh-CN"/>
        </w:rPr>
        <w:t>种质资源</w:t>
      </w:r>
      <w:r>
        <w:rPr>
          <w:rFonts w:hint="eastAsia" w:ascii="仿宋" w:hAnsi="仿宋" w:eastAsia="仿宋" w:cs="仿宋"/>
          <w:i w:val="0"/>
          <w:iCs w:val="0"/>
          <w:caps w:val="0"/>
          <w:color w:val="0F1115"/>
          <w:spacing w:val="0"/>
          <w:sz w:val="28"/>
          <w:szCs w:val="28"/>
          <w:shd w:val="clear" w:fill="FFFFFF"/>
        </w:rPr>
        <w:t>评价</w:t>
      </w:r>
      <w:r>
        <w:rPr>
          <w:rFonts w:hint="eastAsia" w:ascii="仿宋" w:hAnsi="仿宋" w:eastAsia="仿宋" w:cs="仿宋"/>
          <w:i w:val="0"/>
          <w:iCs w:val="0"/>
          <w:caps w:val="0"/>
          <w:color w:val="0F1115"/>
          <w:spacing w:val="0"/>
          <w:sz w:val="28"/>
          <w:szCs w:val="28"/>
          <w:shd w:val="clear" w:fill="FFFFFF"/>
          <w:lang w:val="en-US" w:eastAsia="zh-CN"/>
        </w:rPr>
        <w:t>指标</w:t>
      </w:r>
      <w:r>
        <w:rPr>
          <w:rFonts w:hint="eastAsia" w:ascii="仿宋" w:hAnsi="仿宋" w:eastAsia="仿宋" w:cs="仿宋"/>
          <w:i w:val="0"/>
          <w:iCs w:val="0"/>
          <w:caps w:val="0"/>
          <w:color w:val="0F1115"/>
          <w:spacing w:val="0"/>
          <w:sz w:val="28"/>
          <w:szCs w:val="28"/>
          <w:shd w:val="clear" w:fill="FFFFFF"/>
        </w:rPr>
        <w:t>验证</w:t>
      </w:r>
    </w:p>
    <w:p w14:paraId="33FA5374">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textAlignment w:val="auto"/>
        <w:rPr>
          <w:rFonts w:hint="eastAsia" w:ascii="仿宋" w:hAnsi="仿宋" w:eastAsia="仿宋" w:cs="仿宋"/>
          <w:i w:val="0"/>
          <w:iCs w:val="0"/>
          <w:caps w:val="0"/>
          <w:color w:val="0F1115"/>
          <w:spacing w:val="0"/>
          <w:sz w:val="28"/>
          <w:szCs w:val="28"/>
          <w:shd w:val="clear" w:fill="FFFFFF"/>
          <w:lang w:val="en-US" w:eastAsia="zh-CN"/>
        </w:rPr>
      </w:pPr>
      <w:r>
        <w:rPr>
          <w:rFonts w:hint="eastAsia" w:ascii="仿宋" w:hAnsi="仿宋" w:eastAsia="仿宋" w:cs="仿宋"/>
          <w:i w:val="0"/>
          <w:iCs w:val="0"/>
          <w:caps w:val="0"/>
          <w:color w:val="0F1115"/>
          <w:spacing w:val="0"/>
          <w:sz w:val="28"/>
          <w:szCs w:val="28"/>
          <w:shd w:val="clear" w:fill="FFFFFF"/>
          <w:lang w:val="en-US" w:eastAsia="zh-CN"/>
        </w:rPr>
        <w:t>在种质评价方面，起草组验证了评价指标的科学性。对6个种源偃松的种实表型性状（果实质量、果实长、果实宽、种子质量、种仁质量、出仁率、千粒质量等）进行方差分析、多重比较、相关性分析及聚类分析。</w:t>
      </w:r>
      <w:r>
        <w:rPr>
          <w:rFonts w:hint="eastAsia" w:ascii="仿宋" w:hAnsi="仿宋" w:eastAsia="仿宋" w:cs="仿宋"/>
          <w:i w:val="0"/>
          <w:iCs w:val="0"/>
          <w:caps w:val="0"/>
          <w:color w:val="0F1115"/>
          <w:spacing w:val="0"/>
          <w:sz w:val="28"/>
          <w:szCs w:val="28"/>
          <w:shd w:val="clear" w:fill="FFFFFF"/>
          <w:lang w:val="en-US" w:eastAsia="zh-CN"/>
        </w:rPr>
        <w:fldChar w:fldCharType="begin"/>
      </w:r>
      <w:r>
        <w:rPr>
          <w:rFonts w:hint="eastAsia" w:ascii="仿宋" w:hAnsi="仿宋" w:eastAsia="仿宋" w:cs="仿宋"/>
          <w:i w:val="0"/>
          <w:iCs w:val="0"/>
          <w:caps w:val="0"/>
          <w:color w:val="0F1115"/>
          <w:spacing w:val="0"/>
          <w:sz w:val="28"/>
          <w:szCs w:val="28"/>
          <w:shd w:val="clear" w:fill="FFFFFF"/>
          <w:lang w:val="en-US" w:eastAsia="zh-CN"/>
        </w:rPr>
        <w:instrText xml:space="preserve"> HYPERLINK "https://d.wanfangdata.com.cn/periodical/dblydxxb202509015" \t "https://chat.deepseek.com/a/chat/s/_blank" </w:instrText>
      </w:r>
      <w:r>
        <w:rPr>
          <w:rFonts w:hint="eastAsia" w:ascii="仿宋" w:hAnsi="仿宋" w:eastAsia="仿宋" w:cs="仿宋"/>
          <w:i w:val="0"/>
          <w:iCs w:val="0"/>
          <w:caps w:val="0"/>
          <w:color w:val="0F1115"/>
          <w:spacing w:val="0"/>
          <w:sz w:val="28"/>
          <w:szCs w:val="28"/>
          <w:shd w:val="clear" w:fill="FFFFFF"/>
          <w:lang w:val="en-US" w:eastAsia="zh-CN"/>
        </w:rPr>
        <w:fldChar w:fldCharType="separate"/>
      </w:r>
      <w:r>
        <w:rPr>
          <w:rFonts w:hint="eastAsia" w:ascii="仿宋" w:hAnsi="仿宋" w:eastAsia="仿宋" w:cs="仿宋"/>
          <w:i w:val="0"/>
          <w:iCs w:val="0"/>
          <w:caps w:val="0"/>
          <w:color w:val="0F1115"/>
          <w:spacing w:val="0"/>
          <w:sz w:val="28"/>
          <w:szCs w:val="28"/>
          <w:shd w:val="clear" w:fill="FFFFFF"/>
          <w:lang w:val="en-US" w:eastAsia="zh-CN"/>
        </w:rPr>
        <w:fldChar w:fldCharType="end"/>
      </w:r>
      <w:r>
        <w:rPr>
          <w:rFonts w:hint="eastAsia" w:ascii="仿宋" w:hAnsi="仿宋" w:eastAsia="仿宋" w:cs="仿宋"/>
          <w:i w:val="0"/>
          <w:iCs w:val="0"/>
          <w:caps w:val="0"/>
          <w:color w:val="0F1115"/>
          <w:spacing w:val="0"/>
          <w:sz w:val="28"/>
          <w:szCs w:val="28"/>
          <w:shd w:val="clear" w:fill="FFFFFF"/>
          <w:lang w:val="en-US" w:eastAsia="zh-CN"/>
        </w:rPr>
        <w:t>结果表明：偃松种实表型性状存在丰富的变异，种源间各种实表型性状差异均达到极显著水平（P＜0.01）。聚类分析可将6个种源划分为2类，其中阿龙山、呼中和满归聚为一类，属大果型。</w:t>
      </w:r>
      <w:r>
        <w:rPr>
          <w:rFonts w:hint="eastAsia" w:ascii="仿宋" w:hAnsi="仿宋" w:eastAsia="仿宋" w:cs="仿宋"/>
          <w:i w:val="0"/>
          <w:iCs w:val="0"/>
          <w:caps w:val="0"/>
          <w:color w:val="0F1115"/>
          <w:spacing w:val="0"/>
          <w:sz w:val="28"/>
          <w:szCs w:val="28"/>
          <w:shd w:val="clear" w:fill="FFFFFF"/>
          <w:lang w:val="en-US" w:eastAsia="zh-CN"/>
        </w:rPr>
        <w:fldChar w:fldCharType="begin"/>
      </w:r>
      <w:r>
        <w:rPr>
          <w:rFonts w:hint="eastAsia" w:ascii="仿宋" w:hAnsi="仿宋" w:eastAsia="仿宋" w:cs="仿宋"/>
          <w:i w:val="0"/>
          <w:iCs w:val="0"/>
          <w:caps w:val="0"/>
          <w:color w:val="0F1115"/>
          <w:spacing w:val="0"/>
          <w:sz w:val="28"/>
          <w:szCs w:val="28"/>
          <w:shd w:val="clear" w:fill="FFFFFF"/>
          <w:lang w:val="en-US" w:eastAsia="zh-CN"/>
        </w:rPr>
        <w:instrText xml:space="preserve"> HYPERLINK "https://d.wanfangdata.com.cn/periodical/dblydxxb202509015" \t "https://chat.deepseek.com/a/chat/s/_blank" </w:instrText>
      </w:r>
      <w:r>
        <w:rPr>
          <w:rFonts w:hint="eastAsia" w:ascii="仿宋" w:hAnsi="仿宋" w:eastAsia="仿宋" w:cs="仿宋"/>
          <w:i w:val="0"/>
          <w:iCs w:val="0"/>
          <w:caps w:val="0"/>
          <w:color w:val="0F1115"/>
          <w:spacing w:val="0"/>
          <w:sz w:val="28"/>
          <w:szCs w:val="28"/>
          <w:shd w:val="clear" w:fill="FFFFFF"/>
          <w:lang w:val="en-US" w:eastAsia="zh-CN"/>
        </w:rPr>
        <w:fldChar w:fldCharType="separate"/>
      </w:r>
      <w:r>
        <w:rPr>
          <w:rFonts w:hint="eastAsia" w:ascii="仿宋" w:hAnsi="仿宋" w:eastAsia="仿宋" w:cs="仿宋"/>
          <w:i w:val="0"/>
          <w:iCs w:val="0"/>
          <w:caps w:val="0"/>
          <w:color w:val="0F1115"/>
          <w:spacing w:val="0"/>
          <w:sz w:val="28"/>
          <w:szCs w:val="28"/>
          <w:shd w:val="clear" w:fill="FFFFFF"/>
          <w:lang w:val="en-US" w:eastAsia="zh-CN"/>
        </w:rPr>
        <w:fldChar w:fldCharType="end"/>
      </w:r>
    </w:p>
    <w:p w14:paraId="135D16BD">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textAlignment w:val="auto"/>
        <w:rPr>
          <w:rFonts w:hint="eastAsia" w:ascii="仿宋" w:hAnsi="仿宋" w:eastAsia="仿宋" w:cs="仿宋"/>
          <w:i w:val="0"/>
          <w:iCs w:val="0"/>
          <w:caps w:val="0"/>
          <w:color w:val="0F1115"/>
          <w:spacing w:val="0"/>
          <w:sz w:val="28"/>
          <w:szCs w:val="28"/>
          <w:shd w:val="clear" w:fill="FFFFFF"/>
          <w:lang w:val="en-US" w:eastAsia="zh-CN"/>
        </w:rPr>
      </w:pPr>
      <w:r>
        <w:rPr>
          <w:rFonts w:hint="eastAsia" w:ascii="仿宋" w:hAnsi="仿宋" w:eastAsia="仿宋" w:cs="仿宋"/>
          <w:i w:val="0"/>
          <w:iCs w:val="0"/>
          <w:caps w:val="0"/>
          <w:color w:val="0F1115"/>
          <w:spacing w:val="0"/>
          <w:sz w:val="28"/>
          <w:szCs w:val="28"/>
          <w:shd w:val="clear" w:fill="FFFFFF"/>
          <w:lang w:val="en-US" w:eastAsia="zh-CN"/>
        </w:rPr>
        <w:t>起草组对收集到的120份种质资源进行了综合评价。结果显示球果重、出种量、种仁重及角鲨烯等性状变异最大，为偃松遗传改良提供了丰富的变异基础；而种子出仁率、含油率、脂肪酸组成等变异程度较低，显示出种子表型和品质性状较高的稳定性。聚类分析将偃松分为4大类，第Ⅰ类属中果型，种子饱满；第Ⅱ类属大果高产型；第Ⅲ类属小果型；第Ⅳ类属仁用型。采用主成分综合评价法，获得综合评价函数为：</w:t>
      </w:r>
    </w:p>
    <w:p w14:paraId="05B91E8A">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textAlignment w:val="auto"/>
        <w:rPr>
          <w:rFonts w:hint="eastAsia" w:ascii="仿宋" w:hAnsi="仿宋" w:eastAsia="仿宋" w:cs="仿宋"/>
          <w:i w:val="0"/>
          <w:iCs w:val="0"/>
          <w:caps w:val="0"/>
          <w:color w:val="0F1115"/>
          <w:spacing w:val="0"/>
          <w:sz w:val="28"/>
          <w:szCs w:val="28"/>
          <w:shd w:val="clear" w:fill="FFFFFF"/>
          <w:lang w:val="en-US" w:eastAsia="zh-CN"/>
        </w:rPr>
      </w:pPr>
      <w:r>
        <w:rPr>
          <w:rFonts w:hint="eastAsia" w:ascii="仿宋" w:hAnsi="仿宋" w:eastAsia="仿宋" w:cs="仿宋"/>
          <w:i w:val="0"/>
          <w:iCs w:val="0"/>
          <w:caps w:val="0"/>
          <w:color w:val="0F1115"/>
          <w:spacing w:val="0"/>
          <w:sz w:val="28"/>
          <w:szCs w:val="28"/>
          <w:shd w:val="clear" w:fill="FFFFFF"/>
          <w:lang w:val="en-US" w:eastAsia="zh-CN"/>
        </w:rPr>
        <w:t>F=0.26×F1+0.189×F2+0.126×F3+0.092×F4+0.061×F5+0.052×F6</w:t>
      </w:r>
    </w:p>
    <w:p w14:paraId="2163D859">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textAlignment w:val="auto"/>
        <w:rPr>
          <w:rFonts w:hint="eastAsia" w:ascii="仿宋" w:hAnsi="仿宋" w:eastAsia="仿宋" w:cs="仿宋"/>
          <w:i w:val="0"/>
          <w:iCs w:val="0"/>
          <w:caps w:val="0"/>
          <w:color w:val="0F1115"/>
          <w:spacing w:val="0"/>
          <w:sz w:val="28"/>
          <w:szCs w:val="28"/>
          <w:shd w:val="clear" w:fill="FFFFFF"/>
          <w:lang w:val="en-US" w:eastAsia="zh-CN"/>
        </w:rPr>
      </w:pPr>
      <w:r>
        <w:rPr>
          <w:rFonts w:hint="eastAsia" w:ascii="仿宋" w:hAnsi="仿宋" w:eastAsia="仿宋" w:cs="仿宋"/>
          <w:i w:val="0"/>
          <w:iCs w:val="0"/>
          <w:caps w:val="0"/>
          <w:color w:val="0F1115"/>
          <w:spacing w:val="0"/>
          <w:sz w:val="28"/>
          <w:szCs w:val="28"/>
          <w:shd w:val="clear" w:fill="FFFFFF"/>
          <w:lang w:val="en-US" w:eastAsia="zh-CN"/>
        </w:rPr>
        <w:t>筛选出10份优良种质（表2），涵盖果用（如AN451、AN435）、仁用（如AH24）等多种经济类型，在大果型、高产型、高出仁率、高含油率等目标性状上表现优异。</w:t>
      </w:r>
    </w:p>
    <w:p w14:paraId="39C812B2">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textAlignment w:val="auto"/>
        <w:rPr>
          <w:rFonts w:hint="eastAsia" w:ascii="Times New Roman" w:cs="Times New Roman"/>
          <w:i w:val="0"/>
          <w:iCs w:val="0"/>
          <w:caps w:val="0"/>
          <w:color w:val="0F1115"/>
          <w:spacing w:val="0"/>
          <w:sz w:val="28"/>
          <w:szCs w:val="28"/>
          <w:shd w:val="clear" w:fill="FFFFFF"/>
          <w:lang w:val="en-US" w:eastAsia="zh-CN"/>
        </w:rPr>
      </w:pPr>
    </w:p>
    <w:p w14:paraId="6CEFA971">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textAlignment w:val="auto"/>
        <w:rPr>
          <w:rFonts w:hint="eastAsia" w:ascii="Times New Roman" w:cs="Times New Roman"/>
          <w:i w:val="0"/>
          <w:iCs w:val="0"/>
          <w:caps w:val="0"/>
          <w:color w:val="0F1115"/>
          <w:spacing w:val="0"/>
          <w:sz w:val="28"/>
          <w:szCs w:val="28"/>
          <w:shd w:val="clear" w:fill="FFFFFF"/>
          <w:lang w:val="en-US" w:eastAsia="zh-CN"/>
        </w:rPr>
      </w:pPr>
    </w:p>
    <w:p w14:paraId="3E835C87">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textAlignment w:val="auto"/>
        <w:rPr>
          <w:rFonts w:hint="eastAsia" w:ascii="Times New Roman" w:cs="Times New Roman"/>
          <w:i w:val="0"/>
          <w:iCs w:val="0"/>
          <w:caps w:val="0"/>
          <w:color w:val="0F1115"/>
          <w:spacing w:val="0"/>
          <w:sz w:val="28"/>
          <w:szCs w:val="28"/>
          <w:shd w:val="clear" w:fill="FFFFFF"/>
          <w:lang w:val="en-US" w:eastAsia="zh-CN"/>
        </w:rPr>
      </w:pPr>
    </w:p>
    <w:p w14:paraId="32B822E9">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textAlignment w:val="auto"/>
        <w:rPr>
          <w:rFonts w:hint="eastAsia" w:ascii="Times New Roman" w:cs="Times New Roman"/>
          <w:i w:val="0"/>
          <w:iCs w:val="0"/>
          <w:caps w:val="0"/>
          <w:color w:val="0F1115"/>
          <w:spacing w:val="0"/>
          <w:sz w:val="28"/>
          <w:szCs w:val="28"/>
          <w:shd w:val="clear" w:fill="FFFFFF"/>
          <w:lang w:val="en-US" w:eastAsia="zh-CN"/>
        </w:rPr>
      </w:pPr>
    </w:p>
    <w:p w14:paraId="3079803E">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left="0" w:leftChars="0" w:firstLine="0" w:firstLineChars="0"/>
        <w:jc w:val="center"/>
        <w:rPr>
          <w:rFonts w:hint="eastAsia" w:ascii="Times New Roman" w:eastAsia="Segoe UI" w:cs="Times New Roman"/>
          <w:i w:val="0"/>
          <w:iCs w:val="0"/>
          <w:caps w:val="0"/>
          <w:color w:val="0F1115"/>
          <w:spacing w:val="0"/>
          <w:sz w:val="21"/>
          <w:szCs w:val="21"/>
          <w:highlight w:val="none"/>
          <w:shd w:val="clear" w:fill="FFFFFF"/>
          <w:lang w:val="en-US" w:eastAsia="zh-CN"/>
        </w:rPr>
      </w:pPr>
      <w:r>
        <w:rPr>
          <w:rFonts w:hint="eastAsia" w:ascii="Times New Roman" w:eastAsia="Segoe UI" w:cs="Times New Roman"/>
          <w:i w:val="0"/>
          <w:iCs w:val="0"/>
          <w:caps w:val="0"/>
          <w:color w:val="0F1115"/>
          <w:spacing w:val="0"/>
          <w:sz w:val="21"/>
          <w:szCs w:val="21"/>
          <w:highlight w:val="none"/>
          <w:shd w:val="clear" w:fill="FFFFFF"/>
          <w:lang w:val="en-US" w:eastAsia="zh-CN"/>
        </w:rPr>
        <w:t>表2 偃松种质资源综合评价</w:t>
      </w:r>
    </w:p>
    <w:tbl>
      <w:tblPr>
        <w:tblStyle w:val="5"/>
        <w:tblW w:w="888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81"/>
        <w:gridCol w:w="815"/>
        <w:gridCol w:w="815"/>
        <w:gridCol w:w="815"/>
        <w:gridCol w:w="799"/>
        <w:gridCol w:w="831"/>
        <w:gridCol w:w="815"/>
        <w:gridCol w:w="1502"/>
        <w:gridCol w:w="1315"/>
      </w:tblGrid>
      <w:tr w14:paraId="2ADF0BB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181" w:type="dxa"/>
            <w:vMerge w:val="restart"/>
            <w:shd w:val="clear" w:color="auto" w:fill="auto"/>
            <w:noWrap/>
            <w:vAlign w:val="center"/>
          </w:tcPr>
          <w:p w14:paraId="779A98F3">
            <w:pPr>
              <w:spacing w:line="360" w:lineRule="auto"/>
              <w:jc w:val="left"/>
              <w:rPr>
                <w:rFonts w:hint="default" w:ascii="Times New Roman" w:hAnsi="Times New Roman" w:cs="Times New Roman"/>
                <w:color w:val="000000"/>
                <w:sz w:val="21"/>
                <w:szCs w:val="21"/>
              </w:rPr>
            </w:pPr>
            <w:r>
              <w:rPr>
                <w:rFonts w:hint="default" w:ascii="Times New Roman" w:hAnsi="Times New Roman" w:eastAsia="宋体" w:cs="Times New Roman"/>
                <w:color w:val="000000"/>
                <w:kern w:val="0"/>
                <w:sz w:val="21"/>
                <w:szCs w:val="21"/>
              </w:rPr>
              <w:t>编号 code</w:t>
            </w:r>
          </w:p>
        </w:tc>
        <w:tc>
          <w:tcPr>
            <w:tcW w:w="4890" w:type="dxa"/>
            <w:gridSpan w:val="6"/>
            <w:tcBorders>
              <w:bottom w:val="single" w:color="auto" w:sz="4" w:space="0"/>
            </w:tcBorders>
            <w:shd w:val="clear" w:color="auto" w:fill="auto"/>
            <w:noWrap/>
            <w:vAlign w:val="center"/>
          </w:tcPr>
          <w:p w14:paraId="48CB6C1F">
            <w:pPr>
              <w:widowControl/>
              <w:spacing w:line="360" w:lineRule="auto"/>
              <w:ind w:firstLine="210" w:firstLineChars="100"/>
              <w:rPr>
                <w:rFonts w:hint="default" w:ascii="Times New Roman" w:hAnsi="Times New Roman" w:eastAsia="SimSun-ExtB" w:cs="Times New Roman"/>
                <w:color w:val="000000"/>
                <w:kern w:val="0"/>
                <w:sz w:val="21"/>
                <w:szCs w:val="21"/>
              </w:rPr>
            </w:pPr>
            <w:r>
              <w:rPr>
                <w:rFonts w:hint="default" w:ascii="Times New Roman" w:hAnsi="Times New Roman" w:eastAsia="宋体" w:cs="Times New Roman"/>
                <w:color w:val="000000"/>
                <w:kern w:val="0"/>
                <w:sz w:val="21"/>
                <w:szCs w:val="21"/>
              </w:rPr>
              <w:t>主成分因子分值</w:t>
            </w:r>
            <w:r>
              <w:rPr>
                <w:rFonts w:hint="default" w:ascii="Times New Roman" w:hAnsi="Times New Roman" w:eastAsia="SimSun-ExtB" w:cs="Times New Roman"/>
                <w:color w:val="000000"/>
                <w:kern w:val="0"/>
                <w:sz w:val="21"/>
                <w:szCs w:val="21"/>
              </w:rPr>
              <w:t>Principal component value</w:t>
            </w:r>
          </w:p>
        </w:tc>
        <w:tc>
          <w:tcPr>
            <w:tcW w:w="1502" w:type="dxa"/>
            <w:vMerge w:val="restart"/>
            <w:shd w:val="clear" w:color="auto" w:fill="auto"/>
            <w:noWrap/>
            <w:vAlign w:val="center"/>
          </w:tcPr>
          <w:p w14:paraId="01971F2D">
            <w:pPr>
              <w:spacing w:line="360" w:lineRule="auto"/>
              <w:jc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kern w:val="0"/>
                <w:sz w:val="21"/>
                <w:szCs w:val="21"/>
              </w:rPr>
              <w:t>综合得分</w:t>
            </w:r>
            <w:r>
              <w:rPr>
                <w:rFonts w:hint="default" w:ascii="Times New Roman" w:hAnsi="Times New Roman" w:eastAsia="SimSun-ExtB" w:cs="Times New Roman"/>
                <w:color w:val="000000"/>
                <w:kern w:val="0"/>
                <w:sz w:val="21"/>
                <w:szCs w:val="21"/>
              </w:rPr>
              <w:t xml:space="preserve"> F value</w:t>
            </w:r>
          </w:p>
        </w:tc>
        <w:tc>
          <w:tcPr>
            <w:tcW w:w="1315" w:type="dxa"/>
            <w:vMerge w:val="restart"/>
            <w:shd w:val="clear" w:color="auto" w:fill="auto"/>
            <w:noWrap/>
            <w:vAlign w:val="center"/>
          </w:tcPr>
          <w:p w14:paraId="3A6B37A7">
            <w:pPr>
              <w:spacing w:line="360" w:lineRule="auto"/>
              <w:jc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kern w:val="0"/>
                <w:sz w:val="21"/>
                <w:szCs w:val="21"/>
              </w:rPr>
              <w:t>排名</w:t>
            </w:r>
            <w:r>
              <w:rPr>
                <w:rFonts w:hint="default" w:ascii="Times New Roman" w:hAnsi="Times New Roman" w:eastAsia="SimSun-ExtB" w:cs="Times New Roman"/>
                <w:color w:val="000000"/>
                <w:kern w:val="0"/>
                <w:sz w:val="21"/>
                <w:szCs w:val="21"/>
              </w:rPr>
              <w:t xml:space="preserve"> ranking</w:t>
            </w:r>
          </w:p>
        </w:tc>
      </w:tr>
      <w:tr w14:paraId="1961990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181" w:type="dxa"/>
            <w:vMerge w:val="continue"/>
            <w:tcBorders>
              <w:bottom w:val="single" w:color="auto" w:sz="4" w:space="0"/>
            </w:tcBorders>
            <w:shd w:val="clear" w:color="auto" w:fill="auto"/>
            <w:noWrap/>
            <w:vAlign w:val="center"/>
          </w:tcPr>
          <w:p w14:paraId="7B89B80F">
            <w:pPr>
              <w:spacing w:line="360" w:lineRule="auto"/>
              <w:jc w:val="left"/>
              <w:rPr>
                <w:rFonts w:hint="default" w:ascii="Times New Roman" w:hAnsi="Times New Roman" w:cs="Times New Roman"/>
                <w:color w:val="000000"/>
                <w:sz w:val="21"/>
                <w:szCs w:val="21"/>
              </w:rPr>
            </w:pPr>
          </w:p>
        </w:tc>
        <w:tc>
          <w:tcPr>
            <w:tcW w:w="815" w:type="dxa"/>
            <w:tcBorders>
              <w:top w:val="single" w:color="auto" w:sz="4" w:space="0"/>
              <w:bottom w:val="single" w:color="auto" w:sz="4" w:space="0"/>
            </w:tcBorders>
            <w:shd w:val="clear" w:color="auto" w:fill="auto"/>
            <w:noWrap/>
            <w:vAlign w:val="center"/>
          </w:tcPr>
          <w:p w14:paraId="51AD40A6">
            <w:pPr>
              <w:widowControl/>
              <w:spacing w:line="360" w:lineRule="auto"/>
              <w:ind w:right="210"/>
              <w:jc w:val="right"/>
              <w:rPr>
                <w:rFonts w:hint="default" w:ascii="Times New Roman" w:hAnsi="Times New Roman" w:cs="Times New Roman"/>
                <w:color w:val="000000"/>
                <w:sz w:val="21"/>
                <w:szCs w:val="21"/>
              </w:rPr>
            </w:pPr>
            <w:r>
              <w:rPr>
                <w:rFonts w:hint="default" w:ascii="Times New Roman" w:hAnsi="Times New Roman" w:eastAsia="SimSun-ExtB" w:cs="Times New Roman"/>
                <w:color w:val="000000"/>
                <w:kern w:val="0"/>
                <w:sz w:val="21"/>
                <w:szCs w:val="21"/>
              </w:rPr>
              <w:t>F1</w:t>
            </w:r>
          </w:p>
        </w:tc>
        <w:tc>
          <w:tcPr>
            <w:tcW w:w="815" w:type="dxa"/>
            <w:tcBorders>
              <w:top w:val="single" w:color="auto" w:sz="4" w:space="0"/>
              <w:bottom w:val="single" w:color="auto" w:sz="4" w:space="0"/>
            </w:tcBorders>
            <w:shd w:val="clear" w:color="auto" w:fill="auto"/>
            <w:noWrap/>
            <w:vAlign w:val="center"/>
          </w:tcPr>
          <w:p w14:paraId="116F89B5">
            <w:pPr>
              <w:widowControl/>
              <w:spacing w:line="360" w:lineRule="auto"/>
              <w:jc w:val="center"/>
              <w:rPr>
                <w:rFonts w:hint="default" w:ascii="Times New Roman" w:hAnsi="Times New Roman" w:cs="Times New Roman"/>
                <w:color w:val="000000"/>
                <w:sz w:val="21"/>
                <w:szCs w:val="21"/>
              </w:rPr>
            </w:pPr>
            <w:r>
              <w:rPr>
                <w:rFonts w:hint="default" w:ascii="Times New Roman" w:hAnsi="Times New Roman" w:eastAsia="SimSun-ExtB" w:cs="Times New Roman"/>
                <w:color w:val="000000"/>
                <w:kern w:val="0"/>
                <w:sz w:val="21"/>
                <w:szCs w:val="21"/>
              </w:rPr>
              <w:t>F2</w:t>
            </w:r>
          </w:p>
        </w:tc>
        <w:tc>
          <w:tcPr>
            <w:tcW w:w="815" w:type="dxa"/>
            <w:tcBorders>
              <w:top w:val="single" w:color="auto" w:sz="4" w:space="0"/>
              <w:bottom w:val="single" w:color="auto" w:sz="4" w:space="0"/>
            </w:tcBorders>
            <w:shd w:val="clear" w:color="auto" w:fill="auto"/>
            <w:noWrap/>
            <w:vAlign w:val="center"/>
          </w:tcPr>
          <w:p w14:paraId="6592F8BE">
            <w:pPr>
              <w:widowControl/>
              <w:spacing w:line="360" w:lineRule="auto"/>
              <w:jc w:val="center"/>
              <w:rPr>
                <w:rFonts w:hint="default" w:ascii="Times New Roman" w:hAnsi="Times New Roman" w:cs="Times New Roman"/>
                <w:color w:val="000000"/>
                <w:sz w:val="21"/>
                <w:szCs w:val="21"/>
              </w:rPr>
            </w:pPr>
            <w:r>
              <w:rPr>
                <w:rFonts w:hint="default" w:ascii="Times New Roman" w:hAnsi="Times New Roman" w:eastAsia="SimSun-ExtB" w:cs="Times New Roman"/>
                <w:color w:val="000000"/>
                <w:kern w:val="0"/>
                <w:sz w:val="21"/>
                <w:szCs w:val="21"/>
              </w:rPr>
              <w:t>F3</w:t>
            </w:r>
          </w:p>
        </w:tc>
        <w:tc>
          <w:tcPr>
            <w:tcW w:w="799" w:type="dxa"/>
            <w:tcBorders>
              <w:top w:val="single" w:color="auto" w:sz="4" w:space="0"/>
              <w:bottom w:val="single" w:color="auto" w:sz="4" w:space="0"/>
            </w:tcBorders>
            <w:shd w:val="clear" w:color="auto" w:fill="auto"/>
            <w:noWrap/>
            <w:vAlign w:val="center"/>
          </w:tcPr>
          <w:p w14:paraId="30A8F7E9">
            <w:pPr>
              <w:widowControl/>
              <w:spacing w:line="360" w:lineRule="auto"/>
              <w:jc w:val="center"/>
              <w:rPr>
                <w:rFonts w:hint="default" w:ascii="Times New Roman" w:hAnsi="Times New Roman" w:cs="Times New Roman"/>
                <w:color w:val="000000"/>
                <w:sz w:val="21"/>
                <w:szCs w:val="21"/>
              </w:rPr>
            </w:pPr>
            <w:r>
              <w:rPr>
                <w:rFonts w:hint="default" w:ascii="Times New Roman" w:hAnsi="Times New Roman" w:eastAsia="SimSun-ExtB" w:cs="Times New Roman"/>
                <w:color w:val="000000"/>
                <w:kern w:val="0"/>
                <w:sz w:val="21"/>
                <w:szCs w:val="21"/>
              </w:rPr>
              <w:t>F4</w:t>
            </w:r>
          </w:p>
        </w:tc>
        <w:tc>
          <w:tcPr>
            <w:tcW w:w="831" w:type="dxa"/>
            <w:tcBorders>
              <w:top w:val="single" w:color="auto" w:sz="4" w:space="0"/>
              <w:bottom w:val="single" w:color="auto" w:sz="4" w:space="0"/>
            </w:tcBorders>
            <w:shd w:val="clear" w:color="auto" w:fill="auto"/>
            <w:noWrap/>
            <w:vAlign w:val="center"/>
          </w:tcPr>
          <w:p w14:paraId="469EC458">
            <w:pPr>
              <w:widowControl/>
              <w:spacing w:line="360" w:lineRule="auto"/>
              <w:jc w:val="center"/>
              <w:rPr>
                <w:rFonts w:hint="default" w:ascii="Times New Roman" w:hAnsi="Times New Roman" w:cs="Times New Roman"/>
                <w:color w:val="000000"/>
                <w:sz w:val="21"/>
                <w:szCs w:val="21"/>
              </w:rPr>
            </w:pPr>
            <w:r>
              <w:rPr>
                <w:rFonts w:hint="default" w:ascii="Times New Roman" w:hAnsi="Times New Roman" w:eastAsia="SimSun-ExtB" w:cs="Times New Roman"/>
                <w:color w:val="000000"/>
                <w:kern w:val="0"/>
                <w:sz w:val="21"/>
                <w:szCs w:val="21"/>
              </w:rPr>
              <w:t>F5</w:t>
            </w:r>
          </w:p>
        </w:tc>
        <w:tc>
          <w:tcPr>
            <w:tcW w:w="815" w:type="dxa"/>
            <w:tcBorders>
              <w:top w:val="single" w:color="auto" w:sz="4" w:space="0"/>
              <w:bottom w:val="single" w:color="auto" w:sz="4" w:space="0"/>
            </w:tcBorders>
            <w:shd w:val="clear" w:color="auto" w:fill="auto"/>
            <w:noWrap/>
            <w:vAlign w:val="center"/>
          </w:tcPr>
          <w:p w14:paraId="3D9D647C">
            <w:pPr>
              <w:widowControl/>
              <w:spacing w:line="360" w:lineRule="auto"/>
              <w:ind w:firstLine="210" w:firstLineChars="100"/>
              <w:rPr>
                <w:rFonts w:hint="default" w:ascii="Times New Roman" w:hAnsi="Times New Roman" w:cs="Times New Roman"/>
                <w:color w:val="000000"/>
                <w:sz w:val="21"/>
                <w:szCs w:val="21"/>
              </w:rPr>
            </w:pPr>
            <w:r>
              <w:rPr>
                <w:rFonts w:hint="default" w:ascii="Times New Roman" w:hAnsi="Times New Roman" w:eastAsia="SimSun-ExtB" w:cs="Times New Roman"/>
                <w:color w:val="000000"/>
                <w:kern w:val="0"/>
                <w:sz w:val="21"/>
                <w:szCs w:val="21"/>
              </w:rPr>
              <w:t>F6</w:t>
            </w:r>
          </w:p>
        </w:tc>
        <w:tc>
          <w:tcPr>
            <w:tcW w:w="1502" w:type="dxa"/>
            <w:vMerge w:val="continue"/>
            <w:tcBorders>
              <w:bottom w:val="single" w:color="auto" w:sz="4" w:space="0"/>
            </w:tcBorders>
            <w:shd w:val="clear" w:color="auto" w:fill="auto"/>
            <w:noWrap/>
            <w:vAlign w:val="center"/>
          </w:tcPr>
          <w:p w14:paraId="5F5A4611">
            <w:pPr>
              <w:spacing w:line="360" w:lineRule="auto"/>
              <w:jc w:val="center"/>
              <w:rPr>
                <w:rFonts w:hint="default" w:ascii="Times New Roman" w:hAnsi="Times New Roman" w:cs="Times New Roman"/>
                <w:color w:val="000000"/>
                <w:sz w:val="21"/>
                <w:szCs w:val="21"/>
              </w:rPr>
            </w:pPr>
          </w:p>
        </w:tc>
        <w:tc>
          <w:tcPr>
            <w:tcW w:w="1315" w:type="dxa"/>
            <w:vMerge w:val="continue"/>
            <w:tcBorders>
              <w:bottom w:val="single" w:color="auto" w:sz="4" w:space="0"/>
            </w:tcBorders>
            <w:shd w:val="clear" w:color="auto" w:fill="auto"/>
            <w:noWrap/>
            <w:vAlign w:val="center"/>
          </w:tcPr>
          <w:p w14:paraId="7AACD1D1">
            <w:pPr>
              <w:spacing w:line="360" w:lineRule="auto"/>
              <w:jc w:val="center"/>
              <w:rPr>
                <w:rFonts w:hint="default" w:ascii="Times New Roman" w:hAnsi="Times New Roman" w:cs="Times New Roman"/>
                <w:color w:val="000000"/>
                <w:sz w:val="21"/>
                <w:szCs w:val="21"/>
              </w:rPr>
            </w:pPr>
          </w:p>
        </w:tc>
      </w:tr>
      <w:tr w14:paraId="6E04AD2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181" w:type="dxa"/>
            <w:tcBorders>
              <w:top w:val="single" w:color="auto" w:sz="4" w:space="0"/>
            </w:tcBorders>
            <w:shd w:val="clear" w:color="auto" w:fill="auto"/>
            <w:noWrap/>
            <w:vAlign w:val="center"/>
          </w:tcPr>
          <w:p w14:paraId="2CEE58FD">
            <w:pPr>
              <w:spacing w:line="360" w:lineRule="auto"/>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DFH38</w:t>
            </w:r>
          </w:p>
        </w:tc>
        <w:tc>
          <w:tcPr>
            <w:tcW w:w="815" w:type="dxa"/>
            <w:tcBorders>
              <w:top w:val="single" w:color="auto" w:sz="4" w:space="0"/>
            </w:tcBorders>
            <w:shd w:val="clear" w:color="auto" w:fill="auto"/>
            <w:noWrap/>
            <w:vAlign w:val="center"/>
          </w:tcPr>
          <w:p w14:paraId="0B7FA88C">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0.704 </w:t>
            </w:r>
          </w:p>
        </w:tc>
        <w:tc>
          <w:tcPr>
            <w:tcW w:w="815" w:type="dxa"/>
            <w:tcBorders>
              <w:top w:val="single" w:color="auto" w:sz="4" w:space="0"/>
            </w:tcBorders>
            <w:shd w:val="clear" w:color="auto" w:fill="auto"/>
            <w:noWrap/>
            <w:vAlign w:val="center"/>
          </w:tcPr>
          <w:p w14:paraId="3187F8E8">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1.378 </w:t>
            </w:r>
          </w:p>
        </w:tc>
        <w:tc>
          <w:tcPr>
            <w:tcW w:w="815" w:type="dxa"/>
            <w:tcBorders>
              <w:top w:val="single" w:color="auto" w:sz="4" w:space="0"/>
            </w:tcBorders>
            <w:shd w:val="clear" w:color="auto" w:fill="auto"/>
            <w:noWrap/>
            <w:vAlign w:val="center"/>
          </w:tcPr>
          <w:p w14:paraId="01B37169">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2.141 </w:t>
            </w:r>
          </w:p>
        </w:tc>
        <w:tc>
          <w:tcPr>
            <w:tcW w:w="799" w:type="dxa"/>
            <w:tcBorders>
              <w:top w:val="single" w:color="auto" w:sz="4" w:space="0"/>
            </w:tcBorders>
            <w:shd w:val="clear" w:color="auto" w:fill="auto"/>
            <w:noWrap/>
            <w:vAlign w:val="center"/>
          </w:tcPr>
          <w:p w14:paraId="0C24D838">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1.603 </w:t>
            </w:r>
          </w:p>
        </w:tc>
        <w:tc>
          <w:tcPr>
            <w:tcW w:w="831" w:type="dxa"/>
            <w:tcBorders>
              <w:top w:val="single" w:color="auto" w:sz="4" w:space="0"/>
            </w:tcBorders>
            <w:shd w:val="clear" w:color="auto" w:fill="auto"/>
            <w:noWrap/>
            <w:vAlign w:val="center"/>
          </w:tcPr>
          <w:p w14:paraId="1384C844">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1.012 </w:t>
            </w:r>
          </w:p>
        </w:tc>
        <w:tc>
          <w:tcPr>
            <w:tcW w:w="815" w:type="dxa"/>
            <w:tcBorders>
              <w:top w:val="single" w:color="auto" w:sz="4" w:space="0"/>
            </w:tcBorders>
            <w:shd w:val="clear" w:color="auto" w:fill="auto"/>
            <w:noWrap/>
            <w:vAlign w:val="center"/>
          </w:tcPr>
          <w:p w14:paraId="57BAAD37">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0.013 </w:t>
            </w:r>
          </w:p>
        </w:tc>
        <w:tc>
          <w:tcPr>
            <w:tcW w:w="1502" w:type="dxa"/>
            <w:tcBorders>
              <w:top w:val="single" w:color="auto" w:sz="4" w:space="0"/>
            </w:tcBorders>
            <w:shd w:val="clear" w:color="auto" w:fill="auto"/>
            <w:noWrap/>
            <w:vAlign w:val="center"/>
          </w:tcPr>
          <w:p w14:paraId="2F12DACC">
            <w:pPr>
              <w:spacing w:line="36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0.923</w:t>
            </w:r>
          </w:p>
        </w:tc>
        <w:tc>
          <w:tcPr>
            <w:tcW w:w="1315" w:type="dxa"/>
            <w:tcBorders>
              <w:top w:val="single" w:color="auto" w:sz="4" w:space="0"/>
            </w:tcBorders>
            <w:shd w:val="clear" w:color="auto" w:fill="auto"/>
            <w:noWrap/>
            <w:vAlign w:val="center"/>
          </w:tcPr>
          <w:p w14:paraId="2A4DC7DB">
            <w:pPr>
              <w:spacing w:line="36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w:t>
            </w:r>
          </w:p>
        </w:tc>
      </w:tr>
      <w:tr w14:paraId="0B537A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181" w:type="dxa"/>
            <w:shd w:val="clear" w:color="auto" w:fill="auto"/>
            <w:noWrap/>
            <w:vAlign w:val="center"/>
          </w:tcPr>
          <w:p w14:paraId="596846A8">
            <w:pPr>
              <w:spacing w:line="360" w:lineRule="auto"/>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AH24</w:t>
            </w:r>
          </w:p>
        </w:tc>
        <w:tc>
          <w:tcPr>
            <w:tcW w:w="815" w:type="dxa"/>
            <w:shd w:val="clear" w:color="auto" w:fill="auto"/>
            <w:noWrap/>
            <w:vAlign w:val="center"/>
          </w:tcPr>
          <w:p w14:paraId="56C25559">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2.743 </w:t>
            </w:r>
          </w:p>
        </w:tc>
        <w:tc>
          <w:tcPr>
            <w:tcW w:w="815" w:type="dxa"/>
            <w:shd w:val="clear" w:color="auto" w:fill="auto"/>
            <w:noWrap/>
            <w:vAlign w:val="center"/>
          </w:tcPr>
          <w:p w14:paraId="286A8973">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-0.271 </w:t>
            </w:r>
          </w:p>
        </w:tc>
        <w:tc>
          <w:tcPr>
            <w:tcW w:w="815" w:type="dxa"/>
            <w:shd w:val="clear" w:color="auto" w:fill="auto"/>
            <w:noWrap/>
            <w:vAlign w:val="center"/>
          </w:tcPr>
          <w:p w14:paraId="218AD19A">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0.405 </w:t>
            </w:r>
          </w:p>
        </w:tc>
        <w:tc>
          <w:tcPr>
            <w:tcW w:w="799" w:type="dxa"/>
            <w:shd w:val="clear" w:color="auto" w:fill="auto"/>
            <w:noWrap/>
            <w:vAlign w:val="center"/>
          </w:tcPr>
          <w:p w14:paraId="6BF62AFB">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1.725 </w:t>
            </w:r>
          </w:p>
        </w:tc>
        <w:tc>
          <w:tcPr>
            <w:tcW w:w="831" w:type="dxa"/>
            <w:shd w:val="clear" w:color="auto" w:fill="auto"/>
            <w:noWrap/>
            <w:vAlign w:val="center"/>
          </w:tcPr>
          <w:p w14:paraId="1502E841">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2.672 </w:t>
            </w:r>
          </w:p>
        </w:tc>
        <w:tc>
          <w:tcPr>
            <w:tcW w:w="815" w:type="dxa"/>
            <w:shd w:val="clear" w:color="auto" w:fill="auto"/>
            <w:noWrap/>
            <w:vAlign w:val="center"/>
          </w:tcPr>
          <w:p w14:paraId="568214C1">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-2.619 </w:t>
            </w:r>
          </w:p>
        </w:tc>
        <w:tc>
          <w:tcPr>
            <w:tcW w:w="1502" w:type="dxa"/>
            <w:shd w:val="clear" w:color="auto" w:fill="auto"/>
            <w:noWrap/>
            <w:vAlign w:val="center"/>
          </w:tcPr>
          <w:p w14:paraId="468A9185">
            <w:pPr>
              <w:spacing w:line="36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0.899</w:t>
            </w:r>
          </w:p>
        </w:tc>
        <w:tc>
          <w:tcPr>
            <w:tcW w:w="1315" w:type="dxa"/>
            <w:shd w:val="clear" w:color="auto" w:fill="auto"/>
            <w:noWrap/>
            <w:vAlign w:val="center"/>
          </w:tcPr>
          <w:p w14:paraId="5107E87B">
            <w:pPr>
              <w:spacing w:line="36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w:t>
            </w:r>
          </w:p>
        </w:tc>
      </w:tr>
      <w:tr w14:paraId="60D2DB8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181" w:type="dxa"/>
            <w:shd w:val="clear" w:color="auto" w:fill="auto"/>
            <w:noWrap/>
            <w:vAlign w:val="center"/>
          </w:tcPr>
          <w:p w14:paraId="5A43C991">
            <w:pPr>
              <w:spacing w:line="360" w:lineRule="auto"/>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XBS75</w:t>
            </w:r>
          </w:p>
        </w:tc>
        <w:tc>
          <w:tcPr>
            <w:tcW w:w="815" w:type="dxa"/>
            <w:shd w:val="clear" w:color="auto" w:fill="auto"/>
            <w:noWrap/>
            <w:vAlign w:val="center"/>
          </w:tcPr>
          <w:p w14:paraId="2CF6B764">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0.012 </w:t>
            </w:r>
          </w:p>
        </w:tc>
        <w:tc>
          <w:tcPr>
            <w:tcW w:w="815" w:type="dxa"/>
            <w:shd w:val="clear" w:color="auto" w:fill="auto"/>
            <w:noWrap/>
            <w:vAlign w:val="center"/>
          </w:tcPr>
          <w:p w14:paraId="2CBCDE5B">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1.269 </w:t>
            </w:r>
          </w:p>
        </w:tc>
        <w:tc>
          <w:tcPr>
            <w:tcW w:w="815" w:type="dxa"/>
            <w:shd w:val="clear" w:color="auto" w:fill="auto"/>
            <w:noWrap/>
            <w:vAlign w:val="center"/>
          </w:tcPr>
          <w:p w14:paraId="61B68DAE">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0.929 </w:t>
            </w:r>
          </w:p>
        </w:tc>
        <w:tc>
          <w:tcPr>
            <w:tcW w:w="799" w:type="dxa"/>
            <w:shd w:val="clear" w:color="auto" w:fill="auto"/>
            <w:noWrap/>
            <w:vAlign w:val="center"/>
          </w:tcPr>
          <w:p w14:paraId="117DF62C">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1.542 </w:t>
            </w:r>
          </w:p>
        </w:tc>
        <w:tc>
          <w:tcPr>
            <w:tcW w:w="831" w:type="dxa"/>
            <w:shd w:val="clear" w:color="auto" w:fill="auto"/>
            <w:noWrap/>
            <w:vAlign w:val="center"/>
          </w:tcPr>
          <w:p w14:paraId="251CE1D6">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1.808 </w:t>
            </w:r>
          </w:p>
        </w:tc>
        <w:tc>
          <w:tcPr>
            <w:tcW w:w="815" w:type="dxa"/>
            <w:shd w:val="clear" w:color="auto" w:fill="auto"/>
            <w:noWrap/>
            <w:vAlign w:val="center"/>
          </w:tcPr>
          <w:p w14:paraId="09455537">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-0.150 </w:t>
            </w:r>
          </w:p>
        </w:tc>
        <w:tc>
          <w:tcPr>
            <w:tcW w:w="1502" w:type="dxa"/>
            <w:shd w:val="clear" w:color="auto" w:fill="auto"/>
            <w:noWrap/>
            <w:vAlign w:val="center"/>
          </w:tcPr>
          <w:p w14:paraId="63F519FC">
            <w:pPr>
              <w:spacing w:line="36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0.604</w:t>
            </w:r>
          </w:p>
        </w:tc>
        <w:tc>
          <w:tcPr>
            <w:tcW w:w="1315" w:type="dxa"/>
            <w:shd w:val="clear" w:color="auto" w:fill="auto"/>
            <w:noWrap/>
            <w:vAlign w:val="center"/>
          </w:tcPr>
          <w:p w14:paraId="0ECFA68A">
            <w:pPr>
              <w:spacing w:line="36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w:t>
            </w:r>
          </w:p>
        </w:tc>
      </w:tr>
      <w:tr w14:paraId="669474D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181" w:type="dxa"/>
            <w:shd w:val="clear" w:color="auto" w:fill="auto"/>
            <w:noWrap/>
            <w:vAlign w:val="center"/>
          </w:tcPr>
          <w:p w14:paraId="064E5A10">
            <w:pPr>
              <w:spacing w:line="360" w:lineRule="auto"/>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AN451</w:t>
            </w:r>
          </w:p>
        </w:tc>
        <w:tc>
          <w:tcPr>
            <w:tcW w:w="815" w:type="dxa"/>
            <w:shd w:val="clear" w:color="auto" w:fill="auto"/>
            <w:noWrap/>
            <w:vAlign w:val="center"/>
          </w:tcPr>
          <w:p w14:paraId="513ED61C">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2.794 </w:t>
            </w:r>
          </w:p>
        </w:tc>
        <w:tc>
          <w:tcPr>
            <w:tcW w:w="815" w:type="dxa"/>
            <w:shd w:val="clear" w:color="auto" w:fill="auto"/>
            <w:noWrap/>
            <w:vAlign w:val="center"/>
          </w:tcPr>
          <w:p w14:paraId="2B6A151F">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-0.529 </w:t>
            </w:r>
          </w:p>
        </w:tc>
        <w:tc>
          <w:tcPr>
            <w:tcW w:w="815" w:type="dxa"/>
            <w:shd w:val="clear" w:color="auto" w:fill="auto"/>
            <w:noWrap/>
            <w:vAlign w:val="center"/>
          </w:tcPr>
          <w:p w14:paraId="5CFABB69">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0.287 </w:t>
            </w:r>
          </w:p>
        </w:tc>
        <w:tc>
          <w:tcPr>
            <w:tcW w:w="799" w:type="dxa"/>
            <w:shd w:val="clear" w:color="auto" w:fill="auto"/>
            <w:noWrap/>
            <w:vAlign w:val="center"/>
          </w:tcPr>
          <w:p w14:paraId="235320E6">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-0.258 </w:t>
            </w:r>
          </w:p>
        </w:tc>
        <w:tc>
          <w:tcPr>
            <w:tcW w:w="831" w:type="dxa"/>
            <w:shd w:val="clear" w:color="auto" w:fill="auto"/>
            <w:noWrap/>
            <w:vAlign w:val="center"/>
          </w:tcPr>
          <w:p w14:paraId="5DA182DE">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-1.621 </w:t>
            </w:r>
          </w:p>
        </w:tc>
        <w:tc>
          <w:tcPr>
            <w:tcW w:w="815" w:type="dxa"/>
            <w:shd w:val="clear" w:color="auto" w:fill="auto"/>
            <w:noWrap/>
            <w:vAlign w:val="center"/>
          </w:tcPr>
          <w:p w14:paraId="406CEE5A">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1.086 </w:t>
            </w:r>
          </w:p>
        </w:tc>
        <w:tc>
          <w:tcPr>
            <w:tcW w:w="1502" w:type="dxa"/>
            <w:shd w:val="clear" w:color="auto" w:fill="auto"/>
            <w:noWrap/>
            <w:vAlign w:val="center"/>
          </w:tcPr>
          <w:p w14:paraId="215958EC">
            <w:pPr>
              <w:spacing w:line="36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0.597</w:t>
            </w:r>
          </w:p>
        </w:tc>
        <w:tc>
          <w:tcPr>
            <w:tcW w:w="1315" w:type="dxa"/>
            <w:shd w:val="clear" w:color="auto" w:fill="auto"/>
            <w:noWrap/>
            <w:vAlign w:val="center"/>
          </w:tcPr>
          <w:p w14:paraId="02A51C54">
            <w:pPr>
              <w:spacing w:line="36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w:t>
            </w:r>
          </w:p>
        </w:tc>
      </w:tr>
      <w:tr w14:paraId="694DE50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181" w:type="dxa"/>
            <w:shd w:val="clear" w:color="auto" w:fill="auto"/>
            <w:noWrap/>
            <w:vAlign w:val="center"/>
          </w:tcPr>
          <w:p w14:paraId="310CC5B9">
            <w:pPr>
              <w:spacing w:line="360" w:lineRule="auto"/>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AN435</w:t>
            </w:r>
          </w:p>
        </w:tc>
        <w:tc>
          <w:tcPr>
            <w:tcW w:w="815" w:type="dxa"/>
            <w:shd w:val="clear" w:color="auto" w:fill="auto"/>
            <w:noWrap/>
            <w:vAlign w:val="center"/>
          </w:tcPr>
          <w:p w14:paraId="20BFCEA1">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1.862 </w:t>
            </w:r>
          </w:p>
        </w:tc>
        <w:tc>
          <w:tcPr>
            <w:tcW w:w="815" w:type="dxa"/>
            <w:shd w:val="clear" w:color="auto" w:fill="auto"/>
            <w:noWrap/>
            <w:vAlign w:val="center"/>
          </w:tcPr>
          <w:p w14:paraId="7E2F064D">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-0.259 </w:t>
            </w:r>
          </w:p>
        </w:tc>
        <w:tc>
          <w:tcPr>
            <w:tcW w:w="815" w:type="dxa"/>
            <w:shd w:val="clear" w:color="auto" w:fill="auto"/>
            <w:noWrap/>
            <w:vAlign w:val="center"/>
          </w:tcPr>
          <w:p w14:paraId="528C582F">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1.901 </w:t>
            </w:r>
          </w:p>
        </w:tc>
        <w:tc>
          <w:tcPr>
            <w:tcW w:w="799" w:type="dxa"/>
            <w:shd w:val="clear" w:color="auto" w:fill="auto"/>
            <w:noWrap/>
            <w:vAlign w:val="center"/>
          </w:tcPr>
          <w:p w14:paraId="5ED2A958">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-0.527 </w:t>
            </w:r>
          </w:p>
        </w:tc>
        <w:tc>
          <w:tcPr>
            <w:tcW w:w="831" w:type="dxa"/>
            <w:shd w:val="clear" w:color="auto" w:fill="auto"/>
            <w:noWrap/>
            <w:vAlign w:val="center"/>
          </w:tcPr>
          <w:p w14:paraId="53193EF1">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-1.530 </w:t>
            </w:r>
          </w:p>
        </w:tc>
        <w:tc>
          <w:tcPr>
            <w:tcW w:w="815" w:type="dxa"/>
            <w:shd w:val="clear" w:color="auto" w:fill="auto"/>
            <w:noWrap/>
            <w:vAlign w:val="center"/>
          </w:tcPr>
          <w:p w14:paraId="5ACF4BAD">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0.114 </w:t>
            </w:r>
          </w:p>
        </w:tc>
        <w:tc>
          <w:tcPr>
            <w:tcW w:w="1502" w:type="dxa"/>
            <w:shd w:val="clear" w:color="auto" w:fill="auto"/>
            <w:noWrap/>
            <w:vAlign w:val="center"/>
          </w:tcPr>
          <w:p w14:paraId="542DEA25">
            <w:pPr>
              <w:spacing w:line="36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0.539</w:t>
            </w:r>
          </w:p>
        </w:tc>
        <w:tc>
          <w:tcPr>
            <w:tcW w:w="1315" w:type="dxa"/>
            <w:shd w:val="clear" w:color="auto" w:fill="auto"/>
            <w:noWrap/>
            <w:vAlign w:val="center"/>
          </w:tcPr>
          <w:p w14:paraId="339C12BE">
            <w:pPr>
              <w:spacing w:line="36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5</w:t>
            </w:r>
          </w:p>
        </w:tc>
      </w:tr>
      <w:tr w14:paraId="327519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181" w:type="dxa"/>
            <w:shd w:val="clear" w:color="auto" w:fill="auto"/>
            <w:noWrap/>
            <w:vAlign w:val="center"/>
          </w:tcPr>
          <w:p w14:paraId="70235E33">
            <w:pPr>
              <w:spacing w:line="360" w:lineRule="auto"/>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XBS67</w:t>
            </w:r>
          </w:p>
        </w:tc>
        <w:tc>
          <w:tcPr>
            <w:tcW w:w="815" w:type="dxa"/>
            <w:shd w:val="clear" w:color="auto" w:fill="auto"/>
            <w:noWrap/>
            <w:vAlign w:val="center"/>
          </w:tcPr>
          <w:p w14:paraId="57D930C1">
            <w:pPr>
              <w:widowControl/>
              <w:jc w:val="right"/>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kern w:val="0"/>
                <w:sz w:val="21"/>
                <w:szCs w:val="21"/>
              </w:rPr>
              <w:t>0.398</w:t>
            </w:r>
          </w:p>
        </w:tc>
        <w:tc>
          <w:tcPr>
            <w:tcW w:w="815" w:type="dxa"/>
            <w:shd w:val="clear" w:color="auto" w:fill="auto"/>
            <w:noWrap/>
            <w:vAlign w:val="center"/>
          </w:tcPr>
          <w:p w14:paraId="18D62FC7">
            <w:pPr>
              <w:widowControl/>
              <w:jc w:val="right"/>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kern w:val="0"/>
                <w:sz w:val="21"/>
                <w:szCs w:val="21"/>
              </w:rPr>
              <w:t>1.665</w:t>
            </w:r>
          </w:p>
        </w:tc>
        <w:tc>
          <w:tcPr>
            <w:tcW w:w="815" w:type="dxa"/>
            <w:shd w:val="clear" w:color="auto" w:fill="auto"/>
            <w:noWrap/>
            <w:vAlign w:val="center"/>
          </w:tcPr>
          <w:p w14:paraId="7A2C03F1">
            <w:pPr>
              <w:widowControl/>
              <w:jc w:val="right"/>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kern w:val="0"/>
                <w:sz w:val="21"/>
                <w:szCs w:val="21"/>
              </w:rPr>
              <w:t>0.125</w:t>
            </w:r>
          </w:p>
        </w:tc>
        <w:tc>
          <w:tcPr>
            <w:tcW w:w="799" w:type="dxa"/>
            <w:shd w:val="clear" w:color="auto" w:fill="auto"/>
            <w:noWrap/>
            <w:vAlign w:val="center"/>
          </w:tcPr>
          <w:p w14:paraId="4535968A">
            <w:pPr>
              <w:widowControl/>
              <w:jc w:val="right"/>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kern w:val="0"/>
                <w:sz w:val="21"/>
                <w:szCs w:val="21"/>
              </w:rPr>
              <w:t>0.268</w:t>
            </w:r>
          </w:p>
        </w:tc>
        <w:tc>
          <w:tcPr>
            <w:tcW w:w="831" w:type="dxa"/>
            <w:shd w:val="clear" w:color="auto" w:fill="auto"/>
            <w:noWrap/>
            <w:vAlign w:val="center"/>
          </w:tcPr>
          <w:p w14:paraId="47CD8D1C">
            <w:pPr>
              <w:widowControl/>
              <w:jc w:val="right"/>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kern w:val="0"/>
                <w:sz w:val="21"/>
                <w:szCs w:val="21"/>
              </w:rPr>
              <w:t>-0.191</w:t>
            </w:r>
          </w:p>
        </w:tc>
        <w:tc>
          <w:tcPr>
            <w:tcW w:w="815" w:type="dxa"/>
            <w:shd w:val="clear" w:color="auto" w:fill="auto"/>
            <w:noWrap/>
            <w:vAlign w:val="center"/>
          </w:tcPr>
          <w:p w14:paraId="18E7CD2A">
            <w:pPr>
              <w:widowControl/>
              <w:jc w:val="right"/>
              <w:textAlignment w:val="center"/>
              <w:rPr>
                <w:rFonts w:hint="default" w:ascii="Times New Roman" w:hAnsi="Times New Roman" w:cs="Times New Roman"/>
                <w:color w:val="000000"/>
                <w:sz w:val="21"/>
                <w:szCs w:val="21"/>
              </w:rPr>
            </w:pPr>
            <w:r>
              <w:rPr>
                <w:rFonts w:hint="default" w:ascii="Times New Roman" w:hAnsi="Times New Roman" w:eastAsia="宋体" w:cs="Times New Roman"/>
                <w:color w:val="000000"/>
                <w:kern w:val="0"/>
                <w:sz w:val="21"/>
                <w:szCs w:val="21"/>
              </w:rPr>
              <w:t>-0.674</w:t>
            </w:r>
          </w:p>
        </w:tc>
        <w:tc>
          <w:tcPr>
            <w:tcW w:w="1502" w:type="dxa"/>
            <w:shd w:val="clear" w:color="auto" w:fill="auto"/>
            <w:noWrap/>
            <w:vAlign w:val="center"/>
          </w:tcPr>
          <w:p w14:paraId="4B9FD07D">
            <w:pPr>
              <w:spacing w:line="36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0.412</w:t>
            </w:r>
          </w:p>
        </w:tc>
        <w:tc>
          <w:tcPr>
            <w:tcW w:w="1315" w:type="dxa"/>
            <w:shd w:val="clear" w:color="auto" w:fill="auto"/>
            <w:noWrap/>
            <w:vAlign w:val="center"/>
          </w:tcPr>
          <w:p w14:paraId="604A4281">
            <w:pPr>
              <w:spacing w:line="36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6</w:t>
            </w:r>
          </w:p>
        </w:tc>
      </w:tr>
      <w:tr w14:paraId="71F70F1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181" w:type="dxa"/>
            <w:shd w:val="clear" w:color="auto" w:fill="auto"/>
            <w:noWrap/>
            <w:vAlign w:val="center"/>
          </w:tcPr>
          <w:p w14:paraId="44C1AC75">
            <w:pPr>
              <w:spacing w:line="360" w:lineRule="auto"/>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AH12</w:t>
            </w:r>
          </w:p>
        </w:tc>
        <w:tc>
          <w:tcPr>
            <w:tcW w:w="815" w:type="dxa"/>
            <w:shd w:val="clear" w:color="auto" w:fill="auto"/>
            <w:noWrap/>
            <w:vAlign w:val="center"/>
          </w:tcPr>
          <w:p w14:paraId="3973618B">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0.953 </w:t>
            </w:r>
          </w:p>
        </w:tc>
        <w:tc>
          <w:tcPr>
            <w:tcW w:w="815" w:type="dxa"/>
            <w:shd w:val="clear" w:color="auto" w:fill="auto"/>
            <w:noWrap/>
            <w:vAlign w:val="center"/>
          </w:tcPr>
          <w:p w14:paraId="4985A66A">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-0.653 </w:t>
            </w:r>
          </w:p>
        </w:tc>
        <w:tc>
          <w:tcPr>
            <w:tcW w:w="815" w:type="dxa"/>
            <w:shd w:val="clear" w:color="auto" w:fill="auto"/>
            <w:noWrap/>
            <w:vAlign w:val="center"/>
          </w:tcPr>
          <w:p w14:paraId="7AB8EC0A">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0.547 </w:t>
            </w:r>
          </w:p>
        </w:tc>
        <w:tc>
          <w:tcPr>
            <w:tcW w:w="799" w:type="dxa"/>
            <w:shd w:val="clear" w:color="auto" w:fill="auto"/>
            <w:noWrap/>
            <w:vAlign w:val="center"/>
          </w:tcPr>
          <w:p w14:paraId="170A3251">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2.640 </w:t>
            </w:r>
          </w:p>
        </w:tc>
        <w:tc>
          <w:tcPr>
            <w:tcW w:w="831" w:type="dxa"/>
            <w:shd w:val="clear" w:color="auto" w:fill="auto"/>
            <w:noWrap/>
            <w:vAlign w:val="center"/>
          </w:tcPr>
          <w:p w14:paraId="017F8AE9">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-0.203 </w:t>
            </w:r>
          </w:p>
        </w:tc>
        <w:tc>
          <w:tcPr>
            <w:tcW w:w="815" w:type="dxa"/>
            <w:shd w:val="clear" w:color="auto" w:fill="auto"/>
            <w:noWrap/>
            <w:vAlign w:val="center"/>
          </w:tcPr>
          <w:p w14:paraId="2E83BDEE">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-0.243 </w:t>
            </w:r>
          </w:p>
        </w:tc>
        <w:tc>
          <w:tcPr>
            <w:tcW w:w="1502" w:type="dxa"/>
            <w:shd w:val="clear" w:color="auto" w:fill="auto"/>
            <w:noWrap/>
            <w:vAlign w:val="center"/>
          </w:tcPr>
          <w:p w14:paraId="5C63E87E">
            <w:pPr>
              <w:spacing w:line="36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0.411</w:t>
            </w:r>
          </w:p>
        </w:tc>
        <w:tc>
          <w:tcPr>
            <w:tcW w:w="1315" w:type="dxa"/>
            <w:shd w:val="clear" w:color="auto" w:fill="auto"/>
            <w:noWrap/>
            <w:vAlign w:val="center"/>
          </w:tcPr>
          <w:p w14:paraId="2178F1FD">
            <w:pPr>
              <w:spacing w:line="36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7</w:t>
            </w:r>
          </w:p>
        </w:tc>
      </w:tr>
      <w:tr w14:paraId="16AF1B2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181" w:type="dxa"/>
            <w:shd w:val="clear" w:color="auto" w:fill="auto"/>
            <w:noWrap/>
            <w:vAlign w:val="center"/>
          </w:tcPr>
          <w:p w14:paraId="48A18710">
            <w:pPr>
              <w:spacing w:line="360" w:lineRule="auto"/>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DFH27</w:t>
            </w:r>
          </w:p>
        </w:tc>
        <w:tc>
          <w:tcPr>
            <w:tcW w:w="815" w:type="dxa"/>
            <w:shd w:val="clear" w:color="auto" w:fill="auto"/>
            <w:noWrap/>
            <w:vAlign w:val="center"/>
          </w:tcPr>
          <w:p w14:paraId="7B4F96F0">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0.648 </w:t>
            </w:r>
          </w:p>
        </w:tc>
        <w:tc>
          <w:tcPr>
            <w:tcW w:w="815" w:type="dxa"/>
            <w:shd w:val="clear" w:color="auto" w:fill="auto"/>
            <w:noWrap/>
            <w:vAlign w:val="center"/>
          </w:tcPr>
          <w:p w14:paraId="4258A9C8">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1.381 </w:t>
            </w:r>
          </w:p>
        </w:tc>
        <w:tc>
          <w:tcPr>
            <w:tcW w:w="815" w:type="dxa"/>
            <w:shd w:val="clear" w:color="auto" w:fill="auto"/>
            <w:noWrap/>
            <w:vAlign w:val="center"/>
          </w:tcPr>
          <w:p w14:paraId="6343A7D9">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-0.334 </w:t>
            </w:r>
          </w:p>
        </w:tc>
        <w:tc>
          <w:tcPr>
            <w:tcW w:w="799" w:type="dxa"/>
            <w:shd w:val="clear" w:color="auto" w:fill="auto"/>
            <w:noWrap/>
            <w:vAlign w:val="center"/>
          </w:tcPr>
          <w:p w14:paraId="199E9087">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0.777 </w:t>
            </w:r>
          </w:p>
        </w:tc>
        <w:tc>
          <w:tcPr>
            <w:tcW w:w="831" w:type="dxa"/>
            <w:shd w:val="clear" w:color="auto" w:fill="auto"/>
            <w:noWrap/>
            <w:vAlign w:val="center"/>
          </w:tcPr>
          <w:p w14:paraId="3A61CF8F">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-1.450 </w:t>
            </w:r>
          </w:p>
        </w:tc>
        <w:tc>
          <w:tcPr>
            <w:tcW w:w="815" w:type="dxa"/>
            <w:shd w:val="clear" w:color="auto" w:fill="auto"/>
            <w:noWrap/>
            <w:vAlign w:val="center"/>
          </w:tcPr>
          <w:p w14:paraId="500721B0">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0.090 </w:t>
            </w:r>
          </w:p>
        </w:tc>
        <w:tc>
          <w:tcPr>
            <w:tcW w:w="1502" w:type="dxa"/>
            <w:shd w:val="clear" w:color="auto" w:fill="auto"/>
            <w:noWrap/>
            <w:vAlign w:val="center"/>
          </w:tcPr>
          <w:p w14:paraId="384CE624">
            <w:pPr>
              <w:spacing w:line="36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0.375</w:t>
            </w:r>
          </w:p>
        </w:tc>
        <w:tc>
          <w:tcPr>
            <w:tcW w:w="1315" w:type="dxa"/>
            <w:shd w:val="clear" w:color="auto" w:fill="auto"/>
            <w:noWrap/>
            <w:vAlign w:val="center"/>
          </w:tcPr>
          <w:p w14:paraId="5F5710A4">
            <w:pPr>
              <w:spacing w:line="36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8</w:t>
            </w:r>
          </w:p>
        </w:tc>
      </w:tr>
      <w:tr w14:paraId="5A2C500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181" w:type="dxa"/>
            <w:shd w:val="clear" w:color="auto" w:fill="auto"/>
            <w:noWrap/>
            <w:vAlign w:val="center"/>
          </w:tcPr>
          <w:p w14:paraId="279161D1">
            <w:pPr>
              <w:spacing w:line="360" w:lineRule="auto"/>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MG469</w:t>
            </w:r>
          </w:p>
        </w:tc>
        <w:tc>
          <w:tcPr>
            <w:tcW w:w="815" w:type="dxa"/>
            <w:shd w:val="clear" w:color="auto" w:fill="auto"/>
            <w:noWrap/>
            <w:vAlign w:val="center"/>
          </w:tcPr>
          <w:p w14:paraId="44BF85E6">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0.595 </w:t>
            </w:r>
          </w:p>
        </w:tc>
        <w:tc>
          <w:tcPr>
            <w:tcW w:w="815" w:type="dxa"/>
            <w:shd w:val="clear" w:color="auto" w:fill="auto"/>
            <w:noWrap/>
            <w:vAlign w:val="center"/>
          </w:tcPr>
          <w:p w14:paraId="72A5B67E">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-0.698 </w:t>
            </w:r>
          </w:p>
        </w:tc>
        <w:tc>
          <w:tcPr>
            <w:tcW w:w="815" w:type="dxa"/>
            <w:shd w:val="clear" w:color="auto" w:fill="auto"/>
            <w:noWrap/>
            <w:vAlign w:val="center"/>
          </w:tcPr>
          <w:p w14:paraId="7982A6A5">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1.230 </w:t>
            </w:r>
          </w:p>
        </w:tc>
        <w:tc>
          <w:tcPr>
            <w:tcW w:w="799" w:type="dxa"/>
            <w:shd w:val="clear" w:color="auto" w:fill="auto"/>
            <w:noWrap/>
            <w:vAlign w:val="center"/>
          </w:tcPr>
          <w:p w14:paraId="58A724AB">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1.015 </w:t>
            </w:r>
          </w:p>
        </w:tc>
        <w:tc>
          <w:tcPr>
            <w:tcW w:w="831" w:type="dxa"/>
            <w:shd w:val="clear" w:color="auto" w:fill="auto"/>
            <w:noWrap/>
            <w:vAlign w:val="center"/>
          </w:tcPr>
          <w:p w14:paraId="72CD1C40">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-0.905 </w:t>
            </w:r>
          </w:p>
        </w:tc>
        <w:tc>
          <w:tcPr>
            <w:tcW w:w="815" w:type="dxa"/>
            <w:shd w:val="clear" w:color="auto" w:fill="auto"/>
            <w:noWrap/>
            <w:vAlign w:val="center"/>
          </w:tcPr>
          <w:p w14:paraId="110ABBA7">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1.733 </w:t>
            </w:r>
          </w:p>
        </w:tc>
        <w:tc>
          <w:tcPr>
            <w:tcW w:w="1502" w:type="dxa"/>
            <w:shd w:val="clear" w:color="auto" w:fill="auto"/>
            <w:noWrap/>
            <w:vAlign w:val="center"/>
          </w:tcPr>
          <w:p w14:paraId="627D1FAF">
            <w:pPr>
              <w:spacing w:line="36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0.306</w:t>
            </w:r>
          </w:p>
        </w:tc>
        <w:tc>
          <w:tcPr>
            <w:tcW w:w="1315" w:type="dxa"/>
            <w:shd w:val="clear" w:color="auto" w:fill="auto"/>
            <w:noWrap/>
            <w:vAlign w:val="center"/>
          </w:tcPr>
          <w:p w14:paraId="4B181A44">
            <w:pPr>
              <w:spacing w:line="36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9</w:t>
            </w:r>
          </w:p>
        </w:tc>
      </w:tr>
      <w:tr w14:paraId="1196B97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181" w:type="dxa"/>
            <w:shd w:val="clear" w:color="auto" w:fill="auto"/>
            <w:noWrap/>
            <w:vAlign w:val="center"/>
          </w:tcPr>
          <w:p w14:paraId="679FCFBB">
            <w:pPr>
              <w:spacing w:line="360" w:lineRule="auto"/>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HY16</w:t>
            </w:r>
          </w:p>
        </w:tc>
        <w:tc>
          <w:tcPr>
            <w:tcW w:w="815" w:type="dxa"/>
            <w:shd w:val="clear" w:color="auto" w:fill="auto"/>
            <w:noWrap/>
            <w:vAlign w:val="center"/>
          </w:tcPr>
          <w:p w14:paraId="7B2A889A">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-0.198 </w:t>
            </w:r>
          </w:p>
        </w:tc>
        <w:tc>
          <w:tcPr>
            <w:tcW w:w="815" w:type="dxa"/>
            <w:shd w:val="clear" w:color="auto" w:fill="auto"/>
            <w:noWrap/>
            <w:vAlign w:val="center"/>
          </w:tcPr>
          <w:p w14:paraId="7F42406D">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1.054 </w:t>
            </w:r>
          </w:p>
        </w:tc>
        <w:tc>
          <w:tcPr>
            <w:tcW w:w="815" w:type="dxa"/>
            <w:shd w:val="clear" w:color="auto" w:fill="auto"/>
            <w:noWrap/>
            <w:vAlign w:val="center"/>
          </w:tcPr>
          <w:p w14:paraId="16108016">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-0.411 </w:t>
            </w:r>
          </w:p>
        </w:tc>
        <w:tc>
          <w:tcPr>
            <w:tcW w:w="799" w:type="dxa"/>
            <w:shd w:val="clear" w:color="auto" w:fill="auto"/>
            <w:noWrap/>
            <w:vAlign w:val="center"/>
          </w:tcPr>
          <w:p w14:paraId="1D58DCF4">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1.500 </w:t>
            </w:r>
          </w:p>
        </w:tc>
        <w:tc>
          <w:tcPr>
            <w:tcW w:w="831" w:type="dxa"/>
            <w:shd w:val="clear" w:color="auto" w:fill="auto"/>
            <w:noWrap/>
            <w:vAlign w:val="center"/>
          </w:tcPr>
          <w:p w14:paraId="75608015">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0.626 </w:t>
            </w:r>
          </w:p>
        </w:tc>
        <w:tc>
          <w:tcPr>
            <w:tcW w:w="815" w:type="dxa"/>
            <w:shd w:val="clear" w:color="auto" w:fill="auto"/>
            <w:noWrap/>
            <w:vAlign w:val="center"/>
          </w:tcPr>
          <w:p w14:paraId="19608D4F">
            <w:pPr>
              <w:spacing w:line="360" w:lineRule="auto"/>
              <w:jc w:val="righ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 xml:space="preserve">0.477 </w:t>
            </w:r>
          </w:p>
        </w:tc>
        <w:tc>
          <w:tcPr>
            <w:tcW w:w="1502" w:type="dxa"/>
            <w:shd w:val="clear" w:color="auto" w:fill="auto"/>
            <w:noWrap/>
            <w:vAlign w:val="center"/>
          </w:tcPr>
          <w:p w14:paraId="6391EEC1">
            <w:pPr>
              <w:spacing w:line="36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0.297</w:t>
            </w:r>
          </w:p>
        </w:tc>
        <w:tc>
          <w:tcPr>
            <w:tcW w:w="1315" w:type="dxa"/>
            <w:shd w:val="clear" w:color="auto" w:fill="auto"/>
            <w:noWrap/>
            <w:vAlign w:val="center"/>
          </w:tcPr>
          <w:p w14:paraId="18601ADE">
            <w:pPr>
              <w:spacing w:line="36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10</w:t>
            </w:r>
          </w:p>
        </w:tc>
      </w:tr>
    </w:tbl>
    <w:p w14:paraId="1C21C532">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textAlignment w:val="auto"/>
        <w:rPr>
          <w:rFonts w:hint="eastAsia" w:ascii="Times New Roman" w:cs="Times New Roman"/>
          <w:i w:val="0"/>
          <w:iCs w:val="0"/>
          <w:caps w:val="0"/>
          <w:color w:val="0F1115"/>
          <w:spacing w:val="0"/>
          <w:sz w:val="28"/>
          <w:szCs w:val="28"/>
          <w:shd w:val="clear" w:fill="FFFFFF"/>
          <w:lang w:val="en-US" w:eastAsia="zh-CN"/>
        </w:rPr>
      </w:pPr>
    </w:p>
    <w:p w14:paraId="66857966">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firstLine="420"/>
        <w:textAlignment w:val="auto"/>
        <w:rPr>
          <w:rFonts w:hint="default" w:ascii="仿宋" w:hAnsi="仿宋" w:eastAsia="仿宋" w:cs="仿宋"/>
          <w:i w:val="0"/>
          <w:iCs w:val="0"/>
          <w:caps w:val="0"/>
          <w:color w:val="0F1115"/>
          <w:spacing w:val="0"/>
          <w:sz w:val="28"/>
          <w:szCs w:val="28"/>
          <w:shd w:val="clear" w:fill="FFFFFF"/>
          <w:lang w:val="en-US" w:eastAsia="zh-CN" w:bidi="ar-SA"/>
        </w:rPr>
      </w:pPr>
      <w:r>
        <w:rPr>
          <w:rFonts w:hint="eastAsia" w:ascii="仿宋" w:hAnsi="仿宋" w:eastAsia="仿宋" w:cs="仿宋"/>
          <w:i w:val="0"/>
          <w:iCs w:val="0"/>
          <w:caps w:val="0"/>
          <w:color w:val="0F1115"/>
          <w:spacing w:val="0"/>
          <w:sz w:val="28"/>
          <w:szCs w:val="28"/>
          <w:shd w:val="clear" w:fill="FFFFFF"/>
          <w:lang w:val="en-US" w:eastAsia="zh-CN" w:bidi="ar-SA"/>
        </w:rPr>
        <w:t>综上所述，本标准草案中设定的种质资源调查方法、收集技术参数、保存条件指标、评价指标体系（生长性状、结实性状、品质性状共12项指标），均得到充分实证支持。2020年，呼中林业局偃松国家级种质资源库建设项目落地实施，该库采用本标准草案规定的技术参数运行，运转良好。</w:t>
      </w:r>
      <w:r>
        <w:rPr>
          <w:rFonts w:hint="default" w:ascii="仿宋" w:hAnsi="仿宋" w:eastAsia="仿宋" w:cs="仿宋"/>
          <w:i w:val="0"/>
          <w:iCs w:val="0"/>
          <w:caps w:val="0"/>
          <w:color w:val="0F1115"/>
          <w:spacing w:val="0"/>
          <w:sz w:val="28"/>
          <w:szCs w:val="28"/>
          <w:shd w:val="clear" w:fill="FFFFFF"/>
          <w:lang w:val="en-US" w:eastAsia="zh-CN" w:bidi="ar-SA"/>
        </w:rPr>
        <w:fldChar w:fldCharType="begin"/>
      </w:r>
      <w:r>
        <w:rPr>
          <w:rFonts w:hint="default" w:ascii="仿宋" w:hAnsi="仿宋" w:eastAsia="仿宋" w:cs="仿宋"/>
          <w:i w:val="0"/>
          <w:iCs w:val="0"/>
          <w:caps w:val="0"/>
          <w:color w:val="0F1115"/>
          <w:spacing w:val="0"/>
          <w:sz w:val="28"/>
          <w:szCs w:val="28"/>
          <w:shd w:val="clear" w:fill="FFFFFF"/>
          <w:lang w:val="en-US" w:eastAsia="zh-CN" w:bidi="ar-SA"/>
        </w:rPr>
        <w:instrText xml:space="preserve"> HYPERLINK "https://www.forestry.gov.cn/c/www/lhgzdt/513425.jhtml" \t "https://chat.deepseek.com/a/chat/s/_blank" </w:instrText>
      </w:r>
      <w:r>
        <w:rPr>
          <w:rFonts w:hint="default" w:ascii="仿宋" w:hAnsi="仿宋" w:eastAsia="仿宋" w:cs="仿宋"/>
          <w:i w:val="0"/>
          <w:iCs w:val="0"/>
          <w:caps w:val="0"/>
          <w:color w:val="0F1115"/>
          <w:spacing w:val="0"/>
          <w:sz w:val="28"/>
          <w:szCs w:val="28"/>
          <w:shd w:val="clear" w:fill="FFFFFF"/>
          <w:lang w:val="en-US" w:eastAsia="zh-CN" w:bidi="ar-SA"/>
        </w:rPr>
        <w:fldChar w:fldCharType="separate"/>
      </w:r>
      <w:r>
        <w:rPr>
          <w:rFonts w:hint="default" w:ascii="仿宋" w:hAnsi="仿宋" w:eastAsia="仿宋" w:cs="仿宋"/>
          <w:i w:val="0"/>
          <w:iCs w:val="0"/>
          <w:caps w:val="0"/>
          <w:color w:val="0F1115"/>
          <w:spacing w:val="0"/>
          <w:sz w:val="28"/>
          <w:szCs w:val="28"/>
          <w:shd w:val="clear" w:fill="FFFFFF"/>
          <w:lang w:val="en-US" w:eastAsia="zh-CN" w:bidi="ar-SA"/>
        </w:rPr>
        <w:fldChar w:fldCharType="end"/>
      </w:r>
      <w:r>
        <w:rPr>
          <w:rFonts w:hint="default" w:ascii="仿宋" w:hAnsi="仿宋" w:eastAsia="仿宋" w:cs="仿宋"/>
          <w:i w:val="0"/>
          <w:iCs w:val="0"/>
          <w:caps w:val="0"/>
          <w:color w:val="0F1115"/>
          <w:spacing w:val="0"/>
          <w:sz w:val="28"/>
          <w:szCs w:val="28"/>
          <w:shd w:val="clear" w:fill="FFFFFF"/>
          <w:lang w:val="en-US" w:eastAsia="zh-CN" w:bidi="ar-SA"/>
        </w:rPr>
        <w:t>验证结果表明：</w:t>
      </w:r>
      <w:r>
        <w:rPr>
          <w:rFonts w:hint="eastAsia" w:ascii="仿宋" w:hAnsi="仿宋" w:eastAsia="仿宋" w:cs="仿宋"/>
          <w:i w:val="0"/>
          <w:iCs w:val="0"/>
          <w:caps w:val="0"/>
          <w:color w:val="0F1115"/>
          <w:spacing w:val="0"/>
          <w:sz w:val="28"/>
          <w:szCs w:val="28"/>
          <w:shd w:val="clear" w:fill="FFFFFF"/>
          <w:lang w:val="en-US" w:eastAsia="zh-CN" w:bidi="ar-SA"/>
        </w:rPr>
        <w:t>本</w:t>
      </w:r>
      <w:r>
        <w:rPr>
          <w:rFonts w:hint="default" w:ascii="仿宋" w:hAnsi="仿宋" w:eastAsia="仿宋" w:cs="仿宋"/>
          <w:i w:val="0"/>
          <w:iCs w:val="0"/>
          <w:caps w:val="0"/>
          <w:color w:val="0F1115"/>
          <w:spacing w:val="0"/>
          <w:sz w:val="28"/>
          <w:szCs w:val="28"/>
          <w:shd w:val="clear" w:fill="FFFFFF"/>
          <w:lang w:val="en-US" w:eastAsia="zh-CN" w:bidi="ar-SA"/>
        </w:rPr>
        <w:t>标准具有可操作性，技术指标合理，能够有效支撑偃松种质资源调查、收集、保存和评价工作的规范化开展。</w:t>
      </w:r>
      <w:bookmarkStart w:id="0" w:name="_GoBack"/>
      <w:bookmarkEnd w:id="0"/>
    </w:p>
    <w:p w14:paraId="21E2B812">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firstLine="420"/>
        <w:textAlignment w:val="auto"/>
        <w:rPr>
          <w:rFonts w:hint="default" w:asciiTheme="minorEastAsia" w:hAnsiTheme="minorEastAsia" w:eastAsiaTheme="minorEastAsia" w:cstheme="minorBidi"/>
          <w:b/>
          <w:bCs/>
          <w:sz w:val="28"/>
          <w:szCs w:val="28"/>
          <w:lang w:val="en-US" w:eastAsia="zh-CN" w:bidi="ar-SA"/>
        </w:rPr>
      </w:pPr>
      <w:r>
        <w:rPr>
          <w:rFonts w:hint="eastAsia" w:asciiTheme="minorEastAsia" w:hAnsiTheme="minorEastAsia" w:eastAsiaTheme="minorEastAsia" w:cstheme="minorBidi"/>
          <w:b/>
          <w:bCs/>
          <w:sz w:val="28"/>
          <w:szCs w:val="28"/>
          <w:lang w:val="en-US" w:eastAsia="zh-CN" w:bidi="ar-SA"/>
        </w:rPr>
        <w:t>（二）</w:t>
      </w:r>
      <w:r>
        <w:rPr>
          <w:rFonts w:hint="default" w:asciiTheme="minorEastAsia" w:hAnsiTheme="minorEastAsia" w:eastAsiaTheme="minorEastAsia" w:cstheme="minorBidi"/>
          <w:b/>
          <w:bCs/>
          <w:sz w:val="28"/>
          <w:szCs w:val="28"/>
          <w:lang w:val="en-US" w:eastAsia="zh-CN" w:bidi="ar-SA"/>
        </w:rPr>
        <w:t>技术经济论证</w:t>
      </w:r>
    </w:p>
    <w:p w14:paraId="41B8D9E7">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firstLine="420"/>
        <w:textAlignment w:val="auto"/>
        <w:rPr>
          <w:rFonts w:hint="eastAsia" w:ascii="仿宋" w:hAnsi="仿宋" w:eastAsia="仿宋" w:cs="仿宋"/>
          <w:i w:val="0"/>
          <w:iCs w:val="0"/>
          <w:caps w:val="0"/>
          <w:color w:val="0F1115"/>
          <w:spacing w:val="0"/>
          <w:sz w:val="28"/>
          <w:szCs w:val="28"/>
          <w:shd w:val="clear" w:fill="FFFFFF"/>
          <w:lang w:val="en-US" w:eastAsia="zh-CN" w:bidi="ar-SA"/>
        </w:rPr>
      </w:pPr>
      <w:r>
        <w:rPr>
          <w:rFonts w:hint="eastAsia" w:ascii="仿宋" w:hAnsi="仿宋" w:eastAsia="仿宋" w:cs="仿宋"/>
          <w:i w:val="0"/>
          <w:iCs w:val="0"/>
          <w:caps w:val="0"/>
          <w:color w:val="0F1115"/>
          <w:spacing w:val="0"/>
          <w:sz w:val="28"/>
          <w:szCs w:val="28"/>
          <w:shd w:val="clear" w:fill="FFFFFF"/>
          <w:lang w:val="en-US" w:eastAsia="zh-CN" w:bidi="ar-SA"/>
        </w:rPr>
        <w:t>1.资源保护带来的产量恢复效益</w:t>
      </w:r>
    </w:p>
    <w:p w14:paraId="096961A5">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firstLine="420"/>
        <w:textAlignment w:val="auto"/>
        <w:rPr>
          <w:rFonts w:hint="eastAsia" w:ascii="仿宋" w:hAnsi="仿宋" w:eastAsia="仿宋" w:cs="仿宋"/>
          <w:i w:val="0"/>
          <w:iCs w:val="0"/>
          <w:caps w:val="0"/>
          <w:color w:val="0F1115"/>
          <w:spacing w:val="0"/>
          <w:sz w:val="28"/>
          <w:szCs w:val="28"/>
          <w:shd w:val="clear" w:fill="FFFFFF"/>
          <w:lang w:val="en-US" w:eastAsia="zh-CN" w:bidi="ar-SA"/>
        </w:rPr>
      </w:pPr>
      <w:r>
        <w:rPr>
          <w:rFonts w:hint="eastAsia" w:ascii="仿宋" w:hAnsi="仿宋" w:eastAsia="仿宋" w:cs="仿宋"/>
          <w:i w:val="0"/>
          <w:iCs w:val="0"/>
          <w:caps w:val="0"/>
          <w:color w:val="0F1115"/>
          <w:spacing w:val="0"/>
          <w:sz w:val="28"/>
          <w:szCs w:val="28"/>
          <w:shd w:val="clear" w:fill="FFFFFF"/>
          <w:lang w:val="en-US" w:eastAsia="zh-CN" w:bidi="ar-SA"/>
        </w:rPr>
        <w:t>呼中林业局偃松资源9万余公顷，丰产期偃松年产量可达9000吨。但长期以来因掠夺性采集，至2024年全局收获产量不足900吨，而2021年尚有2000多吨。</w:t>
      </w:r>
      <w:r>
        <w:rPr>
          <w:rFonts w:hint="eastAsia" w:ascii="仿宋" w:hAnsi="仿宋" w:eastAsia="仿宋" w:cs="仿宋"/>
          <w:i w:val="0"/>
          <w:iCs w:val="0"/>
          <w:caps w:val="0"/>
          <w:color w:val="0F1115"/>
          <w:spacing w:val="0"/>
          <w:sz w:val="28"/>
          <w:szCs w:val="28"/>
          <w:shd w:val="clear" w:fill="FFFFFF"/>
          <w:lang w:val="en-US" w:eastAsia="zh-CN" w:bidi="ar-SA"/>
        </w:rPr>
        <w:fldChar w:fldCharType="begin"/>
      </w:r>
      <w:r>
        <w:rPr>
          <w:rFonts w:hint="eastAsia" w:ascii="仿宋" w:hAnsi="仿宋" w:eastAsia="仿宋" w:cs="仿宋"/>
          <w:i w:val="0"/>
          <w:iCs w:val="0"/>
          <w:caps w:val="0"/>
          <w:color w:val="0F1115"/>
          <w:spacing w:val="0"/>
          <w:sz w:val="28"/>
          <w:szCs w:val="28"/>
          <w:shd w:val="clear" w:fill="FFFFFF"/>
          <w:lang w:val="en-US" w:eastAsia="zh-CN" w:bidi="ar-SA"/>
        </w:rPr>
        <w:instrText xml:space="preserve"> HYPERLINK "http://www.isenlin.cn/sf_71170A5566D5446ABE5B175E8A2CFC05_209_4370F831325.html" \t "https://chat.deepseek.com/a/chat/s/_blank" </w:instrText>
      </w:r>
      <w:r>
        <w:rPr>
          <w:rFonts w:hint="eastAsia" w:ascii="仿宋" w:hAnsi="仿宋" w:eastAsia="仿宋" w:cs="仿宋"/>
          <w:i w:val="0"/>
          <w:iCs w:val="0"/>
          <w:caps w:val="0"/>
          <w:color w:val="0F1115"/>
          <w:spacing w:val="0"/>
          <w:sz w:val="28"/>
          <w:szCs w:val="28"/>
          <w:shd w:val="clear" w:fill="FFFFFF"/>
          <w:lang w:val="en-US" w:eastAsia="zh-CN" w:bidi="ar-SA"/>
        </w:rPr>
        <w:fldChar w:fldCharType="separate"/>
      </w:r>
      <w:r>
        <w:rPr>
          <w:rFonts w:hint="eastAsia" w:ascii="仿宋" w:hAnsi="仿宋" w:eastAsia="仿宋" w:cs="仿宋"/>
          <w:i w:val="0"/>
          <w:iCs w:val="0"/>
          <w:caps w:val="0"/>
          <w:color w:val="0F1115"/>
          <w:spacing w:val="0"/>
          <w:sz w:val="28"/>
          <w:szCs w:val="28"/>
          <w:shd w:val="clear" w:fill="FFFFFF"/>
          <w:lang w:val="en-US" w:eastAsia="zh-CN" w:bidi="ar-SA"/>
        </w:rPr>
        <w:fldChar w:fldCharType="end"/>
      </w:r>
      <w:r>
        <w:rPr>
          <w:rFonts w:hint="eastAsia" w:ascii="仿宋" w:hAnsi="仿宋" w:eastAsia="仿宋" w:cs="仿宋"/>
          <w:i w:val="0"/>
          <w:iCs w:val="0"/>
          <w:caps w:val="0"/>
          <w:color w:val="0F1115"/>
          <w:spacing w:val="0"/>
          <w:sz w:val="28"/>
          <w:szCs w:val="28"/>
          <w:shd w:val="clear" w:fill="FFFFFF"/>
          <w:lang w:val="en-US" w:eastAsia="zh-CN" w:bidi="ar-SA"/>
        </w:rPr>
        <w:t>实施本标准规范的种质资源调查、收集和保护管理制度后，通过制定三年轮采计划、禁止掠青等措施，2025年采集期实际采集1239.22吨，产量恢复明显。据此推测，全面实施后5年内球果产量可回升至2000吨/年以上，按市场收购价10元/公斤计算，年直接采集收入约2000万元。</w:t>
      </w:r>
      <w:r>
        <w:rPr>
          <w:rFonts w:hint="eastAsia" w:ascii="仿宋" w:hAnsi="仿宋" w:eastAsia="仿宋" w:cs="仿宋"/>
          <w:i w:val="0"/>
          <w:iCs w:val="0"/>
          <w:caps w:val="0"/>
          <w:color w:val="0F1115"/>
          <w:spacing w:val="0"/>
          <w:sz w:val="28"/>
          <w:szCs w:val="28"/>
          <w:shd w:val="clear" w:fill="FFFFFF"/>
          <w:lang w:val="en-US" w:eastAsia="zh-CN" w:bidi="ar-SA"/>
        </w:rPr>
        <w:fldChar w:fldCharType="begin"/>
      </w:r>
      <w:r>
        <w:rPr>
          <w:rFonts w:hint="eastAsia" w:ascii="仿宋" w:hAnsi="仿宋" w:eastAsia="仿宋" w:cs="仿宋"/>
          <w:i w:val="0"/>
          <w:iCs w:val="0"/>
          <w:caps w:val="0"/>
          <w:color w:val="0F1115"/>
          <w:spacing w:val="0"/>
          <w:sz w:val="28"/>
          <w:szCs w:val="28"/>
          <w:shd w:val="clear" w:fill="FFFFFF"/>
          <w:lang w:val="en-US" w:eastAsia="zh-CN" w:bidi="ar-SA"/>
        </w:rPr>
        <w:instrText xml:space="preserve"> HYPERLINK "http://www.isenlin.cn/sf_71170A5566D5446ABE5B175E8A2CFC05_209_4370F831325.html" \t "https://chat.deepseek.com/a/chat/s/_blank" </w:instrText>
      </w:r>
      <w:r>
        <w:rPr>
          <w:rFonts w:hint="eastAsia" w:ascii="仿宋" w:hAnsi="仿宋" w:eastAsia="仿宋" w:cs="仿宋"/>
          <w:i w:val="0"/>
          <w:iCs w:val="0"/>
          <w:caps w:val="0"/>
          <w:color w:val="0F1115"/>
          <w:spacing w:val="0"/>
          <w:sz w:val="28"/>
          <w:szCs w:val="28"/>
          <w:shd w:val="clear" w:fill="FFFFFF"/>
          <w:lang w:val="en-US" w:eastAsia="zh-CN" w:bidi="ar-SA"/>
        </w:rPr>
        <w:fldChar w:fldCharType="separate"/>
      </w:r>
      <w:r>
        <w:rPr>
          <w:rFonts w:hint="eastAsia" w:ascii="仿宋" w:hAnsi="仿宋" w:eastAsia="仿宋" w:cs="仿宋"/>
          <w:i w:val="0"/>
          <w:iCs w:val="0"/>
          <w:caps w:val="0"/>
          <w:color w:val="0F1115"/>
          <w:spacing w:val="0"/>
          <w:sz w:val="28"/>
          <w:szCs w:val="28"/>
          <w:shd w:val="clear" w:fill="FFFFFF"/>
          <w:lang w:val="en-US" w:eastAsia="zh-CN" w:bidi="ar-SA"/>
        </w:rPr>
        <w:fldChar w:fldCharType="end"/>
      </w:r>
    </w:p>
    <w:p w14:paraId="7B515B83">
      <w:pPr>
        <w:pStyle w:val="8"/>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firstLine="420"/>
        <w:textAlignment w:val="auto"/>
        <w:rPr>
          <w:rFonts w:hint="eastAsia" w:ascii="仿宋" w:hAnsi="仿宋" w:eastAsia="仿宋" w:cs="仿宋"/>
          <w:i w:val="0"/>
          <w:iCs w:val="0"/>
          <w:caps w:val="0"/>
          <w:color w:val="0F1115"/>
          <w:spacing w:val="0"/>
          <w:sz w:val="28"/>
          <w:szCs w:val="28"/>
          <w:shd w:val="clear" w:fill="FFFFFF"/>
          <w:lang w:val="en-US" w:eastAsia="zh-CN" w:bidi="ar-SA"/>
        </w:rPr>
      </w:pPr>
      <w:r>
        <w:rPr>
          <w:rFonts w:hint="eastAsia" w:ascii="仿宋" w:hAnsi="仿宋" w:eastAsia="仿宋" w:cs="仿宋"/>
          <w:i w:val="0"/>
          <w:iCs w:val="0"/>
          <w:caps w:val="0"/>
          <w:color w:val="0F1115"/>
          <w:spacing w:val="0"/>
          <w:sz w:val="28"/>
          <w:szCs w:val="28"/>
          <w:shd w:val="clear" w:fill="FFFFFF"/>
          <w:lang w:val="en-US" w:eastAsia="zh-CN" w:bidi="ar-SA"/>
        </w:rPr>
        <w:t>优良种质材料繁育增效</w:t>
      </w:r>
    </w:p>
    <w:p w14:paraId="675E1DDF">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firstLine="420"/>
        <w:textAlignment w:val="auto"/>
        <w:rPr>
          <w:rFonts w:hint="eastAsia" w:ascii="仿宋" w:hAnsi="仿宋" w:eastAsia="仿宋" w:cs="仿宋"/>
          <w:i w:val="0"/>
          <w:iCs w:val="0"/>
          <w:caps w:val="0"/>
          <w:color w:val="0F1115"/>
          <w:spacing w:val="0"/>
          <w:sz w:val="28"/>
          <w:szCs w:val="28"/>
          <w:shd w:val="clear" w:fill="FFFFFF"/>
          <w:lang w:val="en-US" w:eastAsia="zh-CN" w:bidi="ar-SA"/>
        </w:rPr>
      </w:pPr>
      <w:r>
        <w:rPr>
          <w:rFonts w:hint="eastAsia" w:ascii="仿宋" w:hAnsi="仿宋" w:eastAsia="仿宋" w:cs="仿宋"/>
          <w:i w:val="0"/>
          <w:iCs w:val="0"/>
          <w:caps w:val="0"/>
          <w:color w:val="0F1115"/>
          <w:spacing w:val="0"/>
          <w:sz w:val="28"/>
          <w:szCs w:val="28"/>
          <w:shd w:val="clear" w:fill="FFFFFF"/>
          <w:lang w:val="en-US" w:eastAsia="zh-CN" w:bidi="ar-SA"/>
        </w:rPr>
        <w:t>通过优树选择和种质资源评价，筛选高产优质材料，种子产量可提高15%。经实地调查，当前呼中区偃松籽年产量约2600余吨，采用优质苗木后预计可增产至3000吨/年以上。</w:t>
      </w:r>
      <w:r>
        <w:rPr>
          <w:rFonts w:hint="eastAsia" w:ascii="仿宋" w:hAnsi="仿宋" w:eastAsia="仿宋" w:cs="仿宋"/>
          <w:i w:val="0"/>
          <w:iCs w:val="0"/>
          <w:caps w:val="0"/>
          <w:color w:val="0F1115"/>
          <w:spacing w:val="0"/>
          <w:sz w:val="28"/>
          <w:szCs w:val="28"/>
          <w:shd w:val="clear" w:fill="FFFFFF"/>
          <w:lang w:val="en-US" w:eastAsia="zh-CN" w:bidi="ar-SA"/>
        </w:rPr>
        <w:fldChar w:fldCharType="begin"/>
      </w:r>
      <w:r>
        <w:rPr>
          <w:rFonts w:hint="eastAsia" w:ascii="仿宋" w:hAnsi="仿宋" w:eastAsia="仿宋" w:cs="仿宋"/>
          <w:i w:val="0"/>
          <w:iCs w:val="0"/>
          <w:caps w:val="0"/>
          <w:color w:val="0F1115"/>
          <w:spacing w:val="0"/>
          <w:sz w:val="28"/>
          <w:szCs w:val="28"/>
          <w:shd w:val="clear" w:fill="FFFFFF"/>
          <w:lang w:val="en-US" w:eastAsia="zh-CN" w:bidi="ar-SA"/>
        </w:rPr>
        <w:instrText xml:space="preserve"> HYPERLINK "https://m.dbw.cn/heilongjiang/system/2022/09/07/058970229.shtml" \t "https://chat.deepseek.com/a/chat/s/_blank" </w:instrText>
      </w:r>
      <w:r>
        <w:rPr>
          <w:rFonts w:hint="eastAsia" w:ascii="仿宋" w:hAnsi="仿宋" w:eastAsia="仿宋" w:cs="仿宋"/>
          <w:i w:val="0"/>
          <w:iCs w:val="0"/>
          <w:caps w:val="0"/>
          <w:color w:val="0F1115"/>
          <w:spacing w:val="0"/>
          <w:sz w:val="28"/>
          <w:szCs w:val="28"/>
          <w:shd w:val="clear" w:fill="FFFFFF"/>
          <w:lang w:val="en-US" w:eastAsia="zh-CN" w:bidi="ar-SA"/>
        </w:rPr>
        <w:fldChar w:fldCharType="separate"/>
      </w:r>
      <w:r>
        <w:rPr>
          <w:rFonts w:hint="eastAsia" w:ascii="仿宋" w:hAnsi="仿宋" w:eastAsia="仿宋" w:cs="仿宋"/>
          <w:i w:val="0"/>
          <w:iCs w:val="0"/>
          <w:caps w:val="0"/>
          <w:color w:val="0F1115"/>
          <w:spacing w:val="0"/>
          <w:sz w:val="28"/>
          <w:szCs w:val="28"/>
          <w:shd w:val="clear" w:fill="FFFFFF"/>
          <w:lang w:val="en-US" w:eastAsia="zh-CN" w:bidi="ar-SA"/>
        </w:rPr>
        <w:fldChar w:fldCharType="end"/>
      </w:r>
      <w:r>
        <w:rPr>
          <w:rFonts w:hint="eastAsia" w:ascii="仿宋" w:hAnsi="仿宋" w:eastAsia="仿宋" w:cs="仿宋"/>
          <w:i w:val="0"/>
          <w:iCs w:val="0"/>
          <w:caps w:val="0"/>
          <w:color w:val="0F1115"/>
          <w:spacing w:val="0"/>
          <w:sz w:val="28"/>
          <w:szCs w:val="28"/>
          <w:shd w:val="clear" w:fill="FFFFFF"/>
          <w:lang w:val="en-US" w:eastAsia="zh-CN" w:bidi="ar-SA"/>
        </w:rPr>
        <w:t>以每公斤松籽销售价40元计，年新增产值约1600万元。</w:t>
      </w:r>
    </w:p>
    <w:p w14:paraId="6FF19192">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firstLine="420"/>
        <w:textAlignment w:val="auto"/>
        <w:rPr>
          <w:rFonts w:hint="eastAsia" w:ascii="仿宋" w:hAnsi="仿宋" w:eastAsia="仿宋" w:cs="仿宋"/>
          <w:i w:val="0"/>
          <w:iCs w:val="0"/>
          <w:caps w:val="0"/>
          <w:color w:val="0F1115"/>
          <w:spacing w:val="0"/>
          <w:sz w:val="28"/>
          <w:szCs w:val="28"/>
          <w:shd w:val="clear" w:fill="FFFFFF"/>
          <w:lang w:val="en-US" w:eastAsia="zh-CN" w:bidi="ar-SA"/>
        </w:rPr>
      </w:pPr>
      <w:r>
        <w:rPr>
          <w:rFonts w:hint="eastAsia" w:ascii="仿宋" w:hAnsi="仿宋" w:eastAsia="仿宋" w:cs="仿宋"/>
          <w:i w:val="0"/>
          <w:iCs w:val="0"/>
          <w:caps w:val="0"/>
          <w:color w:val="0F1115"/>
          <w:spacing w:val="0"/>
          <w:sz w:val="28"/>
          <w:szCs w:val="28"/>
          <w:shd w:val="clear" w:fill="FFFFFF"/>
          <w:lang w:val="en-US" w:eastAsia="zh-CN" w:bidi="ar-SA"/>
        </w:rPr>
        <w:t>3.深加工效益</w:t>
      </w:r>
    </w:p>
    <w:p w14:paraId="75F48D25">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firstLine="420"/>
        <w:textAlignment w:val="auto"/>
        <w:rPr>
          <w:rFonts w:hint="eastAsia" w:ascii="仿宋" w:hAnsi="仿宋" w:eastAsia="仿宋" w:cs="仿宋"/>
          <w:i w:val="0"/>
          <w:iCs w:val="0"/>
          <w:caps w:val="0"/>
          <w:color w:val="0F1115"/>
          <w:spacing w:val="0"/>
          <w:sz w:val="28"/>
          <w:szCs w:val="28"/>
          <w:highlight w:val="none"/>
          <w:shd w:val="clear" w:fill="FFFFFF"/>
          <w:lang w:val="en-US" w:eastAsia="zh-CN" w:bidi="ar-SA"/>
        </w:rPr>
      </w:pPr>
      <w:r>
        <w:rPr>
          <w:rFonts w:hint="eastAsia" w:ascii="仿宋" w:hAnsi="仿宋" w:eastAsia="仿宋" w:cs="仿宋"/>
          <w:i w:val="0"/>
          <w:iCs w:val="0"/>
          <w:caps w:val="0"/>
          <w:color w:val="0F1115"/>
          <w:spacing w:val="0"/>
          <w:sz w:val="28"/>
          <w:szCs w:val="28"/>
          <w:shd w:val="clear" w:fill="FFFFFF"/>
          <w:lang w:val="en-US" w:eastAsia="zh-CN" w:bidi="ar-SA"/>
        </w:rPr>
        <w:t>偃松油脂含量高达65%，不饱和脂肪酸含量在90%以上。当前深加工产品已开发出偃松仁粉、偃松仁露饮料、初榨偃松油等多个系列。</w:t>
      </w:r>
      <w:r>
        <w:rPr>
          <w:rFonts w:hint="eastAsia" w:ascii="仿宋" w:hAnsi="仿宋" w:eastAsia="仿宋" w:cs="仿宋"/>
          <w:i w:val="0"/>
          <w:iCs w:val="0"/>
          <w:caps w:val="0"/>
          <w:color w:val="0F1115"/>
          <w:spacing w:val="0"/>
          <w:sz w:val="28"/>
          <w:szCs w:val="28"/>
          <w:shd w:val="clear" w:fill="FFFFFF"/>
          <w:lang w:val="en-US" w:eastAsia="zh-CN" w:bidi="ar-SA"/>
        </w:rPr>
        <w:fldChar w:fldCharType="begin"/>
      </w:r>
      <w:r>
        <w:rPr>
          <w:rFonts w:hint="eastAsia" w:ascii="仿宋" w:hAnsi="仿宋" w:eastAsia="仿宋" w:cs="仿宋"/>
          <w:i w:val="0"/>
          <w:iCs w:val="0"/>
          <w:caps w:val="0"/>
          <w:color w:val="0F1115"/>
          <w:spacing w:val="0"/>
          <w:sz w:val="28"/>
          <w:szCs w:val="28"/>
          <w:shd w:val="clear" w:fill="FFFFFF"/>
          <w:lang w:val="en-US" w:eastAsia="zh-CN" w:bidi="ar-SA"/>
        </w:rPr>
        <w:instrText xml:space="preserve"> HYPERLINK "https://m.dbw.cn/heilongjiang/system/2022/09/07/058970229.shtml" \t "https://chat.deepseek.com/a/chat/s/_blank" </w:instrText>
      </w:r>
      <w:r>
        <w:rPr>
          <w:rFonts w:hint="eastAsia" w:ascii="仿宋" w:hAnsi="仿宋" w:eastAsia="仿宋" w:cs="仿宋"/>
          <w:i w:val="0"/>
          <w:iCs w:val="0"/>
          <w:caps w:val="0"/>
          <w:color w:val="0F1115"/>
          <w:spacing w:val="0"/>
          <w:sz w:val="28"/>
          <w:szCs w:val="28"/>
          <w:shd w:val="clear" w:fill="FFFFFF"/>
          <w:lang w:val="en-US" w:eastAsia="zh-CN" w:bidi="ar-SA"/>
        </w:rPr>
        <w:fldChar w:fldCharType="separate"/>
      </w:r>
      <w:r>
        <w:rPr>
          <w:rFonts w:hint="eastAsia" w:ascii="仿宋" w:hAnsi="仿宋" w:eastAsia="仿宋" w:cs="仿宋"/>
          <w:i w:val="0"/>
          <w:iCs w:val="0"/>
          <w:caps w:val="0"/>
          <w:color w:val="0F1115"/>
          <w:spacing w:val="0"/>
          <w:sz w:val="28"/>
          <w:szCs w:val="28"/>
          <w:shd w:val="clear" w:fill="FFFFFF"/>
          <w:lang w:val="en-US" w:eastAsia="zh-CN" w:bidi="ar-SA"/>
        </w:rPr>
        <w:fldChar w:fldCharType="end"/>
      </w:r>
      <w:r>
        <w:rPr>
          <w:rFonts w:hint="eastAsia" w:ascii="仿宋" w:hAnsi="仿宋" w:eastAsia="仿宋" w:cs="仿宋"/>
          <w:i w:val="0"/>
          <w:iCs w:val="0"/>
          <w:caps w:val="0"/>
          <w:color w:val="0F1115"/>
          <w:spacing w:val="0"/>
          <w:sz w:val="28"/>
          <w:szCs w:val="28"/>
          <w:shd w:val="clear" w:fill="FFFFFF"/>
          <w:lang w:val="en-US" w:eastAsia="zh-CN" w:bidi="ar-SA"/>
        </w:rPr>
        <w:t>按年加工3000吨原料计算，深加工后产值可达原料价值的3</w:t>
      </w:r>
      <w:r>
        <w:rPr>
          <w:rFonts w:hint="eastAsia" w:ascii="仿宋" w:hAnsi="仿宋" w:eastAsia="仿宋" w:cs="仿宋"/>
          <w:i w:val="0"/>
          <w:iCs w:val="0"/>
          <w:caps w:val="0"/>
          <w:color w:val="0F1115"/>
          <w:spacing w:val="0"/>
          <w:sz w:val="28"/>
          <w:szCs w:val="28"/>
          <w:shd w:val="clear" w:fill="FFFFFF"/>
          <w:lang w:val="en-US" w:eastAsia="zh-CN"/>
        </w:rPr>
        <w:t>～</w:t>
      </w:r>
      <w:r>
        <w:rPr>
          <w:rFonts w:hint="eastAsia" w:ascii="仿宋" w:hAnsi="仿宋" w:eastAsia="仿宋" w:cs="仿宋"/>
          <w:i w:val="0"/>
          <w:iCs w:val="0"/>
          <w:caps w:val="0"/>
          <w:color w:val="0F1115"/>
          <w:spacing w:val="0"/>
          <w:sz w:val="28"/>
          <w:szCs w:val="28"/>
          <w:shd w:val="clear" w:fill="FFFFFF"/>
          <w:lang w:val="en-US" w:eastAsia="zh-CN" w:bidi="ar-SA"/>
        </w:rPr>
        <w:t>5倍，预计</w:t>
      </w:r>
      <w:r>
        <w:rPr>
          <w:rFonts w:hint="eastAsia" w:ascii="仿宋" w:hAnsi="仿宋" w:eastAsia="仿宋" w:cs="仿宋"/>
          <w:i w:val="0"/>
          <w:iCs w:val="0"/>
          <w:caps w:val="0"/>
          <w:color w:val="0F1115"/>
          <w:spacing w:val="0"/>
          <w:sz w:val="28"/>
          <w:szCs w:val="28"/>
          <w:highlight w:val="none"/>
          <w:shd w:val="clear" w:fill="FFFFFF"/>
          <w:lang w:val="en-US" w:eastAsia="zh-CN" w:bidi="ar-SA"/>
        </w:rPr>
        <w:t>年加工产值可达上亿元。</w:t>
      </w:r>
    </w:p>
    <w:p w14:paraId="5FA0A1DA">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firstLine="420"/>
        <w:textAlignment w:val="auto"/>
        <w:rPr>
          <w:rFonts w:hint="default" w:asciiTheme="minorEastAsia" w:hAnsiTheme="minorEastAsia" w:eastAsiaTheme="minorEastAsia" w:cstheme="minorBidi"/>
          <w:b/>
          <w:bCs/>
          <w:sz w:val="28"/>
          <w:szCs w:val="28"/>
          <w:lang w:val="en-US" w:eastAsia="zh-CN" w:bidi="ar-SA"/>
        </w:rPr>
      </w:pPr>
      <w:r>
        <w:rPr>
          <w:rFonts w:hint="eastAsia" w:asciiTheme="minorEastAsia" w:hAnsiTheme="minorEastAsia" w:eastAsiaTheme="minorEastAsia" w:cstheme="minorBidi"/>
          <w:b/>
          <w:bCs/>
          <w:sz w:val="28"/>
          <w:szCs w:val="28"/>
          <w:lang w:val="en-US" w:eastAsia="zh-CN" w:bidi="ar-SA"/>
        </w:rPr>
        <w:t>（三）</w:t>
      </w:r>
      <w:r>
        <w:rPr>
          <w:rFonts w:hint="default" w:asciiTheme="minorEastAsia" w:hAnsiTheme="minorEastAsia" w:eastAsiaTheme="minorEastAsia" w:cstheme="minorBidi"/>
          <w:b/>
          <w:bCs/>
          <w:sz w:val="28"/>
          <w:szCs w:val="28"/>
          <w:lang w:val="en-US" w:eastAsia="zh-CN" w:bidi="ar-SA"/>
        </w:rPr>
        <w:t>预期的经济效果</w:t>
      </w:r>
    </w:p>
    <w:p w14:paraId="15ACBBC6">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firstLine="420"/>
        <w:textAlignment w:val="auto"/>
        <w:rPr>
          <w:rFonts w:hint="eastAsia" w:ascii="Times New Roman" w:eastAsia="Segoe UI" w:cs="Times New Roman"/>
          <w:i w:val="0"/>
          <w:iCs w:val="0"/>
          <w:caps w:val="0"/>
          <w:color w:val="0F1115"/>
          <w:spacing w:val="0"/>
          <w:sz w:val="28"/>
          <w:szCs w:val="28"/>
          <w:shd w:val="clear" w:fill="FFFFFF"/>
          <w:lang w:val="en-US" w:eastAsia="zh-CN"/>
        </w:rPr>
      </w:pPr>
      <w:r>
        <w:rPr>
          <w:rFonts w:hint="eastAsia" w:ascii="Times New Roman" w:eastAsia="Segoe UI" w:cs="Times New Roman"/>
          <w:i w:val="0"/>
          <w:iCs w:val="0"/>
          <w:caps w:val="0"/>
          <w:color w:val="0F1115"/>
          <w:spacing w:val="0"/>
          <w:sz w:val="28"/>
          <w:szCs w:val="28"/>
          <w:shd w:val="clear" w:fill="FFFFFF"/>
          <w:lang w:val="en-US" w:eastAsia="zh-CN"/>
        </w:rPr>
        <w:t>本标准</w:t>
      </w:r>
      <w:r>
        <w:rPr>
          <w:rFonts w:hint="default" w:ascii="Times New Roman" w:eastAsia="Segoe UI" w:cs="Times New Roman"/>
          <w:i w:val="0"/>
          <w:iCs w:val="0"/>
          <w:caps w:val="0"/>
          <w:color w:val="0F1115"/>
          <w:spacing w:val="0"/>
          <w:sz w:val="28"/>
          <w:szCs w:val="28"/>
          <w:shd w:val="clear" w:fill="FFFFFF"/>
          <w:lang w:val="en-US" w:eastAsia="zh-CN"/>
        </w:rPr>
        <w:t>在种质资源高效保存、良种选育推广、产品产值提升等方面可带来的直接和间接经济效益。经济效益方面，偃松</w:t>
      </w:r>
      <w:r>
        <w:rPr>
          <w:rFonts w:hint="eastAsia" w:ascii="Times New Roman" w:eastAsia="Segoe UI" w:cs="Times New Roman"/>
          <w:i w:val="0"/>
          <w:iCs w:val="0"/>
          <w:caps w:val="0"/>
          <w:color w:val="0F1115"/>
          <w:spacing w:val="0"/>
          <w:sz w:val="28"/>
          <w:szCs w:val="28"/>
          <w:shd w:val="clear" w:fill="FFFFFF"/>
          <w:lang w:val="en-US" w:eastAsia="zh-CN"/>
        </w:rPr>
        <w:t>球</w:t>
      </w:r>
      <w:r>
        <w:rPr>
          <w:rFonts w:hint="default" w:ascii="Times New Roman" w:eastAsia="Segoe UI" w:cs="Times New Roman"/>
          <w:i w:val="0"/>
          <w:iCs w:val="0"/>
          <w:caps w:val="0"/>
          <w:color w:val="0F1115"/>
          <w:spacing w:val="0"/>
          <w:sz w:val="28"/>
          <w:szCs w:val="28"/>
          <w:shd w:val="clear" w:fill="FFFFFF"/>
          <w:lang w:val="en-US" w:eastAsia="zh-CN"/>
        </w:rPr>
        <w:t>果可创造年经济产值上亿元，种质资源保护和良种推广有助于提高结实量和</w:t>
      </w:r>
      <w:r>
        <w:rPr>
          <w:rFonts w:hint="eastAsia" w:ascii="Times New Roman" w:eastAsia="Segoe UI" w:cs="Times New Roman"/>
          <w:i w:val="0"/>
          <w:iCs w:val="0"/>
          <w:caps w:val="0"/>
          <w:color w:val="0F1115"/>
          <w:spacing w:val="0"/>
          <w:sz w:val="28"/>
          <w:szCs w:val="28"/>
          <w:shd w:val="clear" w:fill="FFFFFF"/>
          <w:lang w:val="en-US" w:eastAsia="zh-CN"/>
        </w:rPr>
        <w:t>球果</w:t>
      </w:r>
      <w:r>
        <w:rPr>
          <w:rFonts w:hint="default" w:ascii="Times New Roman" w:eastAsia="Segoe UI" w:cs="Times New Roman"/>
          <w:i w:val="0"/>
          <w:iCs w:val="0"/>
          <w:caps w:val="0"/>
          <w:color w:val="0F1115"/>
          <w:spacing w:val="0"/>
          <w:sz w:val="28"/>
          <w:szCs w:val="28"/>
          <w:shd w:val="clear" w:fill="FFFFFF"/>
          <w:lang w:val="en-US" w:eastAsia="zh-CN"/>
        </w:rPr>
        <w:t>品质</w:t>
      </w:r>
      <w:r>
        <w:rPr>
          <w:rFonts w:hint="default" w:ascii="Times New Roman" w:eastAsia="Segoe UI" w:cs="Times New Roman"/>
          <w:i w:val="0"/>
          <w:iCs w:val="0"/>
          <w:caps w:val="0"/>
          <w:color w:val="0F1115"/>
          <w:spacing w:val="0"/>
          <w:sz w:val="28"/>
          <w:szCs w:val="28"/>
          <w:shd w:val="clear" w:fill="FFFFFF"/>
          <w:lang w:val="en-US" w:eastAsia="zh-CN"/>
        </w:rPr>
        <w:fldChar w:fldCharType="begin"/>
      </w:r>
      <w:r>
        <w:rPr>
          <w:rFonts w:hint="default" w:ascii="Times New Roman" w:eastAsia="Segoe UI" w:cs="Times New Roman"/>
          <w:i w:val="0"/>
          <w:iCs w:val="0"/>
          <w:caps w:val="0"/>
          <w:color w:val="0F1115"/>
          <w:spacing w:val="0"/>
          <w:sz w:val="28"/>
          <w:szCs w:val="28"/>
          <w:shd w:val="clear" w:fill="FFFFFF"/>
          <w:lang w:val="en-US" w:eastAsia="zh-CN"/>
        </w:rPr>
        <w:instrText xml:space="preserve"> HYPERLINK "http://www.greentimes.com/greentimepaper/html/2023-07/10/content_3368775.htm" \t "https://chat.deepseek.com/a/chat/s/_blank" </w:instrText>
      </w:r>
      <w:r>
        <w:rPr>
          <w:rFonts w:hint="default" w:ascii="Times New Roman" w:eastAsia="Segoe UI" w:cs="Times New Roman"/>
          <w:i w:val="0"/>
          <w:iCs w:val="0"/>
          <w:caps w:val="0"/>
          <w:color w:val="0F1115"/>
          <w:spacing w:val="0"/>
          <w:sz w:val="28"/>
          <w:szCs w:val="28"/>
          <w:shd w:val="clear" w:fill="FFFFFF"/>
          <w:lang w:val="en-US" w:eastAsia="zh-CN"/>
        </w:rPr>
        <w:fldChar w:fldCharType="separate"/>
      </w:r>
      <w:r>
        <w:rPr>
          <w:rFonts w:hint="default" w:ascii="Times New Roman" w:eastAsia="Segoe UI" w:cs="Times New Roman"/>
          <w:i w:val="0"/>
          <w:iCs w:val="0"/>
          <w:caps w:val="0"/>
          <w:color w:val="0F1115"/>
          <w:spacing w:val="0"/>
          <w:sz w:val="28"/>
          <w:szCs w:val="28"/>
          <w:shd w:val="clear" w:fill="FFFFFF"/>
          <w:lang w:val="en-US" w:eastAsia="zh-CN"/>
        </w:rPr>
        <w:fldChar w:fldCharType="end"/>
      </w:r>
      <w:r>
        <w:rPr>
          <w:rFonts w:hint="default" w:ascii="Times New Roman" w:eastAsia="Segoe UI" w:cs="Times New Roman"/>
          <w:i w:val="0"/>
          <w:iCs w:val="0"/>
          <w:caps w:val="0"/>
          <w:color w:val="0F1115"/>
          <w:spacing w:val="0"/>
          <w:sz w:val="28"/>
          <w:szCs w:val="28"/>
          <w:shd w:val="clear" w:fill="FFFFFF"/>
          <w:lang w:val="en-US" w:eastAsia="zh-CN"/>
        </w:rPr>
        <w:t>。生态效益方面，偃松在高寒地区水土保持和植被恢复中发挥重要生态调节功能。社会效益方面，</w:t>
      </w:r>
      <w:r>
        <w:rPr>
          <w:rFonts w:hint="eastAsia" w:ascii="Times New Roman" w:eastAsia="Segoe UI" w:cs="Times New Roman"/>
          <w:i w:val="0"/>
          <w:iCs w:val="0"/>
          <w:caps w:val="0"/>
          <w:color w:val="0F1115"/>
          <w:spacing w:val="0"/>
          <w:sz w:val="28"/>
          <w:szCs w:val="28"/>
          <w:shd w:val="clear" w:fill="FFFFFF"/>
          <w:lang w:val="en-US" w:eastAsia="zh-CN"/>
        </w:rPr>
        <w:t>本</w:t>
      </w:r>
      <w:r>
        <w:rPr>
          <w:rFonts w:hint="default" w:ascii="Times New Roman" w:eastAsia="Segoe UI" w:cs="Times New Roman"/>
          <w:i w:val="0"/>
          <w:iCs w:val="0"/>
          <w:caps w:val="0"/>
          <w:color w:val="0F1115"/>
          <w:spacing w:val="0"/>
          <w:sz w:val="28"/>
          <w:szCs w:val="28"/>
          <w:shd w:val="clear" w:fill="FFFFFF"/>
          <w:lang w:val="en-US" w:eastAsia="zh-CN"/>
        </w:rPr>
        <w:t>标准编制</w:t>
      </w:r>
      <w:r>
        <w:rPr>
          <w:rFonts w:hint="eastAsia" w:ascii="Times New Roman" w:eastAsia="Segoe UI" w:cs="Times New Roman"/>
          <w:i w:val="0"/>
          <w:iCs w:val="0"/>
          <w:caps w:val="0"/>
          <w:color w:val="0F1115"/>
          <w:spacing w:val="0"/>
          <w:sz w:val="28"/>
          <w:szCs w:val="28"/>
          <w:shd w:val="clear" w:fill="FFFFFF"/>
          <w:lang w:val="en-US" w:eastAsia="zh-CN"/>
        </w:rPr>
        <w:t>和</w:t>
      </w:r>
      <w:r>
        <w:rPr>
          <w:rFonts w:hint="default" w:ascii="Times New Roman" w:eastAsia="Segoe UI" w:cs="Times New Roman"/>
          <w:i w:val="0"/>
          <w:iCs w:val="0"/>
          <w:caps w:val="0"/>
          <w:color w:val="0F1115"/>
          <w:spacing w:val="0"/>
          <w:sz w:val="28"/>
          <w:szCs w:val="28"/>
          <w:shd w:val="clear" w:fill="FFFFFF"/>
          <w:lang w:val="en-US" w:eastAsia="zh-CN"/>
        </w:rPr>
        <w:t>实施将促进偃松种质资源科学保护和</w:t>
      </w:r>
      <w:r>
        <w:rPr>
          <w:rFonts w:hint="eastAsia" w:ascii="Times New Roman" w:eastAsia="Segoe UI" w:cs="Times New Roman"/>
          <w:i w:val="0"/>
          <w:iCs w:val="0"/>
          <w:caps w:val="0"/>
          <w:color w:val="0F1115"/>
          <w:spacing w:val="0"/>
          <w:sz w:val="28"/>
          <w:szCs w:val="28"/>
          <w:shd w:val="clear" w:fill="FFFFFF"/>
          <w:lang w:val="en-US" w:eastAsia="zh-CN"/>
        </w:rPr>
        <w:t>高效</w:t>
      </w:r>
      <w:r>
        <w:rPr>
          <w:rFonts w:hint="default" w:ascii="Times New Roman" w:eastAsia="Segoe UI" w:cs="Times New Roman"/>
          <w:i w:val="0"/>
          <w:iCs w:val="0"/>
          <w:caps w:val="0"/>
          <w:color w:val="0F1115"/>
          <w:spacing w:val="0"/>
          <w:sz w:val="28"/>
          <w:szCs w:val="28"/>
          <w:shd w:val="clear" w:fill="FFFFFF"/>
          <w:lang w:val="en-US" w:eastAsia="zh-CN"/>
        </w:rPr>
        <w:t>利用，保</w:t>
      </w:r>
      <w:r>
        <w:rPr>
          <w:rFonts w:hint="eastAsia" w:ascii="Times New Roman" w:eastAsia="Segoe UI" w:cs="Times New Roman"/>
          <w:i w:val="0"/>
          <w:iCs w:val="0"/>
          <w:caps w:val="0"/>
          <w:color w:val="0F1115"/>
          <w:spacing w:val="0"/>
          <w:sz w:val="28"/>
          <w:szCs w:val="28"/>
          <w:shd w:val="clear" w:fill="FFFFFF"/>
          <w:lang w:val="en-US" w:eastAsia="zh-CN"/>
        </w:rPr>
        <w:t>实现</w:t>
      </w:r>
      <w:r>
        <w:rPr>
          <w:rFonts w:hint="default" w:ascii="Times New Roman" w:eastAsia="Segoe UI" w:cs="Times New Roman"/>
          <w:i w:val="0"/>
          <w:iCs w:val="0"/>
          <w:caps w:val="0"/>
          <w:color w:val="0F1115"/>
          <w:spacing w:val="0"/>
          <w:sz w:val="28"/>
          <w:szCs w:val="28"/>
          <w:shd w:val="clear" w:fill="FFFFFF"/>
          <w:lang w:val="en-US" w:eastAsia="zh-CN"/>
        </w:rPr>
        <w:t>林区百姓</w:t>
      </w:r>
      <w:r>
        <w:rPr>
          <w:rFonts w:hint="eastAsia" w:ascii="Times New Roman" w:eastAsia="Segoe UI" w:cs="Times New Roman"/>
          <w:i w:val="0"/>
          <w:iCs w:val="0"/>
          <w:caps w:val="0"/>
          <w:color w:val="0F1115"/>
          <w:spacing w:val="0"/>
          <w:sz w:val="28"/>
          <w:szCs w:val="28"/>
          <w:shd w:val="clear" w:fill="FFFFFF"/>
          <w:lang w:val="en-US" w:eastAsia="zh-CN"/>
        </w:rPr>
        <w:t>持续</w:t>
      </w:r>
      <w:r>
        <w:rPr>
          <w:rFonts w:hint="default" w:ascii="Times New Roman" w:eastAsia="Segoe UI" w:cs="Times New Roman"/>
          <w:i w:val="0"/>
          <w:iCs w:val="0"/>
          <w:caps w:val="0"/>
          <w:color w:val="0F1115"/>
          <w:spacing w:val="0"/>
          <w:sz w:val="28"/>
          <w:szCs w:val="28"/>
          <w:shd w:val="clear" w:fill="FFFFFF"/>
          <w:lang w:val="en-US" w:eastAsia="zh-CN"/>
        </w:rPr>
        <w:t>增收</w:t>
      </w:r>
      <w:r>
        <w:rPr>
          <w:rFonts w:hint="default" w:ascii="Times New Roman" w:eastAsia="Segoe UI" w:cs="Times New Roman"/>
          <w:i w:val="0"/>
          <w:iCs w:val="0"/>
          <w:caps w:val="0"/>
          <w:color w:val="0F1115"/>
          <w:spacing w:val="0"/>
          <w:sz w:val="28"/>
          <w:szCs w:val="28"/>
          <w:shd w:val="clear" w:fill="FFFFFF"/>
          <w:lang w:val="en-US" w:eastAsia="zh-CN"/>
        </w:rPr>
        <w:fldChar w:fldCharType="begin"/>
      </w:r>
      <w:r>
        <w:rPr>
          <w:rFonts w:hint="default" w:ascii="Times New Roman" w:eastAsia="Segoe UI" w:cs="Times New Roman"/>
          <w:i w:val="0"/>
          <w:iCs w:val="0"/>
          <w:caps w:val="0"/>
          <w:color w:val="0F1115"/>
          <w:spacing w:val="0"/>
          <w:sz w:val="28"/>
          <w:szCs w:val="28"/>
          <w:shd w:val="clear" w:fill="FFFFFF"/>
          <w:lang w:val="en-US" w:eastAsia="zh-CN"/>
        </w:rPr>
        <w:instrText xml:space="preserve"> HYPERLINK "http://www.greentimes.com/greentimepaper/html/2023-07/10/content_3368775.htm" \t "https://chat.deepseek.com/a/chat/s/_blank" </w:instrText>
      </w:r>
      <w:r>
        <w:rPr>
          <w:rFonts w:hint="default" w:ascii="Times New Roman" w:eastAsia="Segoe UI" w:cs="Times New Roman"/>
          <w:i w:val="0"/>
          <w:iCs w:val="0"/>
          <w:caps w:val="0"/>
          <w:color w:val="0F1115"/>
          <w:spacing w:val="0"/>
          <w:sz w:val="28"/>
          <w:szCs w:val="28"/>
          <w:shd w:val="clear" w:fill="FFFFFF"/>
          <w:lang w:val="en-US" w:eastAsia="zh-CN"/>
        </w:rPr>
        <w:fldChar w:fldCharType="separate"/>
      </w:r>
      <w:r>
        <w:rPr>
          <w:rFonts w:hint="default" w:ascii="Times New Roman" w:eastAsia="Segoe UI" w:cs="Times New Roman"/>
          <w:i w:val="0"/>
          <w:iCs w:val="0"/>
          <w:caps w:val="0"/>
          <w:color w:val="0F1115"/>
          <w:spacing w:val="0"/>
          <w:sz w:val="28"/>
          <w:szCs w:val="28"/>
          <w:shd w:val="clear" w:fill="FFFFFF"/>
          <w:lang w:val="en-US" w:eastAsia="zh-CN"/>
        </w:rPr>
        <w:fldChar w:fldCharType="end"/>
      </w:r>
      <w:r>
        <w:rPr>
          <w:rFonts w:hint="default" w:ascii="Times New Roman" w:eastAsia="Segoe UI" w:cs="Times New Roman"/>
          <w:i w:val="0"/>
          <w:iCs w:val="0"/>
          <w:caps w:val="0"/>
          <w:color w:val="0F1115"/>
          <w:spacing w:val="0"/>
          <w:sz w:val="28"/>
          <w:szCs w:val="28"/>
          <w:shd w:val="clear" w:fill="FFFFFF"/>
          <w:lang w:val="en-US" w:eastAsia="zh-CN"/>
        </w:rPr>
        <w:t>。</w:t>
      </w:r>
    </w:p>
    <w:p w14:paraId="3E23855A">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left="0" w:leftChars="0" w:firstLine="0" w:firstLineChars="0"/>
        <w:textAlignment w:val="auto"/>
        <w:rPr>
          <w:rFonts w:hint="eastAsia" w:asciiTheme="minorEastAsia" w:hAnsiTheme="minorEastAsia" w:eastAsiaTheme="minorEastAsia" w:cstheme="minorBidi"/>
          <w:b/>
          <w:bCs/>
          <w:sz w:val="28"/>
          <w:szCs w:val="28"/>
          <w:lang w:val="en-US" w:eastAsia="zh-CN" w:bidi="ar-SA"/>
        </w:rPr>
      </w:pPr>
      <w:r>
        <w:rPr>
          <w:rFonts w:hint="eastAsia" w:asciiTheme="minorEastAsia" w:hAnsiTheme="minorEastAsia" w:eastAsiaTheme="minorEastAsia" w:cstheme="minorBidi"/>
          <w:b/>
          <w:bCs/>
          <w:sz w:val="28"/>
          <w:szCs w:val="28"/>
          <w:lang w:val="en-US" w:eastAsia="zh-CN" w:bidi="ar-SA"/>
        </w:rPr>
        <w:t>四、标准涉及的相关知识产权说明</w:t>
      </w:r>
    </w:p>
    <w:p w14:paraId="4A927B93">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firstLine="420"/>
        <w:textAlignment w:val="auto"/>
        <w:rPr>
          <w:rFonts w:hint="eastAsia" w:ascii="Times New Roman" w:eastAsia="Segoe UI" w:cs="Times New Roman"/>
          <w:i w:val="0"/>
          <w:iCs w:val="0"/>
          <w:caps w:val="0"/>
          <w:color w:val="0F1115"/>
          <w:spacing w:val="0"/>
          <w:sz w:val="28"/>
          <w:szCs w:val="28"/>
          <w:shd w:val="clear" w:fill="FFFFFF"/>
          <w:lang w:val="en-US" w:eastAsia="zh-CN"/>
        </w:rPr>
      </w:pPr>
      <w:r>
        <w:rPr>
          <w:rFonts w:hint="default" w:ascii="Times New Roman" w:eastAsia="Segoe UI" w:cs="Times New Roman"/>
          <w:i w:val="0"/>
          <w:iCs w:val="0"/>
          <w:caps w:val="0"/>
          <w:color w:val="0F1115"/>
          <w:spacing w:val="0"/>
          <w:sz w:val="28"/>
          <w:szCs w:val="28"/>
          <w:shd w:val="clear" w:fill="FFFFFF"/>
          <w:lang w:val="en-US" w:eastAsia="zh-CN"/>
        </w:rPr>
        <w:t>本标准不涉及专利或知识产权问题。标准内容中引用的技术方法均来源于公开文献和项目研究成果，不存在侵犯他人知识产权的情形。</w:t>
      </w:r>
    </w:p>
    <w:p w14:paraId="30618753">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left="0" w:leftChars="0" w:firstLine="0" w:firstLineChars="0"/>
        <w:textAlignment w:val="auto"/>
        <w:rPr>
          <w:rFonts w:hint="eastAsia" w:asciiTheme="minorEastAsia" w:hAnsiTheme="minorEastAsia" w:eastAsiaTheme="minorEastAsia" w:cstheme="minorBidi"/>
          <w:b/>
          <w:bCs/>
          <w:sz w:val="28"/>
          <w:szCs w:val="28"/>
          <w:lang w:val="en-US" w:eastAsia="zh-CN" w:bidi="ar-SA"/>
        </w:rPr>
      </w:pPr>
      <w:r>
        <w:rPr>
          <w:rFonts w:hint="eastAsia" w:asciiTheme="minorEastAsia" w:hAnsiTheme="minorEastAsia" w:eastAsiaTheme="minorEastAsia" w:cstheme="minorBidi"/>
          <w:b/>
          <w:bCs/>
          <w:sz w:val="28"/>
          <w:szCs w:val="28"/>
          <w:lang w:val="en-US" w:eastAsia="zh-CN" w:bidi="ar-SA"/>
        </w:rPr>
        <w:t>五、采用国际标准的程度与水平的简要说明</w:t>
      </w:r>
    </w:p>
    <w:p w14:paraId="424CA9B3">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firstLine="420"/>
        <w:textAlignment w:val="auto"/>
        <w:rPr>
          <w:rFonts w:hint="eastAsia" w:asciiTheme="minorEastAsia" w:hAnsiTheme="minorEastAsia" w:eastAsiaTheme="minorEastAsia"/>
          <w:sz w:val="28"/>
          <w:szCs w:val="28"/>
        </w:rPr>
      </w:pPr>
      <w:r>
        <w:rPr>
          <w:rFonts w:hint="default" w:ascii="Times New Roman" w:eastAsia="Segoe UI" w:cs="Times New Roman"/>
          <w:i w:val="0"/>
          <w:iCs w:val="0"/>
          <w:caps w:val="0"/>
          <w:color w:val="0F1115"/>
          <w:spacing w:val="0"/>
          <w:sz w:val="28"/>
          <w:szCs w:val="28"/>
          <w:shd w:val="clear" w:fill="FFFFFF"/>
          <w:lang w:val="en-US" w:eastAsia="zh-CN"/>
        </w:rPr>
        <w:t>目前</w:t>
      </w:r>
      <w:r>
        <w:rPr>
          <w:rFonts w:hint="eastAsia" w:ascii="Times New Roman" w:eastAsia="Segoe UI" w:cs="Times New Roman"/>
          <w:i w:val="0"/>
          <w:iCs w:val="0"/>
          <w:caps w:val="0"/>
          <w:color w:val="0F1115"/>
          <w:spacing w:val="0"/>
          <w:sz w:val="28"/>
          <w:szCs w:val="28"/>
          <w:shd w:val="clear" w:fill="FFFFFF"/>
          <w:lang w:val="en-US" w:eastAsia="zh-CN"/>
        </w:rPr>
        <w:t>在</w:t>
      </w:r>
      <w:r>
        <w:rPr>
          <w:rFonts w:hint="default" w:ascii="Times New Roman" w:eastAsia="Segoe UI" w:cs="Times New Roman"/>
          <w:i w:val="0"/>
          <w:iCs w:val="0"/>
          <w:caps w:val="0"/>
          <w:color w:val="0F1115"/>
          <w:spacing w:val="0"/>
          <w:sz w:val="28"/>
          <w:szCs w:val="28"/>
          <w:shd w:val="clear" w:fill="FFFFFF"/>
          <w:lang w:val="en-US" w:eastAsia="zh-CN"/>
        </w:rPr>
        <w:t>国际上尚</w:t>
      </w:r>
      <w:r>
        <w:rPr>
          <w:rFonts w:hint="eastAsia" w:ascii="Times New Roman" w:eastAsia="Segoe UI" w:cs="Times New Roman"/>
          <w:i w:val="0"/>
          <w:iCs w:val="0"/>
          <w:caps w:val="0"/>
          <w:color w:val="0F1115"/>
          <w:spacing w:val="0"/>
          <w:sz w:val="28"/>
          <w:szCs w:val="28"/>
          <w:shd w:val="clear" w:fill="FFFFFF"/>
          <w:lang w:val="en-US" w:eastAsia="zh-CN"/>
        </w:rPr>
        <w:t>无关于</w:t>
      </w:r>
      <w:r>
        <w:rPr>
          <w:rFonts w:hint="default" w:ascii="Times New Roman" w:eastAsia="Segoe UI" w:cs="Times New Roman"/>
          <w:i w:val="0"/>
          <w:iCs w:val="0"/>
          <w:caps w:val="0"/>
          <w:color w:val="0F1115"/>
          <w:spacing w:val="0"/>
          <w:sz w:val="28"/>
          <w:szCs w:val="28"/>
          <w:shd w:val="clear" w:fill="FFFFFF"/>
          <w:lang w:val="en-US" w:eastAsia="zh-CN"/>
        </w:rPr>
        <w:t>偃松种质资源收集、保存和评价</w:t>
      </w:r>
      <w:r>
        <w:rPr>
          <w:rFonts w:hint="eastAsia" w:ascii="Times New Roman" w:eastAsia="Segoe UI" w:cs="Times New Roman"/>
          <w:i w:val="0"/>
          <w:iCs w:val="0"/>
          <w:caps w:val="0"/>
          <w:color w:val="0F1115"/>
          <w:spacing w:val="0"/>
          <w:sz w:val="28"/>
          <w:szCs w:val="28"/>
          <w:shd w:val="clear" w:fill="FFFFFF"/>
          <w:lang w:val="en-US" w:eastAsia="zh-CN"/>
        </w:rPr>
        <w:t>的技术</w:t>
      </w:r>
      <w:r>
        <w:rPr>
          <w:rFonts w:hint="default" w:ascii="Times New Roman" w:eastAsia="Segoe UI" w:cs="Times New Roman"/>
          <w:i w:val="0"/>
          <w:iCs w:val="0"/>
          <w:caps w:val="0"/>
          <w:color w:val="0F1115"/>
          <w:spacing w:val="0"/>
          <w:sz w:val="28"/>
          <w:szCs w:val="28"/>
          <w:shd w:val="clear" w:fill="FFFFFF"/>
          <w:lang w:val="en-US" w:eastAsia="zh-CN"/>
        </w:rPr>
        <w:t>标准。国内目前已发布实施的相关标准包括LY/T 2192《林木种质资源共性描述规范》、LY/T 2417《林木种质资源异地保存库营建技术规程》等</w:t>
      </w:r>
      <w:r>
        <w:rPr>
          <w:rFonts w:hint="default" w:ascii="Times New Roman" w:eastAsia="Segoe UI" w:cs="Times New Roman"/>
          <w:i w:val="0"/>
          <w:iCs w:val="0"/>
          <w:caps w:val="0"/>
          <w:color w:val="0F1115"/>
          <w:spacing w:val="0"/>
          <w:sz w:val="28"/>
          <w:szCs w:val="28"/>
          <w:shd w:val="clear" w:fill="FFFFFF"/>
          <w:lang w:val="en-US" w:eastAsia="zh-CN"/>
        </w:rPr>
        <w:fldChar w:fldCharType="begin"/>
      </w:r>
      <w:r>
        <w:rPr>
          <w:rFonts w:hint="default" w:ascii="Times New Roman" w:eastAsia="Segoe UI" w:cs="Times New Roman"/>
          <w:i w:val="0"/>
          <w:iCs w:val="0"/>
          <w:caps w:val="0"/>
          <w:color w:val="0F1115"/>
          <w:spacing w:val="0"/>
          <w:sz w:val="28"/>
          <w:szCs w:val="28"/>
          <w:shd w:val="clear" w:fill="FFFFFF"/>
          <w:lang w:val="en-US" w:eastAsia="zh-CN"/>
        </w:rPr>
        <w:instrText xml:space="preserve"> HYPERLINK "https://std.samr.gov.cn/search/orgOthers?q=%E4%B8%AD%E5%9B%BD%E6%9E%97%E4%B8%9A%E7%A7%91%E5%AD%A6%E7%A0%94%E7%A9%B6%E9%99%A2%E6%96%B0%E6%8A%80%E6%9C%AF%E7%A0%94%E7%A9%B6%E6%89%80" \t "https://chat.deepseek.com/a/chat/s/_blank" </w:instrText>
      </w:r>
      <w:r>
        <w:rPr>
          <w:rFonts w:hint="default" w:ascii="Times New Roman" w:eastAsia="Segoe UI" w:cs="Times New Roman"/>
          <w:i w:val="0"/>
          <w:iCs w:val="0"/>
          <w:caps w:val="0"/>
          <w:color w:val="0F1115"/>
          <w:spacing w:val="0"/>
          <w:sz w:val="28"/>
          <w:szCs w:val="28"/>
          <w:shd w:val="clear" w:fill="FFFFFF"/>
          <w:lang w:val="en-US" w:eastAsia="zh-CN"/>
        </w:rPr>
        <w:fldChar w:fldCharType="separate"/>
      </w:r>
      <w:r>
        <w:rPr>
          <w:rFonts w:hint="default" w:ascii="Times New Roman" w:eastAsia="Segoe UI" w:cs="Times New Roman"/>
          <w:i w:val="0"/>
          <w:iCs w:val="0"/>
          <w:caps w:val="0"/>
          <w:color w:val="0F1115"/>
          <w:spacing w:val="0"/>
          <w:sz w:val="28"/>
          <w:szCs w:val="28"/>
          <w:shd w:val="clear" w:fill="FFFFFF"/>
          <w:lang w:val="en-US" w:eastAsia="zh-CN"/>
        </w:rPr>
        <w:fldChar w:fldCharType="end"/>
      </w:r>
      <w:r>
        <w:rPr>
          <w:rFonts w:hint="default" w:ascii="Times New Roman" w:eastAsia="Segoe UI" w:cs="Times New Roman"/>
          <w:i w:val="0"/>
          <w:iCs w:val="0"/>
          <w:caps w:val="0"/>
          <w:color w:val="0F1115"/>
          <w:spacing w:val="0"/>
          <w:sz w:val="28"/>
          <w:szCs w:val="28"/>
          <w:shd w:val="clear" w:fill="FFFFFF"/>
          <w:lang w:val="en-US" w:eastAsia="zh-CN"/>
        </w:rPr>
        <w:fldChar w:fldCharType="begin"/>
      </w:r>
      <w:r>
        <w:rPr>
          <w:rFonts w:hint="default" w:ascii="Times New Roman" w:eastAsia="Segoe UI" w:cs="Times New Roman"/>
          <w:i w:val="0"/>
          <w:iCs w:val="0"/>
          <w:caps w:val="0"/>
          <w:color w:val="0F1115"/>
          <w:spacing w:val="0"/>
          <w:sz w:val="28"/>
          <w:szCs w:val="28"/>
          <w:shd w:val="clear" w:fill="FFFFFF"/>
          <w:lang w:val="en-US" w:eastAsia="zh-CN"/>
        </w:rPr>
        <w:instrText xml:space="preserve"> HYPERLINK "http://m.ynforestry-tec.com/upload/manager/image/202112/02/20211202101228122800956.pdf" \l "2#1" \t "https://chat.deepseek.com/a/chat/s/_blank" </w:instrText>
      </w:r>
      <w:r>
        <w:rPr>
          <w:rFonts w:hint="default" w:ascii="Times New Roman" w:eastAsia="Segoe UI" w:cs="Times New Roman"/>
          <w:i w:val="0"/>
          <w:iCs w:val="0"/>
          <w:caps w:val="0"/>
          <w:color w:val="0F1115"/>
          <w:spacing w:val="0"/>
          <w:sz w:val="28"/>
          <w:szCs w:val="28"/>
          <w:shd w:val="clear" w:fill="FFFFFF"/>
          <w:lang w:val="en-US" w:eastAsia="zh-CN"/>
        </w:rPr>
        <w:fldChar w:fldCharType="separate"/>
      </w:r>
      <w:r>
        <w:rPr>
          <w:rFonts w:hint="default" w:ascii="Times New Roman" w:eastAsia="Segoe UI" w:cs="Times New Roman"/>
          <w:i w:val="0"/>
          <w:iCs w:val="0"/>
          <w:caps w:val="0"/>
          <w:color w:val="0F1115"/>
          <w:spacing w:val="0"/>
          <w:sz w:val="28"/>
          <w:szCs w:val="28"/>
          <w:shd w:val="clear" w:fill="FFFFFF"/>
          <w:lang w:val="en-US" w:eastAsia="zh-CN"/>
        </w:rPr>
        <w:fldChar w:fldCharType="end"/>
      </w:r>
      <w:r>
        <w:rPr>
          <w:rFonts w:hint="default" w:ascii="Times New Roman" w:eastAsia="Segoe UI" w:cs="Times New Roman"/>
          <w:i w:val="0"/>
          <w:iCs w:val="0"/>
          <w:caps w:val="0"/>
          <w:color w:val="0F1115"/>
          <w:spacing w:val="0"/>
          <w:sz w:val="28"/>
          <w:szCs w:val="28"/>
          <w:shd w:val="clear" w:fill="FFFFFF"/>
          <w:lang w:val="en-US" w:eastAsia="zh-CN"/>
        </w:rPr>
        <w:t>。本标准参照上述国内标准</w:t>
      </w:r>
      <w:r>
        <w:rPr>
          <w:rFonts w:hint="eastAsia" w:ascii="Times New Roman" w:eastAsia="Segoe UI" w:cs="Times New Roman"/>
          <w:i w:val="0"/>
          <w:iCs w:val="0"/>
          <w:caps w:val="0"/>
          <w:color w:val="0F1115"/>
          <w:spacing w:val="0"/>
          <w:sz w:val="28"/>
          <w:szCs w:val="28"/>
          <w:shd w:val="clear" w:fill="FFFFFF"/>
          <w:lang w:val="en-US" w:eastAsia="zh-CN"/>
        </w:rPr>
        <w:t>进行</w:t>
      </w:r>
      <w:r>
        <w:rPr>
          <w:rFonts w:hint="default" w:ascii="Times New Roman" w:eastAsia="Segoe UI" w:cs="Times New Roman"/>
          <w:i w:val="0"/>
          <w:iCs w:val="0"/>
          <w:caps w:val="0"/>
          <w:color w:val="0F1115"/>
          <w:spacing w:val="0"/>
          <w:sz w:val="28"/>
          <w:szCs w:val="28"/>
          <w:shd w:val="clear" w:fill="FFFFFF"/>
          <w:lang w:val="en-US" w:eastAsia="zh-CN"/>
        </w:rPr>
        <w:t>编写</w:t>
      </w:r>
      <w:r>
        <w:rPr>
          <w:rFonts w:hint="eastAsia" w:ascii="Times New Roman" w:eastAsia="Segoe UI" w:cs="Times New Roman"/>
          <w:i w:val="0"/>
          <w:iCs w:val="0"/>
          <w:caps w:val="0"/>
          <w:color w:val="0F1115"/>
          <w:spacing w:val="0"/>
          <w:sz w:val="28"/>
          <w:szCs w:val="28"/>
          <w:shd w:val="clear" w:fill="FFFFFF"/>
          <w:lang w:val="en-US" w:eastAsia="zh-CN"/>
        </w:rPr>
        <w:t>，并</w:t>
      </w:r>
      <w:r>
        <w:rPr>
          <w:rFonts w:hint="default" w:ascii="Times New Roman" w:eastAsia="Segoe UI" w:cs="Times New Roman"/>
          <w:i w:val="0"/>
          <w:iCs w:val="0"/>
          <w:caps w:val="0"/>
          <w:color w:val="0F1115"/>
          <w:spacing w:val="0"/>
          <w:sz w:val="28"/>
          <w:szCs w:val="28"/>
          <w:shd w:val="clear" w:fill="FFFFFF"/>
          <w:lang w:val="en-US" w:eastAsia="zh-CN"/>
        </w:rPr>
        <w:t>结合偃松树种特性进行了调整和细化。本标准的技术水平与现有国内同类标准基本保持一致，同时填补了</w:t>
      </w:r>
      <w:r>
        <w:rPr>
          <w:rFonts w:hint="eastAsia" w:ascii="Times New Roman" w:eastAsia="Segoe UI" w:cs="Times New Roman"/>
          <w:i w:val="0"/>
          <w:iCs w:val="0"/>
          <w:caps w:val="0"/>
          <w:color w:val="0F1115"/>
          <w:spacing w:val="0"/>
          <w:sz w:val="28"/>
          <w:szCs w:val="28"/>
          <w:shd w:val="clear" w:fill="FFFFFF"/>
          <w:lang w:val="en-US" w:eastAsia="zh-CN"/>
        </w:rPr>
        <w:t>偃松在本</w:t>
      </w:r>
      <w:r>
        <w:rPr>
          <w:rFonts w:hint="default" w:ascii="Times New Roman" w:eastAsia="Segoe UI" w:cs="Times New Roman"/>
          <w:i w:val="0"/>
          <w:iCs w:val="0"/>
          <w:caps w:val="0"/>
          <w:color w:val="0F1115"/>
          <w:spacing w:val="0"/>
          <w:sz w:val="28"/>
          <w:szCs w:val="28"/>
          <w:shd w:val="clear" w:fill="FFFFFF"/>
          <w:lang w:val="en-US" w:eastAsia="zh-CN"/>
        </w:rPr>
        <w:t>标准领域的空白。</w:t>
      </w:r>
    </w:p>
    <w:p w14:paraId="63FC71C2">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left="0" w:leftChars="0" w:firstLine="0" w:firstLineChars="0"/>
        <w:jc w:val="both"/>
        <w:textAlignment w:val="auto"/>
        <w:rPr>
          <w:rFonts w:hint="eastAsia" w:asciiTheme="minorEastAsia" w:hAnsiTheme="minorEastAsia" w:eastAsiaTheme="minorEastAsia"/>
          <w:b/>
          <w:bCs/>
          <w:sz w:val="28"/>
          <w:szCs w:val="28"/>
        </w:rPr>
      </w:pPr>
      <w:r>
        <w:rPr>
          <w:rFonts w:hint="eastAsia" w:asciiTheme="minorEastAsia" w:hAnsiTheme="minorEastAsia" w:eastAsiaTheme="minorEastAsia" w:cstheme="minorBidi"/>
          <w:b/>
          <w:bCs/>
          <w:sz w:val="28"/>
          <w:szCs w:val="28"/>
          <w:lang w:val="en-US" w:eastAsia="zh-CN" w:bidi="ar-SA"/>
        </w:rPr>
        <w:t>六、</w:t>
      </w:r>
      <w:r>
        <w:rPr>
          <w:rFonts w:hint="eastAsia" w:asciiTheme="minorEastAsia" w:hAnsiTheme="minorEastAsia" w:eastAsiaTheme="minorEastAsia"/>
          <w:b/>
          <w:bCs/>
          <w:sz w:val="28"/>
          <w:szCs w:val="28"/>
        </w:rPr>
        <w:t>重大意见分歧的处理经过和依据</w:t>
      </w:r>
    </w:p>
    <w:p w14:paraId="3D702AFD">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firstLine="420"/>
        <w:textAlignment w:val="auto"/>
        <w:rPr>
          <w:rFonts w:hint="eastAsia" w:ascii="Times New Roman" w:eastAsia="Segoe UI" w:cs="Times New Roman"/>
          <w:i w:val="0"/>
          <w:iCs w:val="0"/>
          <w:caps w:val="0"/>
          <w:color w:val="0F1115"/>
          <w:spacing w:val="0"/>
          <w:sz w:val="28"/>
          <w:szCs w:val="28"/>
          <w:shd w:val="clear" w:fill="FFFFFF"/>
          <w:lang w:val="en-US" w:eastAsia="zh-CN"/>
        </w:rPr>
      </w:pPr>
      <w:r>
        <w:rPr>
          <w:rFonts w:hint="default" w:ascii="Times New Roman" w:eastAsia="Segoe UI" w:cs="Times New Roman"/>
          <w:i w:val="0"/>
          <w:iCs w:val="0"/>
          <w:caps w:val="0"/>
          <w:color w:val="0F1115"/>
          <w:spacing w:val="0"/>
          <w:sz w:val="28"/>
          <w:szCs w:val="28"/>
          <w:shd w:val="clear" w:fill="FFFFFF"/>
          <w:lang w:val="en-US" w:eastAsia="zh-CN"/>
        </w:rPr>
        <w:t>本部分</w:t>
      </w:r>
      <w:r>
        <w:rPr>
          <w:rFonts w:hint="eastAsia" w:ascii="Times New Roman" w:eastAsia="Segoe UI" w:cs="Times New Roman"/>
          <w:i w:val="0"/>
          <w:iCs w:val="0"/>
          <w:caps w:val="0"/>
          <w:color w:val="0F1115"/>
          <w:spacing w:val="0"/>
          <w:sz w:val="28"/>
          <w:szCs w:val="28"/>
          <w:shd w:val="clear" w:fill="FFFFFF"/>
          <w:lang w:val="en-US" w:eastAsia="zh-CN"/>
        </w:rPr>
        <w:t>在</w:t>
      </w:r>
      <w:r>
        <w:rPr>
          <w:rFonts w:hint="default" w:ascii="Times New Roman" w:eastAsia="Segoe UI" w:cs="Times New Roman"/>
          <w:i w:val="0"/>
          <w:iCs w:val="0"/>
          <w:caps w:val="0"/>
          <w:color w:val="0F1115"/>
          <w:spacing w:val="0"/>
          <w:sz w:val="28"/>
          <w:szCs w:val="28"/>
          <w:shd w:val="clear" w:fill="FFFFFF"/>
          <w:lang w:val="en-US" w:eastAsia="zh-CN"/>
        </w:rPr>
        <w:t>征求意见和审查阶段如存在重大分歧，</w:t>
      </w:r>
      <w:r>
        <w:rPr>
          <w:rFonts w:hint="eastAsia" w:ascii="Times New Roman" w:eastAsia="Segoe UI" w:cs="Times New Roman"/>
          <w:i w:val="0"/>
          <w:iCs w:val="0"/>
          <w:caps w:val="0"/>
          <w:color w:val="0F1115"/>
          <w:spacing w:val="0"/>
          <w:sz w:val="28"/>
          <w:szCs w:val="28"/>
          <w:shd w:val="clear" w:fill="FFFFFF"/>
          <w:lang w:val="en-US" w:eastAsia="zh-CN"/>
        </w:rPr>
        <w:t>将</w:t>
      </w:r>
      <w:r>
        <w:rPr>
          <w:rFonts w:hint="default" w:ascii="Times New Roman" w:eastAsia="Segoe UI" w:cs="Times New Roman"/>
          <w:i w:val="0"/>
          <w:iCs w:val="0"/>
          <w:caps w:val="0"/>
          <w:color w:val="0F1115"/>
          <w:spacing w:val="0"/>
          <w:sz w:val="28"/>
          <w:szCs w:val="28"/>
          <w:shd w:val="clear" w:fill="FFFFFF"/>
          <w:lang w:val="en-US" w:eastAsia="zh-CN"/>
        </w:rPr>
        <w:t>逐一说明分歧意见的具体内容、分歧各方的观点和依据，以及经过协调处理后达成的共识和最终结论。</w:t>
      </w:r>
    </w:p>
    <w:p w14:paraId="046C1D69">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七、其他应予说明的事项。</w:t>
      </w:r>
    </w:p>
    <w:p w14:paraId="7B2B0707">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spacing w:line="360" w:lineRule="auto"/>
        <w:ind w:firstLine="420"/>
        <w:textAlignment w:val="auto"/>
        <w:rPr>
          <w:rFonts w:hint="default" w:ascii="Times New Roman" w:eastAsia="Segoe UI" w:cs="Times New Roman"/>
          <w:i w:val="0"/>
          <w:iCs w:val="0"/>
          <w:caps w:val="0"/>
          <w:color w:val="0F1115"/>
          <w:spacing w:val="0"/>
          <w:sz w:val="28"/>
          <w:szCs w:val="28"/>
          <w:shd w:val="clear" w:fill="FFFFFF"/>
          <w:lang w:val="en-US" w:eastAsia="zh-CN"/>
        </w:rPr>
      </w:pPr>
      <w:r>
        <w:rPr>
          <w:rFonts w:hint="eastAsia" w:ascii="Times New Roman" w:eastAsia="Segoe UI" w:cs="Times New Roman"/>
          <w:i w:val="0"/>
          <w:iCs w:val="0"/>
          <w:caps w:val="0"/>
          <w:color w:val="0F1115"/>
          <w:spacing w:val="0"/>
          <w:sz w:val="28"/>
          <w:szCs w:val="28"/>
          <w:shd w:val="clear" w:fill="FFFFFF"/>
          <w:lang w:val="en-US" w:eastAsia="zh-CN"/>
        </w:rPr>
        <w:t>无。</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微软雅黑">
    <w:altName w:val="黑体"/>
    <w:panose1 w:val="020B0503020204020204"/>
    <w:charset w:val="86"/>
    <w:family w:val="swiss"/>
    <w:pitch w:val="default"/>
    <w:sig w:usb0="00000000" w:usb1="00000000" w:usb2="00000016" w:usb3="00000000" w:csb0="0004001F" w:csb1="00000000"/>
  </w:font>
  <w:font w:name="Segoe UI">
    <w:altName w:val="Noto Naskh Arabic"/>
    <w:panose1 w:val="020B0502040204020203"/>
    <w:charset w:val="00"/>
    <w:family w:val="auto"/>
    <w:pitch w:val="default"/>
    <w:sig w:usb0="00000000" w:usb1="00000000" w:usb2="00000009" w:usb3="00000000" w:csb0="200001FF" w:csb1="00000000"/>
  </w:font>
  <w:font w:name="Noto Naskh Arabic">
    <w:panose1 w:val="020B0502040504020204"/>
    <w:charset w:val="00"/>
    <w:family w:val="auto"/>
    <w:pitch w:val="default"/>
    <w:sig w:usb0="80002003" w:usb1="80002000" w:usb2="00000008" w:usb3="00000000" w:csb0="00000041" w:csb1="00080000"/>
  </w:font>
  <w:font w:name="仿宋">
    <w:panose1 w:val="02010609060101010101"/>
    <w:charset w:val="86"/>
    <w:family w:val="auto"/>
    <w:pitch w:val="default"/>
    <w:sig w:usb0="800002BF" w:usb1="38CF7CFA" w:usb2="00000016" w:usb3="00000000" w:csb0="00040001" w:csb1="00000000"/>
  </w:font>
  <w:font w:name="SimSun-ExtB">
    <w:panose1 w:val="02010609060101010101"/>
    <w:charset w:val="86"/>
    <w:family w:val="modern"/>
    <w:pitch w:val="default"/>
    <w:sig w:usb0="00000001" w:usb1="02000000" w:usb2="00000000" w:usb3="00000000" w:csb0="00040001"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72B8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0ABF28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0ABF28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32317B"/>
    <w:multiLevelType w:val="singleLevel"/>
    <w:tmpl w:val="B432317B"/>
    <w:lvl w:ilvl="0" w:tentative="0">
      <w:start w:val="1"/>
      <w:numFmt w:val="decimal"/>
      <w:lvlText w:val="%1."/>
      <w:lvlJc w:val="left"/>
      <w:pPr>
        <w:tabs>
          <w:tab w:val="left" w:pos="312"/>
        </w:tabs>
      </w:pPr>
    </w:lvl>
  </w:abstractNum>
  <w:abstractNum w:abstractNumId="1">
    <w:nsid w:val="0D8F7AB1"/>
    <w:multiLevelType w:val="singleLevel"/>
    <w:tmpl w:val="0D8F7AB1"/>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65375"/>
    <w:rsid w:val="07AB615A"/>
    <w:rsid w:val="08BA3B3B"/>
    <w:rsid w:val="0DA644E0"/>
    <w:rsid w:val="0FD22917"/>
    <w:rsid w:val="12E4074E"/>
    <w:rsid w:val="182E19AF"/>
    <w:rsid w:val="18C90EFE"/>
    <w:rsid w:val="1B321BB5"/>
    <w:rsid w:val="1F6D101E"/>
    <w:rsid w:val="2D32291A"/>
    <w:rsid w:val="2FF95E41"/>
    <w:rsid w:val="31E0672B"/>
    <w:rsid w:val="31F42769"/>
    <w:rsid w:val="4193231D"/>
    <w:rsid w:val="550A6F07"/>
    <w:rsid w:val="5A081462"/>
    <w:rsid w:val="5A4657C3"/>
    <w:rsid w:val="5AAC6D67"/>
    <w:rsid w:val="5E885FA6"/>
    <w:rsid w:val="60B33B2A"/>
    <w:rsid w:val="63C974DD"/>
    <w:rsid w:val="63FE4B14"/>
    <w:rsid w:val="67F9CAD3"/>
    <w:rsid w:val="6FF33F13"/>
    <w:rsid w:val="72A06F64"/>
    <w:rsid w:val="74FB6F97"/>
    <w:rsid w:val="7A3A1128"/>
    <w:rsid w:val="7E244F54"/>
    <w:rsid w:val="7FB91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9">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4315</Words>
  <Characters>4986</Characters>
  <Lines>0</Lines>
  <Paragraphs>0</Paragraphs>
  <TotalTime>5</TotalTime>
  <ScaleCrop>false</ScaleCrop>
  <LinksUpToDate>false</LinksUpToDate>
  <CharactersWithSpaces>5063</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abc</dc:creator>
  <cp:lastModifiedBy>gjlcj</cp:lastModifiedBy>
  <dcterms:modified xsi:type="dcterms:W3CDTF">2026-09-02T10:02:02Z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KSOTemplateDocerSaveRecord">
    <vt:lpwstr>eyJoZGlkIjoiYTc4MGQ1ZjA2ODc4OGY3ZmMwZGQ2NjllNjMxZWI2Y2MiLCJ1c2VySWQiOiIxMzE4MzM4OTk1In0=</vt:lpwstr>
  </property>
  <property fmtid="{D5CDD505-2E9C-101B-9397-08002B2CF9AE}" pid="4" name="ICV">
    <vt:lpwstr>A0FF18AE92D142178C82607889541BFE_13</vt:lpwstr>
  </property>
</Properties>
</file>