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848D8">
      <w:pPr>
        <w:pStyle w:val="45"/>
        <w:framePr w:wrap="around" w:vAnchor="page" w:hAnchor="page" w:x="1374" w:y="1027"/>
        <w:rPr>
          <w:rFonts w:ascii="Times New Roman"/>
          <w:color w:val="000000" w:themeColor="text1"/>
        </w:rPr>
      </w:pPr>
      <w:r>
        <w:rPr>
          <w:rFonts w:hAnsi="黑体"/>
          <w:bCs/>
        </w:rPr>
        <w:t>ICS</w:t>
      </w:r>
      <w:r>
        <w:rPr>
          <w:rFonts w:ascii="Times New Roman"/>
        </w:rPr>
        <w:t xml:space="preserve"> </w:t>
      </w:r>
      <w:r>
        <w:rPr>
          <w:rFonts w:hAnsi="黑体"/>
          <w:szCs w:val="20"/>
        </w:rPr>
        <w:t>13.220.</w:t>
      </w:r>
      <w:r>
        <w:rPr>
          <w:rFonts w:hint="eastAsia" w:hAnsi="黑体"/>
          <w:szCs w:val="20"/>
        </w:rPr>
        <w:t>10</w:t>
      </w:r>
      <w:r>
        <w:rPr>
          <w:rFonts w:hint="eastAsia" w:ascii="Times New Roman"/>
          <w:b/>
          <w:bCs/>
          <w:color w:val="000000" w:themeColor="text1"/>
        </w:rPr>
        <w:t xml:space="preserve"> </w:t>
      </w:r>
    </w:p>
    <w:p w14:paraId="045F530D">
      <w:pPr>
        <w:pStyle w:val="45"/>
        <w:framePr w:wrap="around" w:vAnchor="page" w:hAnchor="page" w:x="1374" w:y="1027"/>
        <w:rPr>
          <w:rFonts w:ascii="Times New Roman"/>
        </w:rPr>
      </w:pPr>
      <w:r>
        <w:rPr>
          <w:rFonts w:ascii="Times New Roman"/>
          <w:b/>
          <w:bCs/>
          <w:color w:val="000000" w:themeColor="text1"/>
          <w:sz w:val="24"/>
        </w:rPr>
        <w:pict>
          <v:rect id="矩形 20" o:spid="_x0000_s2062" o:spt="1" style="position:absolute;left:0pt;margin-left:-6pt;margin-top:14.85pt;height:15.6pt;width:68.25pt;z-index:-251646976;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Pk5gEAALQDAAAOAAAAZHJzL2Uyb0RvYy54bWysU9Fu2yAUfZ+0f0C8L46jNEmtOFWVKtOk&#10;bqvU9QMwxjYa5rILiZN9/S44TaP1bZofEJcLh3MOx+u7Y2/YQaHXYEueT6acKSuh1rYt+cuP3acV&#10;Zz4IWwsDVpX8pDy/23z8sB5coWbQgakVMgKxvhhcybsQXJFlXnaqF34CTllqNoC9CFRim9UoBkLv&#10;TTabThfZAFg7BKm8p9WHsck3Cb9plAzfm8arwEzJiVtII6aximO2WYuiReE6Lc80xD+w6IW2dOkF&#10;6kEEwfao30H1WiJ4aMJEQp9B02ipkgZSk0//UvPcCaeSFjLHu4tN/v/Bym+HZ/eEkbp3jyB/emZh&#10;2wnbqntEGDolarouj0Zlg/PF5UAsPB1l1fAVanpasQ+QPDg22EdAUseOyerTxWp1DEzS4mqxWC5v&#10;OJPUym9X+Sw9RSaK18MOffisoGdxUnKkl0zg4vDoQyQjitctiTwYXe+0ManAttoaZAdBr75LX+JP&#10;Gq+3GRs3W4jHRsS4klRGYTFDvqigPpFIhDE6FHWadIC/ORsoNiX3v/YCFWfmiyWjbvP5POYsFfOb&#10;JelieN2prjvCSoIqeeBsnG7DmM29Q912dFOeRFu4J3MbnYS/sTqTpWgkP84xjtm7rtOut59t8wcA&#10;AP//AwBQSwMEFAAGAAgAAAAhAMnzaTDeAAAACQEAAA8AAABkcnMvZG93bnJldi54bWxMj8FOwzAQ&#10;RO9I/IO1SNxau6ENTcimQkg9AQdapF63sZtExOsQO234e9wTHEczmnlTbCbbibMZfOsYYTFXIAxX&#10;TrdcI3zut7M1CB+INXWODcKP8bApb28KyrW78Ic570ItYgn7nBCaEPpcSl81xpKfu95w9E5usBSi&#10;HGqpB7rEctvJRKlUWmo5LjTUm5fGVF+70SJQutTf76eHt/3rmFJWT2q7OijE+7vp+QlEMFP4C8MV&#10;P6JDGZmObmTtRYcwWyTxS0BIskcQ10CyXIE4IqQqA1kW8v+D8hcAAP//AwBQSwECLQAUAAYACAAA&#10;ACEAtoM4kv4AAADhAQAAEwAAAAAAAAAAAAAAAAAAAAAAW0NvbnRlbnRfVHlwZXNdLnhtbFBLAQIt&#10;ABQABgAIAAAAIQA4/SH/1gAAAJQBAAALAAAAAAAAAAAAAAAAAC8BAABfcmVscy8ucmVsc1BLAQIt&#10;ABQABgAIAAAAIQD5wcPk5gEAALQDAAAOAAAAAAAAAAAAAAAAAC4CAABkcnMvZTJvRG9jLnhtbFBL&#10;AQItABQABgAIAAAAIQDJ82kw3gAAAAkBAAAPAAAAAAAAAAAAAAAAAEAEAABkcnMvZG93bnJldi54&#10;bWxQSwUGAAAAAAQABADzAAAASwUAAAAA&#10;">
            <v:path/>
            <v:fill focussize="0,0"/>
            <v:stroke on="f"/>
            <v:imagedata o:title=""/>
            <o:lock v:ext="edit"/>
          </v:rect>
        </w:pict>
      </w:r>
      <w:r>
        <w:pict>
          <v:rect id="矩形 18" o:spid="_x0000_s2061" o:spt="1" style="position:absolute;left:0pt;margin-left:-6pt;margin-top:14.85pt;height:15.6pt;width:68.25pt;z-index:-25164492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0iAEAAAYDAAAOAAAAZHJzL2Uyb0RvYy54bWysUk2P0zAQvSPxHyzfaZpKdEvUdA+symUF&#10;Ky38ANexEwvbY814m/bfM3a7ZQU3RA5W5uv5vTfe3p+CF0eD5CD2sl0spTBRw+Di2Msf3/cfNlJQ&#10;VnFQHqLp5dmQvN+9f7edU2dWMIEfDAoGidTNqZdTzqlrGtKTCYoWkEzkogUMKnOIYzOgmhk9+Ga1&#10;XK6bGXBICNoQcfbhUpS7im+t0fmbtWSy8L1kbrmeWM9DOZvdVnUjqjQ5faWh/oFFUC7ypTeoB5WV&#10;eEH3F1RwGoHA5oWG0IC1TpuqgdW0yz/UPE8qmaqFzaF0s4n+H6z+enxOT1ioU3oE/ZPYkWZO1N0q&#10;JaBrz8liKL1MXJyqi+ebi+aUhebkZr2+u/soheZS+2nTrqrLjepehxNS/mIgiPLTS+QlVe/U8ZFy&#10;uV51ry2VF3g37J33NcDx8NmjOCpe6L5+ZYc8Qm/bfCzNEcrYpVwyVddFShF1gOH8hOIloRsnJtJW&#10;pFJhsyvm9WGUbb6NK9Lv57v7BQAA//8DAFBLAwQUAAYACAAAACEAyfNpMN4AAAAJAQAADwAAAGRy&#10;cy9kb3ducmV2LnhtbEyPwU7DMBBE70j8g7VI3Fq7oQ1NyKZCSD0BB1qkXrexm0TE6xA7bfh73BMc&#10;RzOaeVNsJtuJsxl86xhhMVcgDFdOt1wjfO63szUIH4g1dY4Nwo/xsClvbwrKtbvwhznvQi1iCfuc&#10;EJoQ+lxKXzXGkp+73nD0Tm6wFKIcaqkHusRy28lEqVRaajkuNNSbl8ZUX7vRIlC61N/vp4e3/euY&#10;UlZPars6KMT7u+n5CUQwU/gLwxU/okMZmY5uZO1FhzBbJPFLQEiyRxDXQLJcgTgipCoDWRby/4Py&#10;FwAA//8DAFBLAQItABQABgAIAAAAIQC2gziS/gAAAOEBAAATAAAAAAAAAAAAAAAAAAAAAABbQ29u&#10;dGVudF9UeXBlc10ueG1sUEsBAi0AFAAGAAgAAAAhADj9If/WAAAAlAEAAAsAAAAAAAAAAAAAAAAA&#10;LwEAAF9yZWxzLy5yZWxzUEsBAi0AFAAGAAgAAAAhAD9EgbSIAQAABgMAAA4AAAAAAAAAAAAAAAAA&#10;LgIAAGRycy9lMm9Eb2MueG1sUEsBAi0AFAAGAAgAAAAhAMnzaTDeAAAACQEAAA8AAAAAAAAAAAAA&#10;AAAA4gMAAGRycy9kb3ducmV2LnhtbFBLBQYAAAAABAAEAPMAAADtBAAAAAA=&#10;">
            <v:path/>
            <v:fill focussize="0,0"/>
            <v:stroke on="f"/>
            <v:imagedata o:title=""/>
            <o:lock v:ext="edit"/>
          </v:rect>
        </w:pict>
      </w:r>
      <w:r>
        <w:rPr>
          <w:rFonts w:hint="eastAsia"/>
        </w:rPr>
        <w:t xml:space="preserve">CCS </w:t>
      </w:r>
      <w:r>
        <w:t>C</w:t>
      </w:r>
      <w:r>
        <w:rPr>
          <w:rFonts w:hAnsi="黑体"/>
        </w:rPr>
        <w:t xml:space="preserve"> 8</w:t>
      </w:r>
      <w:r>
        <w:rPr>
          <w:rFonts w:hint="eastAsia" w:hAnsi="黑体"/>
        </w:rPr>
        <w:t>2</w:t>
      </w:r>
      <w:r>
        <w:rPr>
          <w:rFonts w:hint="eastAsia" w:ascii="Times New Roman"/>
          <w:color w:val="000000" w:themeColor="text1"/>
        </w:rPr>
        <w:t xml:space="preserve"> </w:t>
      </w:r>
      <w:r>
        <w:rPr>
          <w:rFonts w:ascii="Times New Roman"/>
          <w:b/>
          <w:color w:val="000000" w:themeColor="text1"/>
        </w:rPr>
        <w:pict>
          <v:rect id="矩形 15" o:spid="_x0000_s2060" o:spt="1" style="position:absolute;left:0pt;margin-left:-6pt;margin-top:14.85pt;height:15.6pt;width:68.25pt;z-index:-251657216;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0iAEAAAYDAAAOAAAAZHJzL2Uyb0RvYy54bWysUk2P0zAQvSPxHyzfaZpKdEvUdA+symUF&#10;Ky38ANexEwvbY814m/bfM3a7ZQU3RA5W5uv5vTfe3p+CF0eD5CD2sl0spTBRw+Di2Msf3/cfNlJQ&#10;VnFQHqLp5dmQvN+9f7edU2dWMIEfDAoGidTNqZdTzqlrGtKTCYoWkEzkogUMKnOIYzOgmhk9+Ga1&#10;XK6bGXBICNoQcfbhUpS7im+t0fmbtWSy8L1kbrmeWM9DOZvdVnUjqjQ5faWh/oFFUC7ypTeoB5WV&#10;eEH3F1RwGoHA5oWG0IC1TpuqgdW0yz/UPE8qmaqFzaF0s4n+H6z+enxOT1ioU3oE/ZPYkWZO1N0q&#10;JaBrz8liKL1MXJyqi+ebi+aUhebkZr2+u/soheZS+2nTrqrLjepehxNS/mIgiPLTS+QlVe/U8ZFy&#10;uV51ry2VF3g37J33NcDx8NmjOCpe6L5+ZYc8Qm/bfCzNEcrYpVwyVddFShF1gOH8hOIloRsnJtJW&#10;pFJhsyvm9WGUbb6NK9Lv57v7BQAA//8DAFBLAwQUAAYACAAAACEAyfNpMN4AAAAJAQAADwAAAGRy&#10;cy9kb3ducmV2LnhtbEyPwU7DMBBE70j8g7VI3Fq7oQ1NyKZCSD0BB1qkXrexm0TE6xA7bfh73BMc&#10;RzOaeVNsJtuJsxl86xhhMVcgDFdOt1wjfO63szUIH4g1dY4Nwo/xsClvbwrKtbvwhznvQi1iCfuc&#10;EJoQ+lxKXzXGkp+73nD0Tm6wFKIcaqkHusRy28lEqVRaajkuNNSbl8ZUX7vRIlC61N/vp4e3/euY&#10;UlZPars6KMT7u+n5CUQwU/gLwxU/okMZmY5uZO1FhzBbJPFLQEiyRxDXQLJcgTgipCoDWRby/4Py&#10;FwAA//8DAFBLAQItABQABgAIAAAAIQC2gziS/gAAAOEBAAATAAAAAAAAAAAAAAAAAAAAAABbQ29u&#10;dGVudF9UeXBlc10ueG1sUEsBAi0AFAAGAAgAAAAhADj9If/WAAAAlAEAAAsAAAAAAAAAAAAAAAAA&#10;LwEAAF9yZWxzLy5yZWxzUEsBAi0AFAAGAAgAAAAhAD9EgbSIAQAABgMAAA4AAAAAAAAAAAAAAAAA&#10;LgIAAGRycy9lMm9Eb2MueG1sUEsBAi0AFAAGAAgAAAAhAMnzaTDeAAAACQEAAA8AAAAAAAAAAAAA&#10;AAAA4gMAAGRycy9kb3ducmV2LnhtbFBLBQYAAAAABAAEAPMAAADtBAAAAAA=&#10;">
            <v:path/>
            <v:fill focussize="0,0"/>
            <v:stroke on="f"/>
            <v:imagedata o:title=""/>
            <o:lock v:ext="edit"/>
          </v:rect>
        </w:pict>
      </w:r>
    </w:p>
    <w:tbl>
      <w:tblPr>
        <w:tblStyle w:val="2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161CC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tbl>
            <w:tblPr>
              <w:tblStyle w:val="2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56134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5801BF43">
                  <w:pPr>
                    <w:pStyle w:val="45"/>
                    <w:framePr w:wrap="around" w:vAnchor="page" w:hAnchor="page" w:x="1374" w:y="1027"/>
                    <w:jc w:val="center"/>
                    <w:rPr>
                      <w:rFonts w:ascii="Times New Roman"/>
                      <w:color w:val="000000" w:themeColor="text1"/>
                    </w:rPr>
                  </w:pPr>
                  <w:r>
                    <w:rPr>
                      <w:rFonts w:ascii="Times New Roman"/>
                      <w:b/>
                      <w:bCs/>
                      <w:color w:val="000000" w:themeColor="text1"/>
                      <w:sz w:val="112"/>
                      <w:szCs w:val="112"/>
                    </w:rPr>
                    <w:pict>
                      <v:rect id="矩形 13" o:spid="_x0000_s2059" o:spt="1" style="position:absolute;left:0pt;margin-left:-5.25pt;margin-top:0pt;height:15.6pt;width:68.25pt;z-index:-251656192;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0iAEAAAYDAAAOAAAAZHJzL2Uyb0RvYy54bWysUk2P0zAQvSPxHyzfaZpKdEvUdA+symUF&#10;Ky38ANexEwvbY814m/bfM3a7ZQU3RA5W5uv5vTfe3p+CF0eD5CD2sl0spTBRw+Di2Msf3/cfNlJQ&#10;VnFQHqLp5dmQvN+9f7edU2dWMIEfDAoGidTNqZdTzqlrGtKTCYoWkEzkogUMKnOIYzOgmhk9+Ga1&#10;XK6bGXBICNoQcfbhUpS7im+t0fmbtWSy8L1kbrmeWM9DOZvdVnUjqjQ5faWh/oFFUC7ypTeoB5WV&#10;eEH3F1RwGoHA5oWG0IC1TpuqgdW0yz/UPE8qmaqFzaF0s4n+H6z+enxOT1ioU3oE/ZPYkWZO1N0q&#10;JaBrz8liKL1MXJyqi+ebi+aUhebkZr2+u/soheZS+2nTrqrLjepehxNS/mIgiPLTS+QlVe/U8ZFy&#10;uV51ry2VF3g37J33NcDx8NmjOCpe6L5+ZYc8Qm/bfCzNEcrYpVwyVddFShF1gOH8hOIloRsnJtJW&#10;pFJhsyvm9WGUbb6NK9Lv57v7BQAA//8DAFBLAwQUAAYACAAAACEAT//gLNwAAAAHAQAADwAAAGRy&#10;cy9kb3ducmV2LnhtbEyPwU7DMBBE70j8g7VIvbV20jaCkE2FkHoqHGiRuG5jN4mI1yF22vD3dU9w&#10;m9WMZt4Wm8l24mwG3zpGSBYKhOHK6ZZrhM/Ddv4IwgdiTZ1jg/BrPGzK+7uCcu0u/GHO+1CLWMI+&#10;J4QmhD6X0leNseQXrjccvZMbLIV4DrXUA11iue1kqlQmLbUcFxrqzWtjqu/9aBEoW+mf99Py7bAb&#10;M3qqJ7VdfynE2cP08gwimCn8heGGH9GhjExHN7L2okOYJ2odowjxo5udZlEcEZZJCrIs5H/+8goA&#10;AP//AwBQSwECLQAUAAYACAAAACEAtoM4kv4AAADhAQAAEwAAAAAAAAAAAAAAAAAAAAAAW0NvbnRl&#10;bnRfVHlwZXNdLnhtbFBLAQItABQABgAIAAAAIQA4/SH/1gAAAJQBAAALAAAAAAAAAAAAAAAAAC8B&#10;AABfcmVscy8ucmVsc1BLAQItABQABgAIAAAAIQA/RIG0iAEAAAYDAAAOAAAAAAAAAAAAAAAAAC4C&#10;AABkcnMvZTJvRG9jLnhtbFBLAQItABQABgAIAAAAIQBP/+As3AAAAAcBAAAPAAAAAAAAAAAAAAAA&#10;AOIDAABkcnMvZG93bnJldi54bWxQSwUGAAAAAAQABADzAAAA6wQAAAAA&#10;">
                        <v:path/>
                        <v:fill focussize="0,0"/>
                        <v:stroke on="f"/>
                        <v:imagedata o:title=""/>
                        <o:lock v:ext="edit"/>
                      </v:rect>
                    </w:pict>
                  </w:r>
                  <w:r>
                    <w:rPr>
                      <w:rFonts w:ascii="Times New Roman"/>
                      <w:b/>
                      <w:bCs/>
                      <w:color w:val="000000" w:themeColor="text1"/>
                      <w:sz w:val="112"/>
                      <w:szCs w:val="112"/>
                    </w:rPr>
                    <w:t xml:space="preserve">            CSF</w:t>
                  </w:r>
                </w:p>
              </w:tc>
            </w:tr>
          </w:tbl>
          <w:p w14:paraId="3CA16141">
            <w:pPr>
              <w:pStyle w:val="45"/>
              <w:framePr w:wrap="around" w:vAnchor="page" w:hAnchor="page" w:x="1374" w:y="1027"/>
              <w:rPr>
                <w:rFonts w:ascii="Times New Roman"/>
                <w:color w:val="000000" w:themeColor="text1"/>
              </w:rPr>
            </w:pPr>
          </w:p>
        </w:tc>
      </w:tr>
    </w:tbl>
    <w:p w14:paraId="6A5FDFB3">
      <w:pPr>
        <w:pStyle w:val="46"/>
        <w:framePr w:w="7714" w:wrap="around" w:x="2311" w:y="3244"/>
        <w:rPr>
          <w:rFonts w:ascii="Times New Roman" w:hAnsi="Times New Roman"/>
          <w:bCs/>
          <w:color w:val="000000" w:themeColor="text1"/>
          <w:sz w:val="84"/>
          <w:szCs w:val="84"/>
        </w:rPr>
      </w:pPr>
      <w:r>
        <w:rPr>
          <w:rFonts w:hint="eastAsia" w:ascii="Times New Roman" w:hAnsi="Times New Roman"/>
          <w:bCs/>
          <w:color w:val="000000" w:themeColor="text1"/>
          <w:sz w:val="84"/>
          <w:szCs w:val="84"/>
        </w:rPr>
        <w:t>团体标准</w:t>
      </w:r>
    </w:p>
    <w:tbl>
      <w:tblPr>
        <w:tblStyle w:val="23"/>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0D24E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7B15C49E">
            <w:pPr>
              <w:pStyle w:val="61"/>
              <w:framePr w:wrap="around" w:x="1695" w:y="4472"/>
              <w:rPr>
                <w:rFonts w:ascii="Times New Roman"/>
                <w:bCs/>
                <w:color w:val="000000" w:themeColor="text1"/>
              </w:rPr>
            </w:pPr>
            <w:bookmarkStart w:id="0" w:name="DT"/>
            <w:r>
              <w:rPr>
                <w:rFonts w:hAnsi="黑体"/>
                <w:bCs/>
                <w:color w:val="000000" w:themeColor="text1"/>
              </w:rPr>
              <w:pict>
                <v:line id="直线 3" o:spid="_x0000_s2058" o:spt="20" style="position:absolute;left:0pt;margin-left:-15.75pt;margin-top:41.3pt;height:0pt;width:481.9pt;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VrQtwEAAHsDAAAOAAAAZHJzL2Uyb0RvYy54bWysU02P0zAQvSPxHyzfadIiLShquocty2UF&#10;Ky38gKk/Emv9JY9p0n/P2GkLCxeENgfL9sy8efP8sr2dnWVHldAE3/P1quVMeRGk8UPPv3+7f/eR&#10;M8zgJdjgVc9PCvnt7u2b7RQ7tQljsFIlRiAeuyn2fMw5dk2DYlQOcBWi8hTUITnIdExDIxNMhO5s&#10;s2nbm2YKScYUhEKk2/0S5LuKr7US+avWqDKzPSduua6proeyNrstdEOCOBpxpgH/wcKB8dT0CrWH&#10;DOxHMn9BOSNSwKDzSgTXBK2NUHUGmmbd/jHN0whR1VlIHIxXmfD1YMWX451/TIW6mP1TfAjiGUmU&#10;ZorYXYPlgHFJm3VyJZ24s7kKeboKqebMBF3erGma96S3uMQa6C6FMWH+rIJjZdNza3yZETo4PmAu&#10;raG7pJRr69lEztp8aAsekEe0hUxbF2XP0Q+1GIM18t5YW0owDYc7m9gRyqvXrzw0Ab9IK132gOOS&#10;V0OLH0YF8pOXLJ8iWdaTcXnh4JTkzCryedlV52Qw9l8yqbX1Z1UXIYukhyBPj+miNr1w5Xh2Y7HQ&#10;7+da/euf2f0EAAD//wMAUEsDBBQABgAIAAAAIQBMz5Hc3wAAAAkBAAAPAAAAZHJzL2Rvd25yZXYu&#10;eG1sTI/BTsMwDIbvSLxDZCRuW7pWjFKaTgg0TaBdtiFx9RrTFBqna7KtvD1BHOBo+9Pv7y8Xo+3E&#10;iQbfOlYwmyYgiGunW24UvO6WkxyED8gaO8ek4Is8LKrLixIL7c68odM2NCKGsC9QgQmhL6T0tSGL&#10;fup64nh7d4PFEMehkXrAcwy3nUyTZC4tthw/GOzp0VD9uT1aBfi02oS3PH25bZ/N+mO3PKxMflDq&#10;+mp8uAcRaAx/MPzoR3WootPeHVl70SmYZLObiCrI0zmICNxlaQZi/7uQVSn/N6i+AQAA//8DAFBL&#10;AQItABQABgAIAAAAIQC2gziS/gAAAOEBAAATAAAAAAAAAAAAAAAAAAAAAABbQ29udGVudF9UeXBl&#10;c10ueG1sUEsBAi0AFAAGAAgAAAAhADj9If/WAAAAlAEAAAsAAAAAAAAAAAAAAAAALwEAAF9yZWxz&#10;Ly5yZWxzUEsBAi0AFAAGAAgAAAAhAMDtWtC3AQAAewMAAA4AAAAAAAAAAAAAAAAALgIAAGRycy9l&#10;Mm9Eb2MueG1sUEsBAi0AFAAGAAgAAAAhAEzPkdzfAAAACQEAAA8AAAAAAAAAAAAAAAAAEQQAAGRy&#10;cy9kb3ducmV2LnhtbFBLBQYAAAAABAAEAPMAAAAdBQAAAAA=&#10;">
                  <v:path arrowok="t"/>
                  <v:fill focussize="0,0"/>
                  <v:stroke weight="1pt"/>
                  <v:imagedata o:title=""/>
                  <o:lock v:ext="edit"/>
                </v:line>
              </w:pict>
            </w:r>
            <w:r>
              <w:rPr>
                <w:rFonts w:hAnsi="黑体"/>
                <w:bCs/>
                <w:color w:val="000000" w:themeColor="text1"/>
              </w:rPr>
              <w:t>T/CSF</w:t>
            </w:r>
            <w:r>
              <w:rPr>
                <w:rFonts w:hAnsi="黑体"/>
                <w:bCs/>
                <w:color w:val="000000" w:themeColor="text1"/>
              </w:rPr>
              <w:pict>
                <v:rect id="DT" o:spid="_x0000_s2057" o:spt="1" style="position:absolute;left:0pt;margin-left:372.8pt;margin-top:2.7pt;height:18pt;width:90pt;z-index:-25165516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1pJhQEAAAcDAAAOAAAAZHJzL2Uyb0RvYy54bWysUstu2zAQvBfoPxC815LcIggEyzkkcC9B&#10;GyDtB9AUKREhucQuY9l/3yXtuEF7K6rDgvvgaGaWm7tj8OJgkBzEQXarVgoTNYwuToP8+WP36VYK&#10;yiqOykM0gzwZknfbjx82S+rNGmbwo0HBIJH6JQ1yzjn1TUN6NkHRCpKJ3LSAQWVOcWpGVAujB9+s&#10;2/amWQDHhKANEVcfzk25rfjWGp2/W0smCz9I5pZrxBr3JTbbjeonVGl2+kJD/QOLoFzkn16hHlRW&#10;4hXdX1DBaQQCm1caQgPWOm2qBlbTtX+oeZ5VMlULm0PpahP9P1j97fCcnrBQp/QI+oXYkWZJ1F87&#10;JaHLzNFiKLNMXByri6eri+aYheZi13353LZstubeen17w+cCqvq32wkpfzUQRDkMEnlL1Tx1eKR8&#10;Hn0bqcTAu3HnvK8JTvt7j+KgeKO7+l3Q6f2Yj2U4Qrl2RiyVKuyspajaw3h6QvGa0E0zE+kqUumw&#10;25Xx5WWUdb7PK9Lv97v9BQAA//8DAFBLAwQUAAYACAAAACEAzLnuuN0AAAAIAQAADwAAAGRycy9k&#10;b3ducmV2LnhtbEyPwU7DMBBE70j8g7VI3KjT4oQ2zaZCSD0BB1okrtt4m0TEdoidNvw97okeRzOa&#10;eVNsJtOJEw++dRZhPktAsK2cbm2N8LnfPixB+EBWU+csI/yyh015e1NQrt3ZfvBpF2oRS6zPCaEJ&#10;oc+l9FXDhvzM9Wyjd3SDoRDlUEs90DmWm04ukiSThlobFxrq+aXh6ns3GgTKlP55Pz6+7V/HjFb1&#10;lGzTrwTx/m56XoMIPIX/MFzwIzqUkengRqu96BCeVJrFKEKqQER/tbjoA4KaK5BlIa8PlH8AAAD/&#10;/wMAUEsBAi0AFAAGAAgAAAAhALaDOJL+AAAA4QEAABMAAAAAAAAAAAAAAAAAAAAAAFtDb250ZW50&#10;X1R5cGVzXS54bWxQSwECLQAUAAYACAAAACEAOP0h/9YAAACUAQAACwAAAAAAAAAAAAAAAAAvAQAA&#10;X3JlbHMvLnJlbHNQSwECLQAUAAYACAAAACEArmtaSYUBAAAHAwAADgAAAAAAAAAAAAAAAAAuAgAA&#10;ZHJzL2Uyb0RvYy54bWxQSwECLQAUAAYACAAAACEAzLnuuN0AAAAIAQAADwAAAAAAAAAAAAAAAADf&#10;AwAAZHJzL2Rvd25yZXYueG1sUEsFBgAAAAAEAAQA8wAAAOkEAAAAAA==&#10;">
                  <v:path/>
                  <v:fill focussize="0,0"/>
                  <v:stroke on="f"/>
                  <v:imagedata o:title=""/>
                  <o:lock v:ext="edit"/>
                </v:rect>
              </w:pict>
            </w:r>
            <w:r>
              <w:rPr>
                <w:rFonts w:hAnsi="黑体"/>
                <w:bCs/>
                <w:color w:val="000000" w:themeColor="text1"/>
              </w:rPr>
              <w:t xml:space="preserve"> </w:t>
            </w:r>
            <w:r>
              <w:rPr>
                <w:rFonts w:hint="eastAsia" w:hAnsi="黑体"/>
                <w:bCs/>
                <w:color w:val="000000" w:themeColor="text1"/>
              </w:rPr>
              <w:t xml:space="preserve"> xxxx—</w:t>
            </w:r>
            <w:r>
              <w:rPr>
                <w:rFonts w:hAnsi="黑体"/>
                <w:bCs/>
                <w:color w:val="000000" w:themeColor="text1"/>
              </w:rPr>
              <w:t>20</w:t>
            </w:r>
            <w:bookmarkEnd w:id="0"/>
            <w:r>
              <w:rPr>
                <w:rFonts w:hAnsi="黑体"/>
                <w:bCs/>
                <w:color w:val="000000" w:themeColor="text1"/>
              </w:rPr>
              <w:t>2</w:t>
            </w:r>
            <w:r>
              <w:rPr>
                <w:rFonts w:hint="eastAsia" w:hAnsi="黑体"/>
                <w:bCs/>
                <w:color w:val="000000" w:themeColor="text1"/>
              </w:rPr>
              <w:t>6</w:t>
            </w:r>
            <w:r>
              <w:rPr>
                <w:rFonts w:ascii="Times New Roman"/>
                <w:bCs/>
                <w:color w:val="000000" w:themeColor="text1"/>
              </w:rPr>
              <w:t xml:space="preserve">              </w:t>
            </w:r>
          </w:p>
        </w:tc>
      </w:tr>
    </w:tbl>
    <w:tbl>
      <w:tblPr>
        <w:tblStyle w:val="23"/>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1C8EC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5B851BF7">
            <w:pPr>
              <w:widowControl/>
              <w:jc w:val="left"/>
              <w:rPr>
                <w:color w:val="000000" w:themeColor="text1"/>
              </w:rPr>
            </w:pPr>
          </w:p>
        </w:tc>
      </w:tr>
    </w:tbl>
    <w:p w14:paraId="2BDAA80B">
      <w:pPr>
        <w:pStyle w:val="57"/>
        <w:framePr w:h="4897" w:hRule="exact" w:wrap="around" w:x="1399" w:y="6192"/>
        <w:rPr>
          <w:b/>
          <w:szCs w:val="52"/>
        </w:rPr>
      </w:pPr>
      <w:r>
        <w:rPr>
          <w:bCs/>
          <w:szCs w:val="52"/>
        </w:rPr>
        <w:t>森林火灾风险评估技术规范</w:t>
      </w:r>
    </w:p>
    <w:p w14:paraId="7E6D82D0">
      <w:pPr>
        <w:pStyle w:val="57"/>
        <w:framePr w:h="4897" w:hRule="exact" w:wrap="around" w:x="1399" w:y="6192"/>
        <w:rPr>
          <w:rFonts w:ascii="Times New Roman"/>
          <w:b/>
          <w:bCs/>
          <w:color w:val="000000" w:themeColor="text1"/>
          <w:sz w:val="28"/>
          <w:szCs w:val="28"/>
        </w:rPr>
      </w:pPr>
      <w:r>
        <w:rPr>
          <w:rFonts w:ascii="Times New Roman"/>
          <w:b/>
          <w:bCs/>
          <w:color w:val="000000" w:themeColor="text1"/>
          <w:sz w:val="28"/>
          <w:szCs w:val="28"/>
        </w:rPr>
        <w:t>Technical specification for forest fire risk assessment</w:t>
      </w:r>
    </w:p>
    <w:p w14:paraId="4A405714">
      <w:pPr>
        <w:pStyle w:val="57"/>
        <w:framePr w:h="4897" w:hRule="exact" w:wrap="around" w:x="1399" w:y="6192"/>
        <w:rPr>
          <w:rFonts w:hint="eastAsia" w:ascii="仿宋" w:hAnsi="仿宋" w:eastAsia="仿宋" w:cs="仿宋"/>
          <w:b w:val="0"/>
          <w:bCs w:val="0"/>
          <w:color w:val="000000" w:themeColor="text1"/>
          <w:sz w:val="28"/>
          <w:szCs w:val="28"/>
          <w:lang w:eastAsia="zh-CN"/>
        </w:rPr>
      </w:pPr>
      <w:r>
        <w:rPr>
          <w:rFonts w:hint="eastAsia" w:ascii="仿宋" w:hAnsi="仿宋" w:eastAsia="仿宋" w:cs="仿宋"/>
          <w:b w:val="0"/>
          <w:bCs w:val="0"/>
          <w:color w:val="000000" w:themeColor="text1"/>
          <w:sz w:val="28"/>
          <w:szCs w:val="28"/>
          <w:lang w:eastAsia="zh-CN"/>
        </w:rPr>
        <w:t>（征求意见稿）</w:t>
      </w:r>
    </w:p>
    <w:p w14:paraId="21597B4D">
      <w:pPr>
        <w:pStyle w:val="57"/>
        <w:framePr w:h="4897" w:hRule="exact" w:wrap="around" w:x="1399" w:y="6192"/>
        <w:rPr>
          <w:rFonts w:ascii="Times New Roman"/>
          <w:b/>
          <w:bCs/>
          <w:color w:val="000000" w:themeColor="text1"/>
        </w:rPr>
      </w:pPr>
      <w:bookmarkStart w:id="165" w:name="_GoBack"/>
      <w:bookmarkEnd w:id="165"/>
    </w:p>
    <w:p w14:paraId="00DBF512">
      <w:pPr>
        <w:rPr>
          <w:color w:val="000000" w:themeColor="text1"/>
        </w:rPr>
      </w:pPr>
    </w:p>
    <w:p w14:paraId="11555A94">
      <w:pPr>
        <w:rPr>
          <w:color w:val="000000" w:themeColor="text1"/>
        </w:rPr>
      </w:pPr>
    </w:p>
    <w:p w14:paraId="1280AB99">
      <w:pPr>
        <w:rPr>
          <w:color w:val="000000" w:themeColor="text1"/>
        </w:rPr>
      </w:pPr>
    </w:p>
    <w:p w14:paraId="6D43C4AA">
      <w:pPr>
        <w:rPr>
          <w:color w:val="000000" w:themeColor="text1"/>
        </w:rPr>
      </w:pPr>
      <w:r>
        <w:rPr>
          <w:color w:val="000000" w:themeColor="text1"/>
        </w:rPr>
        <w:pict>
          <v:shape id="文本框 13" o:spid="_x0000_s2056" o:spt="202" type="#_x0000_t202" style="position:absolute;left:0pt;margin-left:121.9pt;margin-top:572.25pt;height:35.15pt;width:156.2pt;z-index:25166438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Bj8gEAAMoDAAAOAAAAZHJzL2Uyb0RvYy54bWysU9tu2zAMfR+wfxD0vjjJ3JsRp+hSZBjQ&#10;XYCuHyDLsi1MFjVKiZ19/Sg5TbP1bZgeBFGkDnkOqdXt2Bu2V+g12JIvZnPOlJVQa9uW/On79t01&#10;Zz4IWwsDVpX8oDy/Xb99sxpcoZbQgakVMgKxvhhcybsQXJFlXnaqF34GTllyNoC9CGRim9UoBkLv&#10;Tbaczy+zAbB2CFJ5T7f3k5OvE37TKBm+No1XgZmSU20h7Zj2Ku7ZeiWKFoXrtDyWIf6hil5oS0lP&#10;UPciCLZD/Qqq1xLBQxNmEvoMmkZLlTgQm8X8LzaPnXAqcSFxvDvJ5P8frPyyf3TfkIXxA4zUwETC&#10;uweQPzyzsOmEbdUdIgydEjUlXkTJssH54vg0Su0LH0Gq4TPU1GSxC5CAxgb7qArxZIRODTicRFdj&#10;YDKmvLl+f5WTS5Ivzy/z+UVKIYrn1w59+KigZ/FQcqSmJnSxf/AhViOK55CYzIPR9VYbkwxsq41B&#10;thc0ANu0juh/hBkbgy3EZxNivEk0I7OJYxirkZyRbgX1gQgjTANFH4AOHeAvzgYappL7nzuBijPz&#10;yZJoN4s8MgzJyC+ulmTguac69wgrCarkgbPpuAnTxO4c6rajTFObLNyR0I1OGrxUdaybBiZJcxzu&#10;OJHndop6+YLr3wAAAP//AwBQSwMEFAAGAAgAAAAhAHv0V9DgAAAADQEAAA8AAABkcnMvZG93bnJl&#10;di54bWxMj0FPg0AQhe8m/ofNmHgxdgGBVmRp1ETjtbU/YGC3QGRnCbst9N87nuzxzXt575tyu9hB&#10;nM3ke0cK4lUEwlDjdE+tgsP3x+MGhA9IGgdHRsHFeNhWtzclFtrNtDPnfWgFl5AvUEEXwlhI6ZvO&#10;WPQrNxpi7+gmi4Hl1Eo94czldpBJFOXSYk+80OFo3jvT/OxPVsHxa37Inuf6MxzWuzR/w35du4tS&#10;93fL6wuIYJbwH4Y/fEaHiplqdyLtxaAgSZ8YPbARp2kGgiNZlicgaj4lcboBWZXy+ovqFwAA//8D&#10;AFBLAQItABQABgAIAAAAIQC2gziS/gAAAOEBAAATAAAAAAAAAAAAAAAAAAAAAABbQ29udGVudF9U&#10;eXBlc10ueG1sUEsBAi0AFAAGAAgAAAAhADj9If/WAAAAlAEAAAsAAAAAAAAAAAAAAAAALwEAAF9y&#10;ZWxzLy5yZWxzUEsBAi0AFAAGAAgAAAAhAKUuEGPyAQAAygMAAA4AAAAAAAAAAAAAAAAALgIAAGRy&#10;cy9lMm9Eb2MueG1sUEsBAi0AFAAGAAgAAAAhAHv0V9DgAAAADQEAAA8AAAAAAAAAAAAAAAAATAQA&#10;AGRycy9kb3ducmV2LnhtbFBLBQYAAAAABAAEAPMAAABZBQAAAAA=&#10;">
            <v:path/>
            <v:fill focussize="0,0"/>
            <v:stroke on="f" joinstyle="miter"/>
            <v:imagedata o:title=""/>
            <o:lock v:ext="edit"/>
            <v:textbox>
              <w:txbxContent>
                <w:p w14:paraId="779E8139">
                  <w:pPr>
                    <w:rPr>
                      <w:rFonts w:hint="eastAsia" w:ascii="黑体" w:hAnsi="黑体" w:eastAsia="黑体"/>
                      <w:sz w:val="28"/>
                    </w:rPr>
                  </w:pPr>
                  <w:r>
                    <w:rPr>
                      <w:rFonts w:hint="eastAsia" w:ascii="黑体" w:hAnsi="黑体" w:eastAsia="黑体"/>
                      <w:sz w:val="28"/>
                    </w:rPr>
                    <w:t>2018—xx-xx 发布</w:t>
                  </w:r>
                </w:p>
              </w:txbxContent>
            </v:textbox>
          </v:shape>
        </w:pict>
      </w:r>
    </w:p>
    <w:p w14:paraId="5BDC992B">
      <w:pPr>
        <w:rPr>
          <w:color w:val="000000" w:themeColor="text1"/>
        </w:rPr>
      </w:pPr>
      <w:r>
        <w:rPr>
          <w:color w:val="000000" w:themeColor="text1"/>
        </w:rPr>
        <w:pict>
          <v:shape id="直接箭头连接符 11" o:spid="_x0000_s2055" o:spt="32" type="#_x0000_t32" style="position:absolute;left:0pt;margin-left:-3.35pt;margin-top:370.55pt;height:0pt;width:481.9pt;z-index:251662336;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TNtwEAAFcDAAAOAAAAZHJzL2Uyb0RvYy54bWysU8Fu2zAMvQ/YPwi6L7YzoBuMOD2k7S7d&#10;FqDtBzCSbAuVRYFU4uTvJ6lJVmy3YT4Ikig+vvdIr26PkxMHQ2zRd7JZ1FIYr1BbP3Ty5fnh01cp&#10;OILX4NCbTp4My9v1xw+rObRmiSM6bUgkEM/tHDo5xhjaqmI1mgl4gcH4FOyRJojpSEOlCeaEPrlq&#10;Wdc31YykA6EyzOn27i0o1wW/742KP/ueTRSuk4lbLCuVdZfXar2CdiAIo1VnGvAPLCawPhW9Qt1B&#10;BLEn+xfUZBUhYx8XCqcK+94qUzQkNU39h5qnEYIpWpI5HK428f+DVT8OG7+lTF0d/VN4RPXKwuNm&#10;BD+YQuD5FFLjmmxVNQduryn5wGFLYjd/R53ewD5iceHY05Qhkz5xLGafrmabYxQqXd40SfHn1BN1&#10;iVXQXhIDcfxmcBJ500mOBHYY4wa9Ty1FakoZODxyzLSgvSTkqh4frHOls86LOXFffqnrksHorM7R&#10;/I5p2G0ciQPk4ShfEZki758R7r0uaKMBfX/eR7DubZ+qO3/2JtuRZ4/bHerTli6epe4VmudJy+Px&#10;/lyyf/8P618AAAD//wMAUEsDBBQABgAIAAAAIQB8lFDr2gAAAAoBAAAPAAAAZHJzL2Rvd25yZXYu&#10;eG1sTI9NT4NAEIbvJv6HzZh4axeMQKUsjZp4bqS9eBvYKZCyu4TdFvz3ThMTvc3Hk3eeKXaLGcSV&#10;Jt87qyBeRyDINk73tlVwPHysNiB8QKtxcJYUfJOHXXl/V2Cu3Ww/6VqFVnCI9Tkq6EIYcyl905FB&#10;v3YjWd6d3GQwcDu1Uk84c7gZ5FMUpdJgb/lChyO9d9Scq4tRkD3rL4fpW1In8/4Q6NRVm/2i1OPD&#10;8roFEWgJfzDc9FkdSnaq3cVqLwYFqzRj8pYVxyAYeEkyLurfiSwL+f+F8gcAAP//AwBQSwECLQAU&#10;AAYACAAAACEAtoM4kv4AAADhAQAAEwAAAAAAAAAAAAAAAAAAAAAAW0NvbnRlbnRfVHlwZXNdLnht&#10;bFBLAQItABQABgAIAAAAIQA4/SH/1gAAAJQBAAALAAAAAAAAAAAAAAAAAC8BAABfcmVscy8ucmVs&#10;c1BLAQItABQABgAIAAAAIQBb7ATNtwEAAFcDAAAOAAAAAAAAAAAAAAAAAC4CAABkcnMvZTJvRG9j&#10;LnhtbFBLAQItABQABgAIAAAAIQB8lFDr2gAAAAoBAAAPAAAAAAAAAAAAAAAAABEEAABkcnMvZG93&#10;bnJldi54bWxQSwUGAAAAAAQABADzAAAAGAUAAAAA&#10;">
            <v:path arrowok="t"/>
            <v:fill on="f" focussize="0,0"/>
            <v:stroke weight="1pt"/>
            <v:imagedata o:title=""/>
            <o:lock v:ext="edit"/>
          </v:shape>
        </w:pict>
      </w:r>
    </w:p>
    <w:p w14:paraId="38ECDBF7">
      <w:pPr>
        <w:rPr>
          <w:color w:val="000000" w:themeColor="text1"/>
        </w:rPr>
      </w:pPr>
    </w:p>
    <w:p w14:paraId="71BF684C">
      <w:pPr>
        <w:rPr>
          <w:color w:val="000000" w:themeColor="text1"/>
        </w:rPr>
      </w:pPr>
      <w:r>
        <w:rPr>
          <w:color w:val="000000" w:themeColor="text1"/>
        </w:rPr>
        <w:pict>
          <v:shape id="文本框 9" o:spid="_x0000_s2054" o:spt="202" type="#_x0000_t202" style="position:absolute;left:0pt;margin-left:347.25pt;margin-top:4.75pt;height:31.65pt;width:144.9pt;z-index:251666432;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tRggIAAIUFAAAOAAAAZHJzL2Uyb0RvYy54bWysVN9P2zAQfp+0/8Hy+5q0tAwiUtQVMU2q&#10;AK1MPLuOTS0cn2e7Tbq/nrOTtsB4YdqLc859d+f77sfFZVtrshXOKzAlHQ5ySoThUCnzWNJf99df&#10;zijxgZmKaTCipDvh6eX086eLxhZiBGvQlXAEnRhfNLak6xBskWWer0XN/ACsMKiU4GoW8Ooes8qx&#10;Br3XOhvl+WnWgKusAy68x79XnZJOk38pBQ+3UnoRiC4pvi2k06VzFc9sesGKR8fsWvH+GewfXlEz&#10;ZTDowdUVC4xsnPrLVa24Aw8yDDjUGUipuEg5YDbD/E02yzWzIuWC5Hh7oMn/P7f8Zru0d46E9hu0&#10;WMCUhLcL4E8eucka64seEzn1hUd0TLSVro5fTIGgIXK7O/Ap2kB49HY2zkcnqOKoG+fD88kkEp4d&#10;ra3z4buAmkShpA7rlV7AtgsfOugeEoN50Kq6VlqnS+wRMdeObBlWV4dh7/wVShvSlPT0ZJInxwai&#10;eedZm+hGpC7pwx0zTFLYaREx2vwUkqgqJfpObMa5MIf4CR1REkN9xLDHH1/1EeMuD7RIkcGEg3Gt&#10;DLiusK8pq572lMkO3xfcd3lHCkK7ajHx2BlIWvyzgmqHDeOgmyVv+bXC4i2YD3fM4fBgvXEhhFs8&#10;pAYkH3qJkjW4P+/9j3jsadRS0uAwltT/3jAnKNE/DHb7+XA8jtObLuPJ1xFe3EvN6qXGbOo5YEcM&#10;cfVYnsSID3ovSgf1A+6NWYyKKmY4xi5p2Ivz0K0I3DtczGYJhPNqWViYpeX7OYmted8+MGf7/g3Y&#10;+TewH1tWvGnjDhvrY2C2CSBV6vEjqz3/OOtpSvq9FJfJy3tCHbfn9BkAAP//AwBQSwMEFAAGAAgA&#10;AAAhAH2kYrzhAAAACAEAAA8AAABkcnMvZG93bnJldi54bWxMj0tPhEAQhO8m/odJm3gx7uCyD0CG&#10;jTE+Em8uPuJtlmmByPQQZhbw39ue9FTpVKXq63w3206MOPjWkYKrRQQCqXKmpVrBS3l/mYDwQZPR&#10;nSNU8I0edsXpSa4z4yZ6xnEfasEl5DOtoAmhz6T0VYNW+4Xrkdj7dIPVgc+hlmbQE5fbTi6jaCOt&#10;bokXGt3jbYPV1/5oFXxc1O9Pfn54neJ13N89juX2zZRKnZ/NN9cgAs7hLwy/+IwOBTMd3JGMF52C&#10;Tbpac1RBysJ+mqxiEAcF22UCssjl/weKHwAAAP//AwBQSwECLQAUAAYACAAAACEAtoM4kv4AAADh&#10;AQAAEwAAAAAAAAAAAAAAAAAAAAAAW0NvbnRlbnRfVHlwZXNdLnhtbFBLAQItABQABgAIAAAAIQA4&#10;/SH/1gAAAJQBAAALAAAAAAAAAAAAAAAAAC8BAABfcmVscy8ucmVsc1BLAQItABQABgAIAAAAIQAY&#10;MltRggIAAIUFAAAOAAAAAAAAAAAAAAAAAC4CAABkcnMvZTJvRG9jLnhtbFBLAQItABQABgAIAAAA&#10;IQB9pGK84QAAAAgBAAAPAAAAAAAAAAAAAAAAANwEAABkcnMvZG93bnJldi54bWxQSwUGAAAAAAQA&#10;BADzAAAA6gUAAAAA&#10;">
            <v:path/>
            <v:fill on="t" focussize="0,0"/>
            <v:stroke on="f" weight="0.5pt" joinstyle="miter"/>
            <v:imagedata o:title=""/>
            <o:lock v:ext="edit"/>
            <v:textbox>
              <w:txbxContent>
                <w:p w14:paraId="50D0CE30">
                  <w:pPr>
                    <w:rPr>
                      <w:rFonts w:hint="eastAsia" w:ascii="黑体" w:hAnsi="黑体" w:eastAsia="黑体"/>
                      <w:b/>
                      <w:sz w:val="28"/>
                    </w:rPr>
                  </w:pPr>
                  <w:r>
                    <w:rPr>
                      <w:rFonts w:hint="eastAsia" w:ascii="黑体" w:hAnsi="黑体" w:eastAsia="黑体" w:cs="Arial"/>
                      <w:sz w:val="28"/>
                    </w:rPr>
                    <w:t>2026</w:t>
                  </w:r>
                  <w:r>
                    <w:rPr>
                      <w:rFonts w:ascii="黑体" w:hAnsi="黑体" w:eastAsia="黑体" w:cs="Arial"/>
                      <w:sz w:val="28"/>
                    </w:rPr>
                    <w:t>-</w:t>
                  </w:r>
                  <w:r>
                    <w:rPr>
                      <w:rFonts w:hint="eastAsia" w:ascii="黑体" w:hAnsi="黑体" w:eastAsia="黑体" w:cs="Arial"/>
                      <w:sz w:val="28"/>
                    </w:rPr>
                    <w:t>XX</w:t>
                  </w:r>
                  <w:r>
                    <w:rPr>
                      <w:rFonts w:ascii="黑体" w:hAnsi="黑体" w:eastAsia="黑体" w:cs="Arial"/>
                      <w:sz w:val="28"/>
                    </w:rPr>
                    <w:t>-</w:t>
                  </w:r>
                  <w:r>
                    <w:rPr>
                      <w:rFonts w:hint="eastAsia" w:ascii="黑体" w:hAnsi="黑体" w:eastAsia="黑体" w:cs="Arial"/>
                      <w:sz w:val="28"/>
                    </w:rPr>
                    <w:t>XX</w:t>
                  </w:r>
                  <w:r>
                    <w:rPr>
                      <w:rFonts w:hint="eastAsia" w:ascii="黑体" w:hAnsi="黑体" w:eastAsia="黑体"/>
                      <w:sz w:val="28"/>
                    </w:rPr>
                    <w:t xml:space="preserve"> 实施</w:t>
                  </w:r>
                </w:p>
                <w:p w14:paraId="7582F07C"/>
              </w:txbxContent>
            </v:textbox>
          </v:shape>
        </w:pict>
      </w:r>
      <w:r>
        <w:rPr>
          <w:color w:val="000000" w:themeColor="text1"/>
        </w:rPr>
        <w:pict>
          <v:shape id="文本框 7" o:spid="_x0000_s2053" o:spt="202" type="#_x0000_t202" style="position:absolute;left:0pt;margin-left:-2.1pt;margin-top:4.75pt;height:38.75pt;width:144.9pt;z-index:251665408;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0mUgwIAAIUFAAAOAAAAZHJzL2Uyb0RvYy54bWysVN9P2zAQfp+0/8Hy+5o2FAZRU9SBOk2q&#10;AK1MPLuOTS0cn2e7Tbq/nrOTtsB4YdqLc859d+f77sfksq012QrnFZiSjgZDSoThUCnzWNJf9/Mv&#10;55T4wEzFNBhR0p3w9HL6+dOksYXIYQ26Eo6gE+OLxpZ0HYItsszztaiZH4AVBpUSXM0CXt1jVjnW&#10;oPdaZ/lweJY14CrrgAvv8e91p6TT5F9KwcOtlF4EokuKbwvpdOlcxTObTljx6JhdK94/g/3DK2qm&#10;DAY9uLpmgZGNU3+5qhV34EGGAYc6AykVFykHzGY0fJPNcs2sSLkgOd4eaPL/zy2/2S7tnSOh/QYt&#10;FjAl4e0C+JNHbrLG+qLHRE594REdE22lq+MXUyBoiNzuDnyKNhAevZ2Ph/kJqjjqxhf5KD+NhGdH&#10;a+t8+C6gJlEoqcN6pRew7cKHDrqHxGAetKrmSut0iT0irrQjW4bV1WHUO3+F0oY0JT07OR0mxwai&#10;eedZm+hGpC7pwx0zTFLYaREx2vwUkqgqJfpObMa5MIf4CR1REkN9xLDHH1/1EeMuD7RIkcGEg3Gt&#10;DLiusK8pq572lMkO3xfcd3lHCkK7ajHxkuaR3PhnBdUOG8ZBN0ve8rnC4i2YD3fM4fBgvXEhhFs8&#10;pAYkH3qJkjW4P+/9j3jsadRS0uAwltT/3jAnKNE/DHb7xWg8jtObLuPTrzle3EvN6qXGbOorwI4Y&#10;4eqxPIkRH/RelA7qB9wbsxgVVcxwjF3SsBevQrcicO9wMZslEM6rZWFhlpbv5yS25n37wJzt+zdg&#10;59/AfmxZ8aaNO2ysj4HZJoBUqcePrPb846ynKen3UlwmL+8Jddye02cAAAD//wMAUEsDBBQABgAI&#10;AAAAIQD5grPp3wAAAAcBAAAPAAAAZHJzL2Rvd25yZXYueG1sTI5NT4NAFEX3Jv6HyTNxY9pBKi0i&#10;j8YYtYk7ix9xN2WeQGTeEGYK+O8dV7q8uTfnnnw7m06MNLjWMsLlMgJBXFndco3wUj4sUhDOK9aq&#10;s0wI3+RgW5ye5CrTduJnGve+FgHCLlMIjfd9JqWrGjLKLW1PHLpPOxjlQxxqqQc1BbjpZBxFa2lU&#10;y+GhUT3dNVR97Y8G4eOifn9y8+PrtEpW/f1uLDdvukQ8P5tvb0B4mv3fGH71gzoUwelgj6yd6BAW&#10;V3FYIlwnIEIdp8kaxAEh3UQgi1z+9y9+AAAA//8DAFBLAQItABQABgAIAAAAIQC2gziS/gAAAOEB&#10;AAATAAAAAAAAAAAAAAAAAAAAAABbQ29udGVudF9UeXBlc10ueG1sUEsBAi0AFAAGAAgAAAAhADj9&#10;If/WAAAAlAEAAAsAAAAAAAAAAAAAAAAALwEAAF9yZWxzLy5yZWxzUEsBAi0AFAAGAAgAAAAhAOBX&#10;SZSDAgAAhQUAAA4AAAAAAAAAAAAAAAAALgIAAGRycy9lMm9Eb2MueG1sUEsBAi0AFAAGAAgAAAAh&#10;APmCs+nfAAAABwEAAA8AAAAAAAAAAAAAAAAA3QQAAGRycy9kb3ducmV2LnhtbFBLBQYAAAAABAAE&#10;APMAAADpBQAAAAA=&#10;">
            <v:path/>
            <v:fill on="t" focussize="0,0"/>
            <v:stroke on="f" weight="0.5pt" joinstyle="miter"/>
            <v:imagedata o:title=""/>
            <o:lock v:ext="edit"/>
            <v:textbox>
              <w:txbxContent>
                <w:p w14:paraId="22B7D080">
                  <w:pPr>
                    <w:rPr>
                      <w:rFonts w:hint="eastAsia" w:ascii="黑体" w:hAnsi="黑体" w:eastAsia="黑体"/>
                      <w:sz w:val="28"/>
                    </w:rPr>
                  </w:pPr>
                  <w:bookmarkStart w:id="164" w:name="OLE_LINK24"/>
                  <w:r>
                    <w:rPr>
                      <w:rFonts w:hint="eastAsia" w:ascii="黑体" w:hAnsi="黑体" w:eastAsia="黑体" w:cs="Arial"/>
                      <w:sz w:val="28"/>
                    </w:rPr>
                    <w:t>2026</w:t>
                  </w:r>
                  <w:r>
                    <w:rPr>
                      <w:rFonts w:ascii="黑体" w:hAnsi="黑体" w:eastAsia="黑体" w:cs="Arial"/>
                      <w:sz w:val="28"/>
                    </w:rPr>
                    <w:t>-</w:t>
                  </w:r>
                  <w:r>
                    <w:rPr>
                      <w:rFonts w:hint="eastAsia" w:ascii="黑体" w:hAnsi="黑体" w:eastAsia="黑体" w:cs="Arial"/>
                      <w:sz w:val="28"/>
                    </w:rPr>
                    <w:t>XX</w:t>
                  </w:r>
                  <w:r>
                    <w:rPr>
                      <w:rFonts w:ascii="黑体" w:hAnsi="黑体" w:eastAsia="黑体" w:cs="Arial"/>
                      <w:sz w:val="28"/>
                    </w:rPr>
                    <w:t>-</w:t>
                  </w:r>
                  <w:r>
                    <w:rPr>
                      <w:rFonts w:hint="eastAsia" w:ascii="黑体" w:hAnsi="黑体" w:eastAsia="黑体" w:cs="Arial"/>
                      <w:sz w:val="28"/>
                    </w:rPr>
                    <w:t>XX</w:t>
                  </w:r>
                  <w:r>
                    <w:rPr>
                      <w:rFonts w:hint="eastAsia" w:ascii="黑体" w:hAnsi="黑体" w:eastAsia="黑体"/>
                      <w:sz w:val="28"/>
                    </w:rPr>
                    <w:t xml:space="preserve"> </w:t>
                  </w:r>
                  <w:bookmarkEnd w:id="164"/>
                  <w:r>
                    <w:rPr>
                      <w:rFonts w:hint="eastAsia" w:ascii="黑体" w:hAnsi="黑体" w:eastAsia="黑体"/>
                      <w:sz w:val="28"/>
                    </w:rPr>
                    <w:t>发布</w:t>
                  </w:r>
                </w:p>
                <w:p w14:paraId="00C69306"/>
              </w:txbxContent>
            </v:textbox>
          </v:shape>
        </w:pict>
      </w:r>
    </w:p>
    <w:p w14:paraId="57111615">
      <w:pPr>
        <w:rPr>
          <w:color w:val="000000" w:themeColor="text1"/>
        </w:rPr>
      </w:pPr>
    </w:p>
    <w:p w14:paraId="458901D0">
      <w:pPr>
        <w:rPr>
          <w:color w:val="000000" w:themeColor="text1"/>
        </w:rPr>
      </w:pPr>
    </w:p>
    <w:p w14:paraId="34176EC4">
      <w:pPr>
        <w:rPr>
          <w:color w:val="000000" w:themeColor="text1"/>
        </w:rPr>
      </w:pPr>
      <w:r>
        <w:rPr>
          <w:b/>
          <w:color w:val="000000" w:themeColor="text1"/>
          <w:sz w:val="48"/>
          <w:szCs w:val="48"/>
        </w:rPr>
        <w:pict>
          <v:shape id="文本框 5" o:spid="_x0000_s2052" o:spt="202" type="#_x0000_t202" style="position:absolute;left:0pt;margin-left:25.35pt;margin-top:2.6pt;height:40.6pt;width:433.85pt;z-index:251667456;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XfhwIAAIUFAAAOAAAAZHJzL2Uyb0RvYy54bWysVE1v2zAMvQ/YfxB0X520cdYYdYqsRYYB&#10;QVusHXpWZKkRKouapMTOfn0p2flo10uHXWx9PJLi4yMvLttak41wXoEp6fBkQIkwHCplnkr662H+&#10;5ZwSH5ipmAYjSroVnl5OP3+6aGwhTmEFuhKOoBPji8aWdBWCLbLM85WomT8BKwxeSnA1C7h1T1nl&#10;WIPea52dDgbjrAFXWQdceI+n190lnSb/UgoebqX0IhBdUnxbSF+Xvsv4zaYXrHhyzK4U75/B/uEV&#10;NVMGg+5dXbPAyNqpv1zVijvwIMMJhzoDKRUXKQfMZjh4k839ilmRckFyvN3T5P+fW36zubd3joT2&#10;G7RYwJSEtwvgzx65yRrrix4TOfWFR3RMtJWujn9MgaAhcrvd8ynaQDge5vlgcj7JKeF4lw/z8Wki&#10;PDtYW+fDdwE1iYuSOqxXegHbLHyI8Vmxg8RgHrSq5krrtIkaEVfakQ3D6uowjNVEi1cobUhT0vFZ&#10;PkiODUTzDqdNdCOSSvpwhwzTKmy1iBhtfgpJVJUSfSc241yYffyEjiiJoT5i2OMPr/qIcZcHWqTI&#10;YMLeuFYGXFfY15RVzzvKZIfvC+67vCMFoV22mHhJzyK58WQJ1RYF46DrJW/5XGHxFsyHO+aweVAK&#10;OBDCLX6kBiQf+hUlK3B/3juPeNQ03lLSYDOW1P9eMyco0T8Mqn0yHI1i96bNKP+KOiLu+GZ5fGPW&#10;9RWgIoY4eixPy4gPereUDupHnBuzGBWvmOEYu6Rht7wK3YjAucPFbJZA2K+WhYW5t3zXJ1GaD+0j&#10;c7bXb0Dl38CubVnxRsYdNtbHwGwdQKqk8QOrPf/Y60nI/VyKw+R4n1CH6Tl9AQAA//8DAFBLAwQU&#10;AAYACAAAACEAXqSH4N8AAAAHAQAADwAAAGRycy9kb3ducmV2LnhtbEyOS0/DMBCE70j9D9ZW4oKo&#10;03cIcSqEeEi90fAQNzdekoh4HcVuEv49y4meRqMZzXzpbrSN6LHztSMF81kEAqlwpqZSwWv+eB2D&#10;8EGT0Y0jVPCDHnbZ5CLViXEDvWB/CKXgEfKJVlCF0CZS+qJCq/3MtUicfbnO6sC2K6Xp9MDjtpGL&#10;KNpIq2vih0q3eF9h8X04WQWfV+XH3o9Pb8NyvWwfnvt8+25ypS6n490tiIBj+C/DHz6jQ8ZMR3ci&#10;40WjYB1tucm6AMHxzTxegTgqiDcrkFkqz/mzXwAAAP//AwBQSwECLQAUAAYACAAAACEAtoM4kv4A&#10;AADhAQAAEwAAAAAAAAAAAAAAAAAAAAAAW0NvbnRlbnRfVHlwZXNdLnhtbFBLAQItABQABgAIAAAA&#10;IQA4/SH/1gAAAJQBAAALAAAAAAAAAAAAAAAAAC8BAABfcmVscy8ucmVsc1BLAQItABQABgAIAAAA&#10;IQA0YwXfhwIAAIUFAAAOAAAAAAAAAAAAAAAAAC4CAABkcnMvZTJvRG9jLnhtbFBLAQItABQABgAI&#10;AAAAIQBepIfg3wAAAAcBAAAPAAAAAAAAAAAAAAAAAOEEAABkcnMvZG93bnJldi54bWxQSwUGAAAA&#10;AAQABADzAAAA7QUAAAAA&#10;">
            <v:path/>
            <v:fill on="t" focussize="0,0"/>
            <v:stroke on="f" weight="0.5pt" joinstyle="miter"/>
            <v:imagedata o:title=""/>
            <o:lock v:ext="edit"/>
            <v:textbox>
              <w:txbxContent>
                <w:p w14:paraId="569C05F2">
                  <w:pPr>
                    <w:jc w:val="cente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txbxContent>
            </v:textbox>
          </v:shape>
        </w:pict>
      </w:r>
    </w:p>
    <w:p w14:paraId="020125C1">
      <w:pPr>
        <w:rPr>
          <w:color w:val="000000" w:themeColor="text1"/>
        </w:rPr>
      </w:pPr>
      <w:r>
        <w:rPr>
          <w:color w:val="000000" w:themeColor="text1"/>
        </w:rPr>
        <w:pict>
          <v:shape id="直接箭头连接符 3" o:spid="_x0000_s2051" o:spt="32" type="#_x0000_t32" style="position:absolute;left:0pt;margin-left:-2.1pt;margin-top:-21.65pt;height:0pt;width:481.9pt;z-index:251668480;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TNtwEAAFcDAAAOAAAAZHJzL2Uyb0RvYy54bWysU8Fu2zAMvQ/YPwi6L7YzoBuMOD2k7S7d&#10;FqDtBzCSbAuVRYFU4uTvJ6lJVmy3YT4Ikig+vvdIr26PkxMHQ2zRd7JZ1FIYr1BbP3Ty5fnh01cp&#10;OILX4NCbTp4My9v1xw+rObRmiSM6bUgkEM/tHDo5xhjaqmI1mgl4gcH4FOyRJojpSEOlCeaEPrlq&#10;Wdc31YykA6EyzOn27i0o1wW/742KP/ueTRSuk4lbLCuVdZfXar2CdiAIo1VnGvAPLCawPhW9Qt1B&#10;BLEn+xfUZBUhYx8XCqcK+94qUzQkNU39h5qnEYIpWpI5HK428f+DVT8OG7+lTF0d/VN4RPXKwuNm&#10;BD+YQuD5FFLjmmxVNQduryn5wGFLYjd/R53ewD5iceHY05Qhkz5xLGafrmabYxQqXd40SfHn1BN1&#10;iVXQXhIDcfxmcBJ500mOBHYY4wa9Ty1FakoZODxyzLSgvSTkqh4frHOls86LOXFffqnrksHorM7R&#10;/I5p2G0ciQPk4ShfEZki758R7r0uaKMBfX/eR7DubZ+qO3/2JtuRZ4/bHerTli6epe4VmudJy+Px&#10;/lyyf/8P618AAAD//wMAUEsDBBQABgAIAAAAIQDIN4vI2wAAAAoBAAAPAAAAZHJzL2Rvd25yZXYu&#10;eG1sTI/BTsMwDIbvSLxDZCRuW8q2lq00nQCJ80THhZvbeE1F41RNtpa3J5OQ4GTZ/vT7c7GfbS8u&#10;NPrOsYKHZQKCuHG641bBx/FtsQXhA7LG3jEp+CYP+/L2psBcu4nf6VKFVsQQ9jkqMCEMuZS+MWTR&#10;L91AHHcnN1oMsR1bqUecYrjt5SpJMmmx43jB4ECvhpqv6mwVPG70p8PsJa3T6XAMdDLV9jArdX83&#10;Pz+BCDSHPxiu+lEdyuhUuzNrL3oFi80qkte6XoOIwC7dZSDq34ksC/n/hfIHAAD//wMAUEsBAi0A&#10;FAAGAAgAAAAhALaDOJL+AAAA4QEAABMAAAAAAAAAAAAAAAAAAAAAAFtDb250ZW50X1R5cGVzXS54&#10;bWxQSwECLQAUAAYACAAAACEAOP0h/9YAAACUAQAACwAAAAAAAAAAAAAAAAAvAQAAX3JlbHMvLnJl&#10;bHNQSwECLQAUAAYACAAAACEAW+wEzbcBAABXAwAADgAAAAAAAAAAAAAAAAAuAgAAZHJzL2Uyb0Rv&#10;Yy54bWxQSwECLQAUAAYACAAAACEAyDeLyNsAAAAKAQAADwAAAAAAAAAAAAAAAAARBAAAZHJzL2Rv&#10;d25yZXYueG1sUEsFBgAAAAAEAAQA8wAAABkFAAAAAA==&#10;">
            <v:path arrowok="t"/>
            <v:fill on="f" focussize="0,0"/>
            <v:stroke weight="1pt"/>
            <v:imagedata o:title=""/>
            <o:lock v:ext="edit"/>
          </v:shape>
        </w:pict>
      </w:r>
    </w:p>
    <w:p w14:paraId="01121AB5">
      <w:pPr>
        <w:rPr>
          <w:color w:val="000000" w:themeColor="text1"/>
          <w:kern w:val="0"/>
        </w:rPr>
      </w:pPr>
    </w:p>
    <w:p w14:paraId="2E975112">
      <w:pPr>
        <w:sectPr>
          <w:headerReference r:id="rId5" w:type="first"/>
          <w:footerReference r:id="rId8" w:type="first"/>
          <w:headerReference r:id="rId3" w:type="default"/>
          <w:footerReference r:id="rId6" w:type="default"/>
          <w:headerReference r:id="rId4" w:type="even"/>
          <w:footerReference r:id="rId7" w:type="even"/>
          <w:pgSz w:w="11906" w:h="16838"/>
          <w:pgMar w:top="567" w:right="1134" w:bottom="1134" w:left="1418" w:header="1418" w:footer="1134" w:gutter="0"/>
          <w:pgNumType w:fmt="upperRoman" w:start="1"/>
          <w:cols w:space="720" w:num="1"/>
          <w:formProt w:val="0"/>
          <w:docGrid w:type="lines" w:linePitch="312" w:charSpace="0"/>
        </w:sectPr>
      </w:pPr>
    </w:p>
    <w:p w14:paraId="7E0DFCAA">
      <w:pPr>
        <w:pStyle w:val="52"/>
        <w:tabs>
          <w:tab w:val="left" w:pos="323"/>
          <w:tab w:val="center" w:pos="4677"/>
        </w:tabs>
        <w:rPr>
          <w:rFonts w:ascii="Times New Roman"/>
          <w:color w:val="000000" w:themeColor="text1"/>
          <w:szCs w:val="32"/>
        </w:rPr>
      </w:pPr>
      <w:bookmarkStart w:id="1" w:name="_Toc206579604"/>
      <w:bookmarkStart w:id="2" w:name="_Toc212110023"/>
      <w:bookmarkStart w:id="3" w:name="_Toc212124667"/>
      <w:bookmarkStart w:id="4" w:name="_Toc212206871"/>
      <w:bookmarkStart w:id="5" w:name="_Toc212109221"/>
      <w:bookmarkStart w:id="6" w:name="_Toc236687267"/>
      <w:bookmarkStart w:id="7" w:name="_Toc31634191"/>
      <w:r>
        <w:rPr>
          <w:rFonts w:hint="eastAsia" w:ascii="Times New Roman"/>
          <w:color w:val="000000" w:themeColor="text1"/>
          <w:szCs w:val="32"/>
        </w:rPr>
        <w:t>目    次</w:t>
      </w:r>
      <w:bookmarkEnd w:id="1"/>
      <w:bookmarkEnd w:id="2"/>
      <w:bookmarkEnd w:id="3"/>
      <w:bookmarkEnd w:id="4"/>
      <w:bookmarkEnd w:id="5"/>
      <w:bookmarkEnd w:id="6"/>
    </w:p>
    <w:p w14:paraId="24638D9D">
      <w:pPr>
        <w:pStyle w:val="15"/>
        <w:tabs>
          <w:tab w:val="right" w:leader="dot" w:pos="9344"/>
        </w:tabs>
        <w:rPr>
          <w:rFonts w:hint="eastAsia" w:asciiTheme="minorHAnsi" w:hAnsiTheme="minorHAnsi" w:eastAsiaTheme="minorEastAsia" w:cstheme="minorBidi"/>
          <w:sz w:val="22"/>
          <w:szCs w:val="24"/>
          <w14:ligatures w14:val="standardContextual"/>
        </w:rPr>
      </w:pPr>
      <w:r>
        <w:rPr>
          <w:rFonts w:ascii="宋体" w:hAnsi="宋体"/>
          <w:b/>
          <w:bCs/>
          <w:color w:val="000000" w:themeColor="text1"/>
          <w:sz w:val="28"/>
          <w:szCs w:val="28"/>
        </w:rPr>
        <w:fldChar w:fldCharType="begin"/>
      </w:r>
      <w:r>
        <w:rPr>
          <w:rFonts w:ascii="宋体" w:hAnsi="宋体"/>
          <w:b/>
          <w:bCs/>
          <w:color w:val="000000" w:themeColor="text1"/>
          <w:sz w:val="28"/>
          <w:szCs w:val="28"/>
        </w:rPr>
        <w:instrText xml:space="preserve"> TOC \o "1-2" \h \z \u </w:instrText>
      </w:r>
      <w:r>
        <w:rPr>
          <w:rFonts w:ascii="宋体" w:hAnsi="宋体"/>
          <w:b/>
          <w:bCs/>
          <w:color w:val="000000" w:themeColor="text1"/>
          <w:sz w:val="28"/>
          <w:szCs w:val="28"/>
        </w:rPr>
        <w:fldChar w:fldCharType="separate"/>
      </w:r>
      <w:r>
        <w:fldChar w:fldCharType="begin"/>
      </w:r>
      <w:r>
        <w:instrText xml:space="preserve"> HYPERLINK \l "_Toc236687268" </w:instrText>
      </w:r>
      <w:r>
        <w:fldChar w:fldCharType="separate"/>
      </w:r>
      <w:r>
        <w:rPr>
          <w:rStyle w:val="26"/>
        </w:rPr>
        <w:t>前  言</w:t>
      </w:r>
      <w:r>
        <w:rPr>
          <w:rFonts w:hint="eastAsia"/>
        </w:rPr>
        <w:tab/>
      </w:r>
      <w:r>
        <w:rPr>
          <w:rFonts w:hint="eastAsia"/>
        </w:rPr>
        <w:fldChar w:fldCharType="begin"/>
      </w:r>
      <w:r>
        <w:rPr>
          <w:rFonts w:hint="eastAsia"/>
        </w:rPr>
        <w:instrText xml:space="preserve"> </w:instrText>
      </w:r>
      <w:r>
        <w:instrText xml:space="preserve">PAGEREF _Toc236687268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1D08702D">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"_Toc236687270" </w:instrText>
      </w:r>
      <w:r>
        <w:fldChar w:fldCharType="separate"/>
      </w:r>
      <w:r>
        <w:rPr>
          <w:rStyle w:val="26"/>
        </w:rPr>
        <w:t>1 范围</w:t>
      </w:r>
      <w:r>
        <w:rPr>
          <w:rFonts w:hint="eastAsia"/>
        </w:rPr>
        <w:tab/>
      </w:r>
      <w:r>
        <w:rPr>
          <w:rFonts w:hint="eastAsia"/>
        </w:rPr>
        <w:fldChar w:fldCharType="begin"/>
      </w:r>
      <w:r>
        <w:rPr>
          <w:rFonts w:hint="eastAsia"/>
        </w:rPr>
        <w:instrText xml:space="preserve"> </w:instrText>
      </w:r>
      <w:r>
        <w:instrText xml:space="preserve">PAGEREF _Toc236687270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7C43933">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"_Toc236687271" </w:instrText>
      </w:r>
      <w:r>
        <w:fldChar w:fldCharType="separate"/>
      </w:r>
      <w:r>
        <w:rPr>
          <w:rStyle w:val="26"/>
        </w:rPr>
        <w:t>2 规范性引用文件</w:t>
      </w:r>
      <w:r>
        <w:rPr>
          <w:rFonts w:hint="eastAsia"/>
        </w:rPr>
        <w:tab/>
      </w:r>
      <w:r>
        <w:rPr>
          <w:rFonts w:hint="eastAsia"/>
        </w:rPr>
        <w:fldChar w:fldCharType="begin"/>
      </w:r>
      <w:r>
        <w:rPr>
          <w:rFonts w:hint="eastAsia"/>
        </w:rPr>
        <w:instrText xml:space="preserve"> </w:instrText>
      </w:r>
      <w:r>
        <w:instrText xml:space="preserve">PAGEREF _Toc236687271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DD344F9">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"_Toc236687272" </w:instrText>
      </w:r>
      <w:r>
        <w:fldChar w:fldCharType="separate"/>
      </w:r>
      <w:r>
        <w:rPr>
          <w:rStyle w:val="26"/>
        </w:rPr>
        <w:t>3 术语和定义</w:t>
      </w:r>
      <w:r>
        <w:rPr>
          <w:rFonts w:hint="eastAsia"/>
        </w:rPr>
        <w:tab/>
      </w:r>
      <w:r>
        <w:rPr>
          <w:rFonts w:hint="eastAsia"/>
        </w:rPr>
        <w:fldChar w:fldCharType="begin"/>
      </w:r>
      <w:r>
        <w:rPr>
          <w:rFonts w:hint="eastAsia"/>
        </w:rPr>
        <w:instrText xml:space="preserve"> </w:instrText>
      </w:r>
      <w:r>
        <w:instrText xml:space="preserve">PAGEREF _Toc236687272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557DF5DC">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"_Toc236687283" </w:instrText>
      </w:r>
      <w:r>
        <w:fldChar w:fldCharType="separate"/>
      </w:r>
      <w:r>
        <w:rPr>
          <w:rStyle w:val="26"/>
        </w:rPr>
        <w:t>4 总体原则和评估流程</w:t>
      </w:r>
      <w:r>
        <w:rPr>
          <w:rFonts w:hint="eastAsia"/>
        </w:rPr>
        <w:tab/>
      </w:r>
      <w:r>
        <w:rPr>
          <w:rFonts w:hint="eastAsia"/>
        </w:rPr>
        <w:fldChar w:fldCharType="begin"/>
      </w:r>
      <w:r>
        <w:rPr>
          <w:rFonts w:hint="eastAsia"/>
        </w:rPr>
        <w:instrText xml:space="preserve"> </w:instrText>
      </w:r>
      <w:r>
        <w:instrText xml:space="preserve">PAGEREF _Toc236687283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49CEDD30">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"_Toc236687286" </w:instrText>
      </w:r>
      <w:r>
        <w:fldChar w:fldCharType="separate"/>
      </w:r>
      <w:r>
        <w:rPr>
          <w:rStyle w:val="26"/>
        </w:rPr>
        <w:t>5 数据要求</w:t>
      </w:r>
      <w:r>
        <w:rPr>
          <w:rFonts w:hint="eastAsia"/>
        </w:rPr>
        <w:tab/>
      </w:r>
      <w:r>
        <w:rPr>
          <w:rFonts w:hint="eastAsia"/>
        </w:rPr>
        <w:fldChar w:fldCharType="begin"/>
      </w:r>
      <w:r>
        <w:rPr>
          <w:rFonts w:hint="eastAsia"/>
        </w:rPr>
        <w:instrText xml:space="preserve"> </w:instrText>
      </w:r>
      <w:r>
        <w:instrText xml:space="preserve">PAGEREF _Toc236687286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53A5E952">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"_Toc236687290" </w:instrText>
      </w:r>
      <w:r>
        <w:fldChar w:fldCharType="separate"/>
      </w:r>
      <w:r>
        <w:rPr>
          <w:rStyle w:val="26"/>
        </w:rPr>
        <w:t>6 森林火灾风险评估方法</w:t>
      </w:r>
      <w:r>
        <w:rPr>
          <w:rFonts w:hint="eastAsia"/>
        </w:rPr>
        <w:tab/>
      </w:r>
      <w:r>
        <w:rPr>
          <w:rFonts w:hint="eastAsia"/>
        </w:rPr>
        <w:fldChar w:fldCharType="begin"/>
      </w:r>
      <w:r>
        <w:rPr>
          <w:rFonts w:hint="eastAsia"/>
        </w:rPr>
        <w:instrText xml:space="preserve"> </w:instrText>
      </w:r>
      <w:r>
        <w:instrText xml:space="preserve">PAGEREF _Toc236687290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4FC4C3D">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"_Toc236687299" </w:instrText>
      </w:r>
      <w:r>
        <w:fldChar w:fldCharType="separate"/>
      </w:r>
      <w:r>
        <w:rPr>
          <w:rStyle w:val="26"/>
        </w:rPr>
        <w:t>7 成果表达</w:t>
      </w:r>
      <w:r>
        <w:rPr>
          <w:rFonts w:hint="eastAsia"/>
        </w:rPr>
        <w:tab/>
      </w:r>
      <w:r>
        <w:rPr>
          <w:rFonts w:hint="eastAsia"/>
        </w:rPr>
        <w:fldChar w:fldCharType="begin"/>
      </w:r>
      <w:r>
        <w:rPr>
          <w:rFonts w:hint="eastAsia"/>
        </w:rPr>
        <w:instrText xml:space="preserve"> </w:instrText>
      </w:r>
      <w:r>
        <w:instrText xml:space="preserve">PAGEREF _Toc236687299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695CE6C2">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"_Toc236687303" </w:instrText>
      </w:r>
      <w:r>
        <w:fldChar w:fldCharType="separate"/>
      </w:r>
      <w:r>
        <w:rPr>
          <w:rStyle w:val="26"/>
        </w:rPr>
        <w:t>8 证实方法</w:t>
      </w:r>
      <w:r>
        <w:rPr>
          <w:rFonts w:hint="eastAsia"/>
        </w:rPr>
        <w:tab/>
      </w:r>
      <w:r>
        <w:rPr>
          <w:rFonts w:hint="eastAsia"/>
        </w:rPr>
        <w:fldChar w:fldCharType="begin"/>
      </w:r>
      <w:r>
        <w:rPr>
          <w:rFonts w:hint="eastAsia"/>
        </w:rPr>
        <w:instrText xml:space="preserve"> </w:instrText>
      </w:r>
      <w:r>
        <w:instrText xml:space="preserve">PAGEREF _Toc236687303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4F339D8B">
      <w:pPr>
        <w:pStyle w:val="15"/>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"_Toc236687307" </w:instrText>
      </w:r>
      <w:r>
        <w:fldChar w:fldCharType="separate"/>
      </w:r>
      <w:r>
        <w:rPr>
          <w:rStyle w:val="26"/>
        </w:rPr>
        <w:t>9 动态更新与重新评估</w:t>
      </w:r>
      <w:r>
        <w:rPr>
          <w:rFonts w:hint="eastAsia"/>
        </w:rPr>
        <w:tab/>
      </w:r>
      <w:r>
        <w:rPr>
          <w:rFonts w:hint="eastAsia"/>
        </w:rPr>
        <w:fldChar w:fldCharType="begin"/>
      </w:r>
      <w:r>
        <w:rPr>
          <w:rFonts w:hint="eastAsia"/>
        </w:rPr>
        <w:instrText xml:space="preserve"> </w:instrText>
      </w:r>
      <w:r>
        <w:instrText xml:space="preserve">PAGEREF _Toc236687307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22B931CA">
      <w:pPr>
        <w:pStyle w:val="15"/>
        <w:tabs>
          <w:tab w:val="right" w:leader="dot" w:pos="9344"/>
        </w:tabs>
        <w:spacing w:line="276" w:lineRule="auto"/>
        <w:rPr>
          <w:rStyle w:val="26"/>
          <w:rFonts w:hint="eastAsia" w:ascii="宋体" w:hAnsi="宋体"/>
          <w:color w:val="000000" w:themeColor="text1"/>
        </w:rPr>
      </w:pPr>
      <w:r>
        <w:rPr>
          <w:rFonts w:ascii="宋体" w:hAnsi="宋体"/>
          <w:bCs/>
          <w:color w:val="000000" w:themeColor="text1"/>
          <w:szCs w:val="28"/>
        </w:rPr>
        <w:fldChar w:fldCharType="end"/>
      </w:r>
    </w:p>
    <w:p w14:paraId="35B7E8A0">
      <w:pPr>
        <w:tabs>
          <w:tab w:val="left" w:pos="5179"/>
        </w:tabs>
      </w:pPr>
    </w:p>
    <w:p w14:paraId="6B641E96"/>
    <w:p w14:paraId="7AF63FDF"/>
    <w:p w14:paraId="53FD570E"/>
    <w:p w14:paraId="39019678"/>
    <w:p w14:paraId="0CF64008"/>
    <w:p w14:paraId="5E031C7D"/>
    <w:p w14:paraId="3868E058"/>
    <w:p w14:paraId="2A737041"/>
    <w:p w14:paraId="29A630C0"/>
    <w:p w14:paraId="67A905FF"/>
    <w:p w14:paraId="5A57F614"/>
    <w:p w14:paraId="7B88536D"/>
    <w:p w14:paraId="37F56799"/>
    <w:p w14:paraId="5C941ABE"/>
    <w:p w14:paraId="38D2D3C6"/>
    <w:p w14:paraId="0B132A3A"/>
    <w:p w14:paraId="794797A2"/>
    <w:p w14:paraId="4A911444"/>
    <w:p w14:paraId="3AC35CA1"/>
    <w:p w14:paraId="73C563DA"/>
    <w:p w14:paraId="76949A74"/>
    <w:p w14:paraId="3DF64283">
      <w:pPr>
        <w:pStyle w:val="51"/>
        <w:tabs>
          <w:tab w:val="center" w:pos="4677"/>
          <w:tab w:val="left" w:pos="8286"/>
        </w:tabs>
        <w:jc w:val="left"/>
        <w:rPr>
          <w:rFonts w:ascii="Times New Roman"/>
          <w:color w:val="000000" w:themeColor="text1"/>
        </w:rPr>
      </w:pPr>
      <w:bookmarkStart w:id="8" w:name="_Toc1352"/>
      <w:bookmarkStart w:id="9" w:name="_Toc15402"/>
      <w:bookmarkStart w:id="10" w:name="_Toc9145"/>
      <w:bookmarkStart w:id="11" w:name="_Toc18589"/>
      <w:r>
        <w:rPr>
          <w:rFonts w:ascii="Times New Roman"/>
          <w:color w:val="000000" w:themeColor="text1"/>
        </w:rPr>
        <w:tab/>
      </w:r>
      <w:bookmarkStart w:id="12" w:name="_Toc236687268"/>
      <w:r>
        <w:rPr>
          <w:rFonts w:hint="eastAsia" w:ascii="Times New Roman"/>
          <w:color w:val="000000" w:themeColor="text1"/>
        </w:rPr>
        <w:t>前</w:t>
      </w:r>
      <w:bookmarkStart w:id="13" w:name="BKQY"/>
      <w:r>
        <w:rPr>
          <w:rFonts w:ascii="Times New Roman"/>
          <w:color w:val="000000" w:themeColor="text1"/>
        </w:rPr>
        <w:t>  </w:t>
      </w:r>
      <w:r>
        <w:rPr>
          <w:rFonts w:hint="eastAsia" w:ascii="Times New Roman"/>
          <w:color w:val="000000" w:themeColor="text1"/>
        </w:rPr>
        <w:t>言</w:t>
      </w:r>
      <w:bookmarkEnd w:id="7"/>
      <w:bookmarkEnd w:id="8"/>
      <w:bookmarkEnd w:id="9"/>
      <w:bookmarkEnd w:id="10"/>
      <w:bookmarkEnd w:id="11"/>
      <w:bookmarkEnd w:id="12"/>
      <w:bookmarkEnd w:id="13"/>
      <w:r>
        <w:rPr>
          <w:rFonts w:ascii="Times New Roman"/>
          <w:color w:val="000000" w:themeColor="text1"/>
        </w:rPr>
        <w:tab/>
      </w:r>
    </w:p>
    <w:p w14:paraId="2B62647F">
      <w:pPr>
        <w:pStyle w:val="42"/>
        <w:rPr>
          <w:rFonts w:hint="eastAsia" w:hAnsi="宋体"/>
          <w:color w:val="000000" w:themeColor="text1"/>
          <w:szCs w:val="20"/>
        </w:rPr>
      </w:pPr>
      <w:r>
        <w:rPr>
          <w:rFonts w:hint="eastAsia" w:hAnsi="宋体"/>
          <w:color w:val="000000" w:themeColor="text1"/>
          <w:szCs w:val="20"/>
        </w:rPr>
        <w:t>本文件按照</w:t>
      </w:r>
      <w:bookmarkStart w:id="14" w:name="_Hlk62119483"/>
      <w:r>
        <w:rPr>
          <w:rFonts w:hAnsi="宋体"/>
          <w:color w:val="000000" w:themeColor="text1"/>
          <w:szCs w:val="20"/>
        </w:rPr>
        <w:t>GB/T 1.1—2020</w:t>
      </w:r>
      <w:r>
        <w:rPr>
          <w:rFonts w:hint="eastAsia" w:hAnsi="宋体"/>
          <w:color w:val="000000" w:themeColor="text1"/>
          <w:szCs w:val="20"/>
        </w:rPr>
        <w:t>《标准化工作导则</w:t>
      </w:r>
      <w:r>
        <w:rPr>
          <w:rFonts w:hAnsi="宋体"/>
          <w:color w:val="000000" w:themeColor="text1"/>
          <w:szCs w:val="20"/>
        </w:rPr>
        <w:t xml:space="preserve">  </w:t>
      </w:r>
      <w:r>
        <w:rPr>
          <w:rFonts w:hint="eastAsia" w:hAnsi="宋体"/>
          <w:color w:val="000000" w:themeColor="text1"/>
          <w:szCs w:val="20"/>
        </w:rPr>
        <w:t>第</w:t>
      </w:r>
      <w:r>
        <w:rPr>
          <w:rFonts w:hAnsi="宋体"/>
          <w:color w:val="000000" w:themeColor="text1"/>
          <w:szCs w:val="20"/>
        </w:rPr>
        <w:t>1</w:t>
      </w:r>
      <w:r>
        <w:rPr>
          <w:rFonts w:hint="eastAsia" w:hAnsi="宋体"/>
          <w:color w:val="000000" w:themeColor="text1"/>
          <w:szCs w:val="20"/>
        </w:rPr>
        <w:t>部分：标准化文件的结构和起草规则》的规定起草</w:t>
      </w:r>
      <w:bookmarkEnd w:id="14"/>
      <w:r>
        <w:rPr>
          <w:rFonts w:hint="eastAsia" w:hAnsi="宋体"/>
          <w:color w:val="000000" w:themeColor="text1"/>
          <w:szCs w:val="20"/>
        </w:rPr>
        <w:t>。</w:t>
      </w:r>
    </w:p>
    <w:p w14:paraId="78B62BDB">
      <w:pPr>
        <w:pStyle w:val="42"/>
        <w:rPr>
          <w:rFonts w:hint="eastAsia" w:hAnsi="宋体"/>
          <w:bCs/>
          <w:color w:val="000000" w:themeColor="text1"/>
          <w:szCs w:val="21"/>
        </w:rPr>
      </w:pPr>
      <w:r>
        <w:rPr>
          <w:rFonts w:hint="eastAsia" w:hAnsi="宋体"/>
          <w:bCs/>
          <w:color w:val="000000" w:themeColor="text1"/>
          <w:szCs w:val="21"/>
        </w:rPr>
        <w:t>请注意本文件的某些内容可能涉及专利。本文件的发布机构不承担识别专利的责任。</w:t>
      </w:r>
    </w:p>
    <w:p w14:paraId="7FBD7AF3">
      <w:pPr>
        <w:pStyle w:val="42"/>
        <w:rPr>
          <w:rFonts w:hint="eastAsia" w:hAnsi="宋体"/>
          <w:color w:val="000000" w:themeColor="text1"/>
          <w:szCs w:val="20"/>
        </w:rPr>
      </w:pPr>
      <w:r>
        <w:rPr>
          <w:rFonts w:hint="eastAsia" w:hAnsi="宋体"/>
          <w:bCs/>
          <w:color w:val="000000" w:themeColor="text1"/>
          <w:szCs w:val="21"/>
        </w:rPr>
        <w:t>本文件由中国林学会提出并归口</w:t>
      </w:r>
      <w:r>
        <w:rPr>
          <w:rFonts w:hint="eastAsia" w:hAnsi="宋体"/>
          <w:color w:val="000000" w:themeColor="text1"/>
          <w:szCs w:val="20"/>
        </w:rPr>
        <w:t>。</w:t>
      </w:r>
    </w:p>
    <w:p w14:paraId="22A0D41A">
      <w:pPr>
        <w:pStyle w:val="42"/>
        <w:rPr>
          <w:rFonts w:hint="eastAsia" w:hAnsi="宋体"/>
          <w:color w:val="000000" w:themeColor="text1"/>
          <w:szCs w:val="20"/>
        </w:rPr>
      </w:pPr>
      <w:r>
        <w:rPr>
          <w:rFonts w:hAnsi="宋体"/>
          <w:color w:val="000000" w:themeColor="text1"/>
          <w:szCs w:val="20"/>
        </w:rPr>
        <w:t>本文件起草单位：中国林业科学研究院森林生态环境与自然保护研究所</w:t>
      </w:r>
      <w:r>
        <w:rPr>
          <w:rFonts w:hint="eastAsia" w:hAnsi="宋体"/>
          <w:color w:val="000000" w:themeColor="text1"/>
          <w:szCs w:val="20"/>
          <w:lang w:eastAsia="zh-CN"/>
        </w:rPr>
        <w:t>、</w:t>
      </w:r>
      <w:r>
        <w:rPr>
          <w:rFonts w:hAnsi="宋体"/>
          <w:color w:val="000000" w:themeColor="text1"/>
          <w:szCs w:val="20"/>
        </w:rPr>
        <w:t>西南林业大学、北京林业大学。</w:t>
      </w:r>
    </w:p>
    <w:p w14:paraId="0EF5C157">
      <w:pPr>
        <w:pStyle w:val="42"/>
        <w:rPr>
          <w:rFonts w:hint="eastAsia" w:hAnsi="宋体"/>
          <w:color w:val="000000" w:themeColor="text1"/>
          <w:szCs w:val="20"/>
        </w:rPr>
      </w:pPr>
      <w:r>
        <w:rPr>
          <w:rFonts w:hAnsi="宋体"/>
          <w:color w:val="000000" w:themeColor="text1"/>
          <w:szCs w:val="20"/>
        </w:rPr>
        <w:t>本文件主要起草人：</w:t>
      </w:r>
      <w:r>
        <w:rPr>
          <w:rFonts w:hint="eastAsia" w:hAnsi="宋体"/>
          <w:color w:val="000000" w:themeColor="text1"/>
          <w:szCs w:val="20"/>
        </w:rPr>
        <w:t>田晓瑞、王秋华、陈锋、司莉青、李伟克、舒立福、王明玉、李思微、邓星越</w:t>
      </w:r>
      <w:r>
        <w:rPr>
          <w:rFonts w:hAnsi="宋体"/>
          <w:color w:val="000000" w:themeColor="text1"/>
          <w:szCs w:val="20"/>
        </w:rPr>
        <w:t>。</w:t>
      </w:r>
    </w:p>
    <w:p w14:paraId="03BA2E0F">
      <w:pPr>
        <w:pStyle w:val="42"/>
        <w:rPr>
          <w:rFonts w:hint="eastAsia" w:hAnsi="宋体"/>
          <w:color w:val="000000" w:themeColor="text1"/>
        </w:rPr>
        <w:sectPr>
          <w:headerReference r:id="rId9" w:type="default"/>
          <w:footerReference r:id="rId10" w:type="default"/>
          <w:pgSz w:w="11906" w:h="16838"/>
          <w:pgMar w:top="1418" w:right="1134" w:bottom="1134" w:left="1418" w:header="1418" w:footer="1134" w:gutter="0"/>
          <w:pgNumType w:fmt="upperRoman" w:start="1"/>
          <w:cols w:space="720" w:num="1"/>
          <w:formProt w:val="0"/>
          <w:docGrid w:type="lines" w:linePitch="312" w:charSpace="0"/>
        </w:sectPr>
      </w:pPr>
      <w:r>
        <w:rPr>
          <w:rFonts w:hAnsi="宋体"/>
          <w:color w:val="000000" w:themeColor="text1"/>
          <w:szCs w:val="20"/>
        </w:rPr>
        <w:t>本文件为首次发布。</w:t>
      </w:r>
    </w:p>
    <w:p w14:paraId="1885ACC0">
      <w:pPr>
        <w:pStyle w:val="51"/>
        <w:rPr>
          <w:rFonts w:ascii="Times New Roman"/>
          <w:color w:val="000000" w:themeColor="text1"/>
        </w:rPr>
      </w:pPr>
      <w:bookmarkStart w:id="15" w:name="_Toc236687269"/>
      <w:r>
        <w:rPr>
          <w:rFonts w:ascii="Times New Roman"/>
          <w:color w:val="000000" w:themeColor="text1"/>
        </w:rPr>
        <w:t>森林火灾风险评估技术规范</w:t>
      </w:r>
      <w:bookmarkEnd w:id="15"/>
    </w:p>
    <w:p w14:paraId="5B40F72C">
      <w:pPr>
        <w:pStyle w:val="73"/>
        <w:numPr>
          <w:ilvl w:val="1"/>
          <w:numId w:val="1"/>
        </w:numPr>
        <w:spacing w:before="312" w:after="312"/>
        <w:ind w:left="0"/>
        <w:rPr>
          <w:rFonts w:ascii="Times New Roman" w:hAnsi="Times New Roman"/>
          <w:color w:val="000000" w:themeColor="text1"/>
        </w:rPr>
      </w:pPr>
      <w:bookmarkStart w:id="16" w:name="_Toc27124"/>
      <w:bookmarkStart w:id="17" w:name="_Toc72916879"/>
      <w:bookmarkStart w:id="18" w:name="_Toc31749"/>
      <w:bookmarkStart w:id="19" w:name="_Toc3930"/>
      <w:bookmarkStart w:id="20" w:name="_Toc236687270"/>
      <w:bookmarkStart w:id="21" w:name="_Toc4966"/>
      <w:bookmarkStart w:id="22" w:name="_Hlk72906566"/>
      <w:r>
        <w:rPr>
          <w:rFonts w:hint="eastAsia" w:ascii="Times New Roman" w:hAnsi="Times New Roman"/>
          <w:color w:val="000000" w:themeColor="text1"/>
        </w:rPr>
        <w:t>范围</w:t>
      </w:r>
      <w:bookmarkEnd w:id="16"/>
      <w:bookmarkEnd w:id="17"/>
      <w:bookmarkEnd w:id="18"/>
      <w:bookmarkEnd w:id="19"/>
      <w:bookmarkEnd w:id="20"/>
      <w:bookmarkEnd w:id="21"/>
    </w:p>
    <w:p w14:paraId="5811B757">
      <w:pPr>
        <w:ind w:firstLine="420" w:firstLineChars="200"/>
        <w:rPr>
          <w:color w:val="000000" w:themeColor="text1"/>
        </w:rPr>
      </w:pPr>
      <w:r>
        <w:rPr>
          <w:color w:val="000000" w:themeColor="text1"/>
        </w:rPr>
        <w:t>本文件规定了森林火灾风险评估的术语和定义、总体原则、数据要求、指标体系、评估方法、风险等级判定、成果表达、证实方法和动态更新要求。</w:t>
      </w:r>
    </w:p>
    <w:p w14:paraId="3AB36FD4">
      <w:pPr>
        <w:ind w:firstLine="420" w:firstLineChars="200"/>
        <w:rPr>
          <w:color w:val="000000" w:themeColor="text1"/>
        </w:rPr>
      </w:pPr>
      <w:r>
        <w:rPr>
          <w:color w:val="000000" w:themeColor="text1"/>
        </w:rPr>
        <w:t>本文件适用于林地</w:t>
      </w:r>
      <w:r>
        <w:rPr>
          <w:rFonts w:hint="eastAsia"/>
          <w:color w:val="000000" w:themeColor="text1"/>
        </w:rPr>
        <w:t>和</w:t>
      </w:r>
      <w:r>
        <w:rPr>
          <w:color w:val="000000" w:themeColor="text1"/>
        </w:rPr>
        <w:t>城镇森林交界域</w:t>
      </w:r>
      <w:r>
        <w:rPr>
          <w:rFonts w:hint="eastAsia"/>
          <w:color w:val="000000" w:themeColor="text1"/>
        </w:rPr>
        <w:t>的</w:t>
      </w:r>
      <w:r>
        <w:rPr>
          <w:color w:val="000000" w:themeColor="text1"/>
        </w:rPr>
        <w:t>火灾风险评估，可用于森林防火规划、可燃物管理、应急资源配置和风险减缓效果评价。</w:t>
      </w:r>
    </w:p>
    <w:p w14:paraId="0A957B02">
      <w:pPr>
        <w:pStyle w:val="73"/>
        <w:numPr>
          <w:ilvl w:val="1"/>
          <w:numId w:val="1"/>
        </w:numPr>
        <w:spacing w:before="312" w:after="312"/>
        <w:ind w:left="0"/>
        <w:rPr>
          <w:rFonts w:ascii="Times New Roman" w:hAnsi="Times New Roman"/>
          <w:color w:val="000000" w:themeColor="text1"/>
        </w:rPr>
      </w:pPr>
      <w:bookmarkStart w:id="23" w:name="_Toc4796"/>
      <w:bookmarkStart w:id="24" w:name="_Toc30938"/>
      <w:bookmarkStart w:id="25" w:name="_Toc5519"/>
      <w:bookmarkStart w:id="26" w:name="_Toc72916880"/>
      <w:bookmarkStart w:id="27" w:name="_Toc236687271"/>
      <w:bookmarkStart w:id="28" w:name="_Toc20070"/>
      <w:r>
        <w:rPr>
          <w:rFonts w:hint="eastAsia" w:ascii="Times New Roman" w:hAnsi="Times New Roman"/>
          <w:color w:val="000000" w:themeColor="text1"/>
        </w:rPr>
        <w:t>规范性引用文件</w:t>
      </w:r>
      <w:bookmarkEnd w:id="23"/>
      <w:bookmarkEnd w:id="24"/>
      <w:bookmarkEnd w:id="25"/>
      <w:bookmarkEnd w:id="26"/>
      <w:bookmarkEnd w:id="27"/>
      <w:bookmarkEnd w:id="28"/>
    </w:p>
    <w:bookmarkEnd w:id="22"/>
    <w:p w14:paraId="1B918DEE">
      <w:pPr>
        <w:pStyle w:val="65"/>
        <w:ind w:firstLine="420"/>
        <w:rPr>
          <w:rFonts w:ascii="Times New Roman" w:hAnsi="Times New Roman"/>
          <w:color w:val="000000" w:themeColor="text1"/>
        </w:rPr>
      </w:pPr>
      <w:bookmarkStart w:id="29" w:name="_Toc13903"/>
      <w:bookmarkStart w:id="30" w:name="_Toc4307"/>
      <w:bookmarkStart w:id="31" w:name="_Toc72916881"/>
      <w:bookmarkStart w:id="32" w:name="_Toc11924"/>
      <w:bookmarkStart w:id="33" w:name="_Toc17658"/>
      <w:r>
        <w:rPr>
          <w:rFonts w:ascii="Times New Roman" w:hAnsi="Times New Roman"/>
          <w:color w:val="000000" w:themeColor="text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9FEB090">
      <w:pPr>
        <w:pStyle w:val="65"/>
        <w:ind w:firstLine="420"/>
        <w:rPr>
          <w:rFonts w:hint="eastAsia" w:hAnsi="宋体"/>
          <w:color w:val="000000" w:themeColor="text1"/>
          <w:szCs w:val="20"/>
        </w:rPr>
      </w:pPr>
      <w:r>
        <w:rPr>
          <w:rFonts w:hAnsi="宋体"/>
          <w:color w:val="000000" w:themeColor="text1"/>
          <w:szCs w:val="20"/>
        </w:rPr>
        <w:t>GB/T 17798 地理空间数据交换格式</w:t>
      </w:r>
    </w:p>
    <w:p w14:paraId="7AC85AA0">
      <w:pPr>
        <w:pStyle w:val="65"/>
        <w:ind w:firstLine="420"/>
        <w:rPr>
          <w:rFonts w:hint="eastAsia" w:hAnsi="宋体"/>
          <w:color w:val="000000" w:themeColor="text1"/>
          <w:szCs w:val="20"/>
        </w:rPr>
      </w:pPr>
      <w:r>
        <w:rPr>
          <w:rFonts w:hAnsi="宋体"/>
          <w:color w:val="000000" w:themeColor="text1"/>
          <w:szCs w:val="20"/>
        </w:rPr>
        <w:t>GB/T 20257.1 国家基本比例尺地图图式 第1部分：1:500 1:1 000 1:2 000地形图图式</w:t>
      </w:r>
    </w:p>
    <w:p w14:paraId="7349B5EA">
      <w:pPr>
        <w:pStyle w:val="65"/>
        <w:ind w:firstLine="420"/>
        <w:rPr>
          <w:rFonts w:hint="eastAsia" w:hAnsi="宋体"/>
          <w:color w:val="000000" w:themeColor="text1"/>
          <w:szCs w:val="20"/>
        </w:rPr>
      </w:pPr>
      <w:r>
        <w:rPr>
          <w:rFonts w:hAnsi="宋体"/>
          <w:color w:val="000000" w:themeColor="text1"/>
          <w:szCs w:val="20"/>
        </w:rPr>
        <w:t>GB/T 20257.2 国家基本比例尺地图图式 第2部分：1:5 000 1:10 000地形图图式</w:t>
      </w:r>
    </w:p>
    <w:p w14:paraId="6DD4D3B5">
      <w:pPr>
        <w:pStyle w:val="65"/>
        <w:ind w:firstLine="420"/>
        <w:rPr>
          <w:rFonts w:hint="eastAsia" w:hAnsi="宋体"/>
          <w:color w:val="000000" w:themeColor="text1"/>
          <w:szCs w:val="20"/>
        </w:rPr>
      </w:pPr>
      <w:r>
        <w:rPr>
          <w:rFonts w:hAnsi="宋体"/>
          <w:color w:val="000000" w:themeColor="text1"/>
          <w:szCs w:val="20"/>
        </w:rPr>
        <w:t>GB/T 24353 风险管理指南</w:t>
      </w:r>
    </w:p>
    <w:p w14:paraId="18CAB0C8">
      <w:pPr>
        <w:pStyle w:val="65"/>
        <w:ind w:firstLine="420"/>
        <w:rPr>
          <w:rFonts w:hint="eastAsia" w:hAnsi="宋体"/>
          <w:color w:val="000000" w:themeColor="text1"/>
          <w:szCs w:val="20"/>
        </w:rPr>
      </w:pPr>
      <w:r>
        <w:rPr>
          <w:rFonts w:hAnsi="宋体"/>
          <w:color w:val="000000" w:themeColor="text1"/>
          <w:szCs w:val="20"/>
        </w:rPr>
        <w:t>GB/T 24354 公共地理信息通用地图符号</w:t>
      </w:r>
    </w:p>
    <w:p w14:paraId="32EC9D08">
      <w:pPr>
        <w:pStyle w:val="65"/>
        <w:ind w:firstLine="420"/>
        <w:rPr>
          <w:rFonts w:hint="eastAsia" w:hAnsi="宋体"/>
          <w:color w:val="000000" w:themeColor="text1"/>
          <w:szCs w:val="20"/>
        </w:rPr>
      </w:pPr>
      <w:r>
        <w:rPr>
          <w:rFonts w:hAnsi="宋体"/>
          <w:color w:val="000000" w:themeColor="text1"/>
          <w:szCs w:val="20"/>
        </w:rPr>
        <w:t>GB/T 27921 风险管理</w:t>
      </w:r>
      <w:r>
        <w:rPr>
          <w:rFonts w:hint="eastAsia" w:hAnsi="宋体"/>
          <w:color w:val="000000" w:themeColor="text1"/>
          <w:szCs w:val="20"/>
        </w:rPr>
        <w:t xml:space="preserve"> </w:t>
      </w:r>
      <w:r>
        <w:rPr>
          <w:rFonts w:hAnsi="宋体"/>
          <w:color w:val="000000" w:themeColor="text1"/>
          <w:szCs w:val="20"/>
        </w:rPr>
        <w:t>风险评估技术</w:t>
      </w:r>
    </w:p>
    <w:p w14:paraId="3A511479">
      <w:pPr>
        <w:pStyle w:val="65"/>
        <w:ind w:firstLine="420"/>
        <w:rPr>
          <w:rFonts w:hint="eastAsia" w:hAnsi="宋体"/>
          <w:color w:val="000000" w:themeColor="text1"/>
          <w:szCs w:val="20"/>
        </w:rPr>
      </w:pPr>
      <w:r>
        <w:rPr>
          <w:rFonts w:hAnsi="宋体"/>
          <w:color w:val="000000" w:themeColor="text1"/>
          <w:szCs w:val="20"/>
        </w:rPr>
        <w:t>GB/T 36743 森林火险气象等级</w:t>
      </w:r>
    </w:p>
    <w:p w14:paraId="538B3442">
      <w:pPr>
        <w:pStyle w:val="65"/>
        <w:ind w:firstLine="420"/>
        <w:rPr>
          <w:rFonts w:hint="eastAsia" w:hAnsi="宋体"/>
          <w:color w:val="000000" w:themeColor="text1"/>
          <w:szCs w:val="20"/>
        </w:rPr>
      </w:pPr>
      <w:r>
        <w:rPr>
          <w:rFonts w:hAnsi="宋体"/>
          <w:color w:val="000000" w:themeColor="text1"/>
          <w:szCs w:val="20"/>
        </w:rPr>
        <w:t>LY/T 1846 森林火灾成因和森林资源损失调查方法</w:t>
      </w:r>
    </w:p>
    <w:p w14:paraId="646B2D16">
      <w:pPr>
        <w:pStyle w:val="65"/>
        <w:ind w:firstLine="420"/>
        <w:rPr>
          <w:rFonts w:hint="eastAsia" w:hAnsi="宋体"/>
          <w:color w:val="000000" w:themeColor="text1"/>
          <w:szCs w:val="20"/>
        </w:rPr>
      </w:pPr>
      <w:r>
        <w:rPr>
          <w:rFonts w:hAnsi="宋体"/>
          <w:color w:val="000000" w:themeColor="text1"/>
          <w:szCs w:val="20"/>
        </w:rPr>
        <w:t>LY/T 2085 森林火灾损失评估技术规范</w:t>
      </w:r>
    </w:p>
    <w:p w14:paraId="51C70619">
      <w:pPr>
        <w:pStyle w:val="73"/>
        <w:numPr>
          <w:ilvl w:val="1"/>
          <w:numId w:val="1"/>
        </w:numPr>
        <w:spacing w:before="312" w:after="312"/>
        <w:ind w:left="0"/>
        <w:rPr>
          <w:rFonts w:ascii="Times New Roman" w:hAnsi="Times New Roman"/>
          <w:color w:val="000000" w:themeColor="text1"/>
        </w:rPr>
      </w:pPr>
      <w:bookmarkStart w:id="34" w:name="_Toc206579609"/>
      <w:bookmarkEnd w:id="34"/>
      <w:bookmarkStart w:id="35" w:name="_Toc236687272"/>
      <w:r>
        <w:rPr>
          <w:rFonts w:hint="eastAsia" w:ascii="Times New Roman" w:hAnsi="Times New Roman"/>
          <w:color w:val="000000" w:themeColor="text1"/>
        </w:rPr>
        <w:t>术语和定义</w:t>
      </w:r>
      <w:bookmarkEnd w:id="29"/>
      <w:bookmarkEnd w:id="30"/>
      <w:bookmarkEnd w:id="31"/>
      <w:bookmarkEnd w:id="32"/>
      <w:bookmarkEnd w:id="33"/>
      <w:bookmarkEnd w:id="35"/>
    </w:p>
    <w:p w14:paraId="5B41CB91">
      <w:pPr>
        <w:pStyle w:val="65"/>
        <w:ind w:firstLine="420"/>
        <w:rPr>
          <w:rFonts w:ascii="Times New Roman" w:hAnsi="Times New Roman"/>
          <w:color w:val="000000" w:themeColor="text1"/>
        </w:rPr>
      </w:pPr>
      <w:r>
        <w:rPr>
          <w:rFonts w:hint="eastAsia" w:ascii="Times New Roman" w:hAnsi="Times New Roman"/>
          <w:color w:val="000000" w:themeColor="text1"/>
        </w:rPr>
        <w:t>下列术语和定义适用于本文件。</w:t>
      </w:r>
    </w:p>
    <w:p w14:paraId="45AA16CE">
      <w:pPr>
        <w:pStyle w:val="75"/>
        <w:spacing w:before="156" w:after="156"/>
        <w:ind w:left="0"/>
        <w:rPr>
          <w:rFonts w:ascii="Times New Roman" w:hAnsi="Times New Roman"/>
          <w:color w:val="000000" w:themeColor="text1"/>
        </w:rPr>
      </w:pPr>
      <w:bookmarkStart w:id="36" w:name="_Toc236687273"/>
      <w:bookmarkEnd w:id="36"/>
    </w:p>
    <w:p w14:paraId="57714A52">
      <w:pPr>
        <w:pStyle w:val="75"/>
        <w:numPr>
          <w:ilvl w:val="0"/>
          <w:numId w:val="0"/>
        </w:numPr>
        <w:spacing w:before="156" w:after="156"/>
        <w:ind w:firstLine="424" w:firstLineChars="202"/>
        <w:rPr>
          <w:rFonts w:ascii="Times New Roman" w:hAnsi="Times New Roman"/>
          <w:color w:val="000000" w:themeColor="text1"/>
        </w:rPr>
      </w:pPr>
      <w:bookmarkStart w:id="37" w:name="_Toc236687274"/>
      <w:r>
        <w:rPr>
          <w:rFonts w:ascii="Times New Roman" w:hAnsi="Times New Roman"/>
          <w:color w:val="000000" w:themeColor="text1"/>
        </w:rPr>
        <w:t>森林火灾风险 forest fire risk</w:t>
      </w:r>
      <w:bookmarkEnd w:id="37"/>
    </w:p>
    <w:p w14:paraId="303D2360">
      <w:pPr>
        <w:pStyle w:val="65"/>
        <w:ind w:firstLine="420"/>
        <w:rPr>
          <w:rFonts w:ascii="Times New Roman" w:hAnsi="Times New Roman"/>
          <w:bCs/>
          <w:color w:val="000000" w:themeColor="text1"/>
          <w:szCs w:val="21"/>
        </w:rPr>
      </w:pPr>
      <w:r>
        <w:rPr>
          <w:rFonts w:ascii="Times New Roman" w:hAnsi="Times New Roman"/>
          <w:bCs/>
          <w:color w:val="000000" w:themeColor="text1"/>
          <w:szCs w:val="21"/>
        </w:rPr>
        <w:t>在一定区域和时段内，森林火灾危险性特征与其对人员、资源和资产可能造成的影响。</w:t>
      </w:r>
    </w:p>
    <w:p w14:paraId="73D8F92E">
      <w:pPr>
        <w:pStyle w:val="75"/>
        <w:spacing w:before="156" w:after="156"/>
        <w:ind w:left="0"/>
        <w:rPr>
          <w:rFonts w:ascii="Times New Roman" w:hAnsi="Times New Roman"/>
          <w:color w:val="000000" w:themeColor="text1"/>
        </w:rPr>
      </w:pPr>
      <w:bookmarkStart w:id="38" w:name="_Toc236687275"/>
      <w:bookmarkEnd w:id="38"/>
    </w:p>
    <w:p w14:paraId="3482EFD2">
      <w:pPr>
        <w:pStyle w:val="75"/>
        <w:numPr>
          <w:ilvl w:val="0"/>
          <w:numId w:val="0"/>
        </w:numPr>
        <w:spacing w:before="156" w:after="156"/>
        <w:ind w:firstLine="424" w:firstLineChars="202"/>
        <w:rPr>
          <w:rFonts w:ascii="Times New Roman" w:hAnsi="Times New Roman"/>
          <w:color w:val="000000" w:themeColor="text1"/>
        </w:rPr>
      </w:pPr>
      <w:bookmarkStart w:id="39" w:name="_Toc236687276"/>
      <w:r>
        <w:rPr>
          <w:rFonts w:ascii="Times New Roman" w:hAnsi="Times New Roman"/>
          <w:color w:val="000000" w:themeColor="text1"/>
        </w:rPr>
        <w:t>可能性 likelihood</w:t>
      </w:r>
      <w:bookmarkEnd w:id="39"/>
    </w:p>
    <w:p w14:paraId="1E370BE1">
      <w:pPr>
        <w:pStyle w:val="65"/>
        <w:ind w:firstLine="420"/>
        <w:rPr>
          <w:rFonts w:ascii="Times New Roman" w:hAnsi="Times New Roman"/>
          <w:bCs/>
          <w:color w:val="000000" w:themeColor="text1"/>
          <w:szCs w:val="21"/>
        </w:rPr>
      </w:pPr>
      <w:r>
        <w:rPr>
          <w:rFonts w:ascii="Times New Roman" w:hAnsi="Times New Roman"/>
          <w:bCs/>
          <w:color w:val="000000" w:themeColor="text1"/>
          <w:szCs w:val="21"/>
        </w:rPr>
        <w:t>评估单元内森林火灾发生、燃烧或蔓延的可能程度，可由燃烧概率、火发生概率等指标表征。</w:t>
      </w:r>
    </w:p>
    <w:p w14:paraId="62BD0421">
      <w:pPr>
        <w:pStyle w:val="75"/>
        <w:spacing w:before="156" w:after="156"/>
        <w:ind w:left="0"/>
        <w:rPr>
          <w:rFonts w:ascii="Times New Roman" w:hAnsi="Times New Roman"/>
          <w:color w:val="000000" w:themeColor="text1"/>
        </w:rPr>
      </w:pPr>
      <w:bookmarkStart w:id="40" w:name="_Toc236687277"/>
      <w:bookmarkEnd w:id="40"/>
    </w:p>
    <w:p w14:paraId="40CF803E">
      <w:pPr>
        <w:pStyle w:val="75"/>
        <w:numPr>
          <w:ilvl w:val="0"/>
          <w:numId w:val="0"/>
        </w:numPr>
        <w:spacing w:before="156" w:after="156"/>
        <w:ind w:firstLine="424" w:firstLineChars="202"/>
        <w:rPr>
          <w:rFonts w:ascii="Times New Roman" w:hAnsi="Times New Roman"/>
          <w:color w:val="000000" w:themeColor="text1"/>
        </w:rPr>
      </w:pPr>
      <w:bookmarkStart w:id="41" w:name="_Toc236687278"/>
      <w:r>
        <w:rPr>
          <w:rFonts w:ascii="Times New Roman" w:hAnsi="Times New Roman"/>
          <w:color w:val="000000" w:themeColor="text1"/>
        </w:rPr>
        <w:t>暴露性 exposure</w:t>
      </w:r>
      <w:bookmarkEnd w:id="41"/>
    </w:p>
    <w:p w14:paraId="7377ABA1">
      <w:pPr>
        <w:pStyle w:val="65"/>
        <w:ind w:firstLine="420"/>
        <w:rPr>
          <w:rFonts w:ascii="Times New Roman" w:hAnsi="Times New Roman"/>
          <w:bCs/>
          <w:color w:val="000000" w:themeColor="text1"/>
          <w:szCs w:val="21"/>
        </w:rPr>
      </w:pPr>
      <w:r>
        <w:rPr>
          <w:rFonts w:ascii="Times New Roman" w:hAnsi="Times New Roman"/>
          <w:bCs/>
          <w:color w:val="000000" w:themeColor="text1"/>
          <w:szCs w:val="21"/>
        </w:rPr>
        <w:t>人员、资源和资产与潜在火焰、热辐射、飞火、烟雾或其他火效应发生空间接触或邻近的程度。</w:t>
      </w:r>
    </w:p>
    <w:p w14:paraId="17C76BFD">
      <w:pPr>
        <w:pStyle w:val="75"/>
        <w:spacing w:before="156" w:after="156"/>
        <w:ind w:left="0"/>
        <w:rPr>
          <w:rFonts w:ascii="Times New Roman" w:hAnsi="Times New Roman"/>
          <w:color w:val="000000" w:themeColor="text1"/>
        </w:rPr>
      </w:pPr>
      <w:bookmarkStart w:id="42" w:name="_Toc236687279"/>
      <w:bookmarkEnd w:id="42"/>
    </w:p>
    <w:p w14:paraId="510028E9">
      <w:pPr>
        <w:pStyle w:val="75"/>
        <w:numPr>
          <w:ilvl w:val="0"/>
          <w:numId w:val="0"/>
        </w:numPr>
        <w:spacing w:before="156" w:after="156"/>
        <w:ind w:firstLine="424" w:firstLineChars="202"/>
        <w:rPr>
          <w:rFonts w:ascii="Times New Roman" w:hAnsi="Times New Roman"/>
          <w:color w:val="000000" w:themeColor="text1"/>
        </w:rPr>
      </w:pPr>
      <w:bookmarkStart w:id="43" w:name="_Toc236687280"/>
      <w:r>
        <w:rPr>
          <w:rFonts w:ascii="Times New Roman" w:hAnsi="Times New Roman"/>
          <w:color w:val="000000" w:themeColor="text1"/>
        </w:rPr>
        <w:t>脆弱性 vulnerability</w:t>
      </w:r>
      <w:bookmarkEnd w:id="43"/>
    </w:p>
    <w:p w14:paraId="0E2E625E">
      <w:pPr>
        <w:pStyle w:val="65"/>
        <w:ind w:firstLine="420"/>
        <w:rPr>
          <w:rFonts w:ascii="Times New Roman" w:hAnsi="Times New Roman"/>
          <w:bCs/>
          <w:color w:val="000000" w:themeColor="text1"/>
          <w:szCs w:val="21"/>
        </w:rPr>
      </w:pPr>
      <w:r>
        <w:rPr>
          <w:rFonts w:ascii="Times New Roman" w:hAnsi="Times New Roman"/>
          <w:bCs/>
          <w:color w:val="000000" w:themeColor="text1"/>
          <w:szCs w:val="21"/>
        </w:rPr>
        <w:t>人员、资源和资产在暴露于一定量级森林火灾时受到损害或获得正向生态效应的程度。</w:t>
      </w:r>
    </w:p>
    <w:p w14:paraId="5CA9E636">
      <w:pPr>
        <w:pStyle w:val="75"/>
        <w:spacing w:before="156" w:after="156"/>
        <w:ind w:left="0"/>
        <w:rPr>
          <w:rFonts w:ascii="Times New Roman" w:hAnsi="Times New Roman"/>
          <w:color w:val="000000" w:themeColor="text1"/>
        </w:rPr>
      </w:pPr>
      <w:bookmarkStart w:id="44" w:name="_Toc236687281"/>
      <w:bookmarkEnd w:id="44"/>
    </w:p>
    <w:p w14:paraId="24805CF5">
      <w:pPr>
        <w:pStyle w:val="75"/>
        <w:numPr>
          <w:ilvl w:val="0"/>
          <w:numId w:val="0"/>
        </w:numPr>
        <w:spacing w:before="156" w:after="156"/>
        <w:ind w:firstLine="424" w:firstLineChars="202"/>
        <w:rPr>
          <w:rFonts w:ascii="Times New Roman" w:hAnsi="Times New Roman"/>
          <w:color w:val="000000" w:themeColor="text1"/>
        </w:rPr>
      </w:pPr>
      <w:bookmarkStart w:id="45" w:name="_Toc236687282"/>
      <w:r>
        <w:rPr>
          <w:rFonts w:ascii="Times New Roman" w:hAnsi="Times New Roman"/>
          <w:color w:val="000000" w:themeColor="text1"/>
        </w:rPr>
        <w:t>火影响 fire impact</w:t>
      </w:r>
      <w:bookmarkEnd w:id="45"/>
    </w:p>
    <w:p w14:paraId="00763CB4">
      <w:pPr>
        <w:pStyle w:val="65"/>
        <w:ind w:firstLine="420"/>
        <w:rPr>
          <w:rFonts w:ascii="Times New Roman" w:hAnsi="Times New Roman"/>
          <w:color w:val="000000" w:themeColor="text1"/>
        </w:rPr>
      </w:pPr>
      <w:r>
        <w:rPr>
          <w:rFonts w:ascii="Times New Roman" w:hAnsi="Times New Roman"/>
          <w:bCs/>
          <w:color w:val="000000" w:themeColor="text1"/>
          <w:szCs w:val="21"/>
        </w:rPr>
        <w:t>森林火灾对植被、居民点、水源地、基础设施等对象产生的正面、中性或负面影响。火影响值可为正值或负值。</w:t>
      </w:r>
    </w:p>
    <w:p w14:paraId="22D10709">
      <w:pPr>
        <w:pStyle w:val="73"/>
        <w:numPr>
          <w:ilvl w:val="1"/>
          <w:numId w:val="1"/>
        </w:numPr>
        <w:spacing w:before="312" w:after="312"/>
        <w:ind w:left="0"/>
        <w:rPr>
          <w:rFonts w:ascii="Times New Roman" w:hAnsi="Times New Roman"/>
          <w:color w:val="000000" w:themeColor="text1"/>
        </w:rPr>
      </w:pPr>
      <w:bookmarkStart w:id="46" w:name="_Toc22663"/>
      <w:bookmarkEnd w:id="46"/>
      <w:bookmarkStart w:id="47" w:name="_Toc18271"/>
      <w:bookmarkEnd w:id="47"/>
      <w:bookmarkStart w:id="48" w:name="_Toc5646"/>
      <w:bookmarkEnd w:id="48"/>
      <w:bookmarkStart w:id="49" w:name="_Toc19836"/>
      <w:bookmarkEnd w:id="49"/>
      <w:bookmarkStart w:id="50" w:name="_Toc32670"/>
      <w:bookmarkEnd w:id="50"/>
      <w:bookmarkStart w:id="51" w:name="_Toc32178"/>
      <w:bookmarkEnd w:id="51"/>
      <w:bookmarkStart w:id="52" w:name="_Toc31652"/>
      <w:bookmarkEnd w:id="52"/>
      <w:bookmarkStart w:id="53" w:name="_Toc9415"/>
      <w:bookmarkEnd w:id="53"/>
      <w:bookmarkStart w:id="54" w:name="_Toc13803"/>
      <w:bookmarkEnd w:id="54"/>
      <w:bookmarkStart w:id="55" w:name="_Toc20063"/>
      <w:bookmarkEnd w:id="55"/>
      <w:bookmarkStart w:id="56" w:name="_Toc4957"/>
      <w:bookmarkEnd w:id="56"/>
      <w:bookmarkStart w:id="57" w:name="_Toc212124675"/>
      <w:bookmarkEnd w:id="57"/>
      <w:bookmarkStart w:id="58" w:name="_Toc12554"/>
      <w:bookmarkEnd w:id="58"/>
      <w:bookmarkStart w:id="59" w:name="_Toc29360"/>
      <w:bookmarkEnd w:id="59"/>
      <w:bookmarkStart w:id="60" w:name="_Toc22351"/>
      <w:bookmarkEnd w:id="60"/>
      <w:bookmarkStart w:id="61" w:name="_Toc16263"/>
      <w:bookmarkEnd w:id="61"/>
      <w:bookmarkStart w:id="62" w:name="_Toc12761"/>
      <w:bookmarkEnd w:id="62"/>
      <w:bookmarkStart w:id="63" w:name="_Toc10391"/>
      <w:bookmarkEnd w:id="63"/>
      <w:bookmarkStart w:id="64" w:name="_Toc212109229"/>
      <w:bookmarkEnd w:id="64"/>
      <w:bookmarkStart w:id="65" w:name="_Toc212110029"/>
      <w:bookmarkEnd w:id="65"/>
      <w:bookmarkStart w:id="66" w:name="_Toc29932"/>
      <w:bookmarkEnd w:id="66"/>
      <w:bookmarkStart w:id="67" w:name="_Toc212110031"/>
      <w:bookmarkEnd w:id="67"/>
      <w:bookmarkStart w:id="68" w:name="_Toc5638"/>
      <w:bookmarkEnd w:id="68"/>
      <w:bookmarkStart w:id="69" w:name="_Toc212206879"/>
      <w:bookmarkEnd w:id="69"/>
      <w:bookmarkStart w:id="70" w:name="_Toc30979"/>
      <w:bookmarkEnd w:id="70"/>
      <w:bookmarkStart w:id="71" w:name="_Toc212109227"/>
      <w:bookmarkEnd w:id="71"/>
      <w:bookmarkStart w:id="72" w:name="_Toc25962"/>
      <w:bookmarkEnd w:id="72"/>
      <w:bookmarkStart w:id="73" w:name="_Toc6711"/>
      <w:bookmarkEnd w:id="73"/>
      <w:bookmarkStart w:id="74" w:name="_Toc28564"/>
      <w:bookmarkEnd w:id="74"/>
      <w:bookmarkStart w:id="75" w:name="_Toc17021"/>
      <w:bookmarkEnd w:id="75"/>
      <w:bookmarkStart w:id="76" w:name="_Toc27499"/>
      <w:bookmarkEnd w:id="76"/>
      <w:bookmarkStart w:id="77" w:name="_Toc25531"/>
      <w:bookmarkEnd w:id="77"/>
      <w:bookmarkStart w:id="78" w:name="_Toc212124673"/>
      <w:bookmarkEnd w:id="78"/>
      <w:bookmarkStart w:id="79" w:name="_Toc25282"/>
      <w:bookmarkEnd w:id="79"/>
      <w:bookmarkStart w:id="80" w:name="_Toc28927"/>
      <w:bookmarkEnd w:id="80"/>
      <w:bookmarkStart w:id="81" w:name="_Toc6167"/>
      <w:bookmarkEnd w:id="81"/>
      <w:bookmarkStart w:id="82" w:name="_Toc22591"/>
      <w:bookmarkEnd w:id="82"/>
      <w:bookmarkStart w:id="83" w:name="_Toc5322"/>
      <w:bookmarkEnd w:id="83"/>
      <w:bookmarkStart w:id="84" w:name="_Toc23119"/>
      <w:bookmarkEnd w:id="84"/>
      <w:bookmarkStart w:id="85" w:name="_Toc370"/>
      <w:bookmarkEnd w:id="85"/>
      <w:bookmarkStart w:id="86" w:name="_Toc1955"/>
      <w:bookmarkEnd w:id="86"/>
      <w:bookmarkStart w:id="87" w:name="_Toc11710"/>
      <w:bookmarkEnd w:id="87"/>
      <w:bookmarkStart w:id="88" w:name="_Toc12619"/>
      <w:bookmarkEnd w:id="88"/>
      <w:bookmarkStart w:id="89" w:name="_Toc6196"/>
      <w:bookmarkEnd w:id="89"/>
      <w:bookmarkStart w:id="90" w:name="_Toc31955"/>
      <w:bookmarkEnd w:id="90"/>
      <w:bookmarkStart w:id="91" w:name="_Toc1035"/>
      <w:bookmarkEnd w:id="91"/>
      <w:bookmarkStart w:id="92" w:name="_Toc2084"/>
      <w:bookmarkEnd w:id="92"/>
      <w:bookmarkStart w:id="93" w:name="_Toc26176"/>
      <w:bookmarkEnd w:id="93"/>
      <w:bookmarkStart w:id="94" w:name="_Toc1436"/>
      <w:bookmarkEnd w:id="94"/>
      <w:bookmarkStart w:id="95" w:name="_Toc17429"/>
      <w:bookmarkEnd w:id="95"/>
      <w:bookmarkStart w:id="96" w:name="_Toc27532"/>
      <w:bookmarkEnd w:id="96"/>
      <w:bookmarkStart w:id="97" w:name="_Toc15599"/>
      <w:bookmarkEnd w:id="97"/>
      <w:bookmarkStart w:id="98" w:name="_Toc22"/>
      <w:bookmarkEnd w:id="98"/>
      <w:bookmarkStart w:id="99" w:name="_Toc6168"/>
      <w:bookmarkEnd w:id="99"/>
      <w:bookmarkStart w:id="100" w:name="_Toc1372"/>
      <w:bookmarkEnd w:id="100"/>
      <w:bookmarkStart w:id="101" w:name="_Toc5559"/>
      <w:bookmarkEnd w:id="101"/>
      <w:bookmarkStart w:id="102" w:name="_Toc29857"/>
      <w:bookmarkEnd w:id="102"/>
      <w:bookmarkStart w:id="103" w:name="_Toc2477"/>
      <w:bookmarkEnd w:id="103"/>
      <w:bookmarkStart w:id="104" w:name="_Toc16539"/>
      <w:bookmarkEnd w:id="104"/>
      <w:bookmarkStart w:id="105" w:name="_Toc9761"/>
      <w:bookmarkEnd w:id="105"/>
      <w:bookmarkStart w:id="106" w:name="_Toc1595"/>
      <w:bookmarkEnd w:id="106"/>
      <w:bookmarkStart w:id="107" w:name="_Toc22823"/>
      <w:bookmarkEnd w:id="107"/>
      <w:bookmarkStart w:id="108" w:name="_Toc28289"/>
      <w:bookmarkEnd w:id="108"/>
      <w:bookmarkStart w:id="109" w:name="_Toc31744"/>
      <w:bookmarkEnd w:id="109"/>
      <w:bookmarkStart w:id="110" w:name="_Toc13040"/>
      <w:bookmarkEnd w:id="110"/>
      <w:bookmarkStart w:id="111" w:name="_Toc22359"/>
      <w:bookmarkEnd w:id="111"/>
      <w:bookmarkStart w:id="112" w:name="_Toc26986532"/>
      <w:bookmarkEnd w:id="112"/>
      <w:bookmarkStart w:id="113" w:name="_Toc24117"/>
      <w:bookmarkEnd w:id="113"/>
      <w:bookmarkStart w:id="114" w:name="_Toc27931"/>
      <w:bookmarkEnd w:id="114"/>
      <w:bookmarkStart w:id="115" w:name="_Toc4828"/>
      <w:bookmarkEnd w:id="115"/>
      <w:bookmarkStart w:id="116" w:name="_Toc212206877"/>
      <w:bookmarkEnd w:id="116"/>
      <w:bookmarkStart w:id="117" w:name="_Toc15735"/>
      <w:bookmarkEnd w:id="117"/>
      <w:bookmarkStart w:id="118" w:name="_Toc8160"/>
      <w:bookmarkEnd w:id="118"/>
      <w:bookmarkStart w:id="119" w:name="_Toc23198"/>
      <w:bookmarkEnd w:id="119"/>
      <w:bookmarkStart w:id="120" w:name="_Toc21109"/>
      <w:bookmarkEnd w:id="120"/>
      <w:bookmarkStart w:id="121" w:name="_Toc24027"/>
      <w:bookmarkEnd w:id="121"/>
      <w:bookmarkStart w:id="122" w:name="_Toc19176"/>
      <w:bookmarkEnd w:id="122"/>
      <w:bookmarkStart w:id="123" w:name="_Toc10169"/>
      <w:bookmarkEnd w:id="123"/>
      <w:bookmarkStart w:id="124" w:name="_Toc6084"/>
      <w:bookmarkEnd w:id="124"/>
      <w:bookmarkStart w:id="125" w:name="_Toc32129"/>
      <w:bookmarkEnd w:id="125"/>
      <w:bookmarkStart w:id="126" w:name="_Toc40"/>
      <w:bookmarkEnd w:id="126"/>
      <w:bookmarkStart w:id="127" w:name="_Toc958"/>
      <w:bookmarkEnd w:id="127"/>
      <w:bookmarkStart w:id="128" w:name="_Toc3199"/>
      <w:bookmarkEnd w:id="128"/>
      <w:bookmarkStart w:id="129" w:name="_Toc28418"/>
      <w:bookmarkEnd w:id="129"/>
      <w:bookmarkStart w:id="130" w:name="_Toc28450"/>
      <w:bookmarkEnd w:id="130"/>
      <w:bookmarkStart w:id="131" w:name="_Toc1062"/>
      <w:bookmarkEnd w:id="131"/>
      <w:bookmarkStart w:id="132" w:name="_Toc16336"/>
      <w:bookmarkEnd w:id="132"/>
      <w:bookmarkStart w:id="133" w:name="_Toc426"/>
      <w:bookmarkEnd w:id="133"/>
      <w:bookmarkStart w:id="134" w:name="_Toc236687283"/>
      <w:r>
        <w:rPr>
          <w:rFonts w:ascii="Times New Roman" w:hAnsi="Times New Roman"/>
          <w:color w:val="000000" w:themeColor="text1"/>
        </w:rPr>
        <w:t>总体原则和评估流程</w:t>
      </w:r>
      <w:bookmarkEnd w:id="134"/>
    </w:p>
    <w:p w14:paraId="4807B185">
      <w:pPr>
        <w:pStyle w:val="75"/>
        <w:spacing w:before="156" w:after="156"/>
        <w:ind w:left="0"/>
        <w:rPr>
          <w:rFonts w:ascii="Times New Roman" w:hAnsi="Times New Roman"/>
          <w:color w:val="000000" w:themeColor="text1"/>
        </w:rPr>
      </w:pPr>
      <w:bookmarkStart w:id="135" w:name="_Toc236687284"/>
      <w:r>
        <w:rPr>
          <w:rFonts w:ascii="Times New Roman" w:hAnsi="Times New Roman"/>
          <w:color w:val="000000" w:themeColor="text1"/>
        </w:rPr>
        <w:t>总体原则</w:t>
      </w:r>
      <w:bookmarkEnd w:id="135"/>
    </w:p>
    <w:p w14:paraId="6A321F91">
      <w:pPr>
        <w:pStyle w:val="42"/>
        <w:numPr>
          <w:ilvl w:val="0"/>
          <w:numId w:val="4"/>
        </w:numPr>
        <w:tabs>
          <w:tab w:val="right" w:leader="dot" w:pos="426"/>
          <w:tab w:val="clear" w:pos="4201"/>
          <w:tab w:val="clear" w:pos="9298"/>
        </w:tabs>
        <w:ind w:left="0" w:firstLine="426" w:firstLineChars="0"/>
        <w:rPr>
          <w:rFonts w:hint="eastAsia" w:hAnsi="宋体"/>
          <w:color w:val="000000" w:themeColor="text1"/>
        </w:rPr>
      </w:pPr>
      <w:r>
        <w:rPr>
          <w:rFonts w:hAnsi="宋体"/>
          <w:color w:val="000000" w:themeColor="text1"/>
        </w:rPr>
        <w:t>科学性：指标应反映森林火灾发生、蔓延、火行为强度及承灾体影响。</w:t>
      </w:r>
    </w:p>
    <w:p w14:paraId="1FF1FF3B">
      <w:pPr>
        <w:pStyle w:val="42"/>
        <w:numPr>
          <w:ilvl w:val="0"/>
          <w:numId w:val="4"/>
        </w:numPr>
        <w:tabs>
          <w:tab w:val="right" w:leader="dot" w:pos="426"/>
          <w:tab w:val="clear" w:pos="4201"/>
          <w:tab w:val="clear" w:pos="9298"/>
        </w:tabs>
        <w:ind w:left="0" w:firstLine="426" w:firstLineChars="0"/>
        <w:rPr>
          <w:rFonts w:hint="eastAsia" w:hAnsi="宋体"/>
          <w:color w:val="000000" w:themeColor="text1"/>
        </w:rPr>
      </w:pPr>
      <w:r>
        <w:rPr>
          <w:rFonts w:hAnsi="宋体"/>
          <w:color w:val="000000" w:themeColor="text1"/>
        </w:rPr>
        <w:t>一致性：评估单元和等级划分方法应保持一致，便于跨区域比较。</w:t>
      </w:r>
    </w:p>
    <w:p w14:paraId="21D93016">
      <w:pPr>
        <w:pStyle w:val="42"/>
        <w:numPr>
          <w:ilvl w:val="0"/>
          <w:numId w:val="4"/>
        </w:numPr>
        <w:tabs>
          <w:tab w:val="right" w:leader="dot" w:pos="426"/>
          <w:tab w:val="clear" w:pos="4201"/>
          <w:tab w:val="clear" w:pos="9298"/>
        </w:tabs>
        <w:ind w:left="0" w:firstLine="426" w:firstLineChars="0"/>
        <w:rPr>
          <w:rFonts w:hint="eastAsia" w:hAnsi="宋体"/>
          <w:color w:val="000000" w:themeColor="text1"/>
        </w:rPr>
      </w:pPr>
      <w:r>
        <w:rPr>
          <w:rFonts w:hAnsi="宋体"/>
          <w:color w:val="000000" w:themeColor="text1"/>
        </w:rPr>
        <w:t>适用性：评估数据、模型和参数应结合区域火环境、森林类型、火管理目标和数据可得性确定。</w:t>
      </w:r>
    </w:p>
    <w:p w14:paraId="24167191">
      <w:pPr>
        <w:pStyle w:val="42"/>
        <w:numPr>
          <w:ilvl w:val="0"/>
          <w:numId w:val="4"/>
        </w:numPr>
        <w:tabs>
          <w:tab w:val="right" w:leader="dot" w:pos="426"/>
          <w:tab w:val="clear" w:pos="4201"/>
          <w:tab w:val="clear" w:pos="9298"/>
        </w:tabs>
        <w:ind w:left="0" w:firstLine="426" w:firstLineChars="0"/>
        <w:rPr>
          <w:rFonts w:hint="eastAsia" w:hAnsi="宋体"/>
          <w:color w:val="000000" w:themeColor="text1"/>
        </w:rPr>
      </w:pPr>
      <w:r>
        <w:rPr>
          <w:rFonts w:hAnsi="宋体"/>
          <w:color w:val="000000" w:themeColor="text1"/>
        </w:rPr>
        <w:t>可更新性：当可燃物、气象气候、居民点、基础设施或管理目标发生明显变化时，应开展重新评估。</w:t>
      </w:r>
    </w:p>
    <w:p w14:paraId="0C0F9CA6">
      <w:pPr>
        <w:pStyle w:val="42"/>
        <w:numPr>
          <w:ilvl w:val="0"/>
          <w:numId w:val="4"/>
        </w:numPr>
        <w:tabs>
          <w:tab w:val="right" w:leader="dot" w:pos="426"/>
          <w:tab w:val="clear" w:pos="4201"/>
          <w:tab w:val="clear" w:pos="9298"/>
        </w:tabs>
        <w:ind w:left="0" w:firstLine="426" w:firstLineChars="0"/>
        <w:rPr>
          <w:rFonts w:hint="eastAsia" w:hAnsi="宋体"/>
          <w:color w:val="000000" w:themeColor="text1"/>
        </w:rPr>
      </w:pPr>
      <w:r>
        <w:rPr>
          <w:rFonts w:hAnsi="宋体"/>
          <w:color w:val="000000" w:themeColor="text1"/>
        </w:rPr>
        <w:t>可</w:t>
      </w:r>
      <w:r>
        <w:rPr>
          <w:rFonts w:hint="eastAsia" w:hAnsi="宋体"/>
          <w:color w:val="000000" w:themeColor="text1"/>
        </w:rPr>
        <w:t>表达</w:t>
      </w:r>
      <w:r>
        <w:rPr>
          <w:rFonts w:hAnsi="宋体"/>
          <w:color w:val="000000" w:themeColor="text1"/>
        </w:rPr>
        <w:t>性：风险成果应以图件、表格和说明报告形式表达，明确不确定性和适用边界。</w:t>
      </w:r>
    </w:p>
    <w:p w14:paraId="7911C8C2">
      <w:pPr>
        <w:pStyle w:val="75"/>
        <w:spacing w:before="156" w:after="156"/>
        <w:ind w:left="0"/>
        <w:rPr>
          <w:rFonts w:ascii="Times New Roman" w:hAnsi="Times New Roman"/>
          <w:color w:val="000000" w:themeColor="text1"/>
        </w:rPr>
      </w:pPr>
      <w:r>
        <w:rPr>
          <w:rFonts w:ascii="Times New Roman" w:hAnsi="Times New Roman"/>
          <w:color w:val="000000" w:themeColor="text1"/>
        </w:rPr>
        <w:t xml:space="preserve"> </w:t>
      </w:r>
      <w:bookmarkStart w:id="136" w:name="_Toc236687285"/>
      <w:r>
        <w:rPr>
          <w:rFonts w:ascii="Times New Roman" w:hAnsi="Times New Roman"/>
          <w:color w:val="000000" w:themeColor="text1"/>
        </w:rPr>
        <w:t>评估流程</w:t>
      </w:r>
      <w:bookmarkEnd w:id="136"/>
    </w:p>
    <w:p w14:paraId="29D029DA">
      <w:pPr>
        <w:spacing w:line="300" w:lineRule="auto"/>
        <w:ind w:firstLine="420"/>
      </w:pPr>
      <w:r>
        <w:t>森林火灾风险评估宜按以下五个阶段开展：</w:t>
      </w:r>
    </w:p>
    <w:p w14:paraId="53F6E4DE">
      <w:pPr>
        <w:pStyle w:val="42"/>
        <w:numPr>
          <w:ilvl w:val="0"/>
          <w:numId w:val="5"/>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界定范围</w:t>
      </w:r>
      <w:r>
        <w:rPr>
          <w:rFonts w:hint="eastAsia" w:hAnsi="宋体"/>
          <w:color w:val="000000" w:themeColor="text1"/>
        </w:rPr>
        <w:t>：</w:t>
      </w:r>
      <w:r>
        <w:t>界定范围阶段应确定评估目的、评估区域、评估时段、空间分辨率、评估对象、风险所有者和成果用途。</w:t>
      </w:r>
    </w:p>
    <w:p w14:paraId="21B56044">
      <w:pPr>
        <w:pStyle w:val="42"/>
        <w:numPr>
          <w:ilvl w:val="0"/>
          <w:numId w:val="5"/>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数据</w:t>
      </w:r>
      <w:r>
        <w:rPr>
          <w:rFonts w:hint="eastAsia" w:hAnsi="宋体"/>
          <w:color w:val="000000" w:themeColor="text1"/>
        </w:rPr>
        <w:t>和</w:t>
      </w:r>
      <w:r>
        <w:rPr>
          <w:rFonts w:hAnsi="宋体"/>
          <w:color w:val="000000" w:themeColor="text1"/>
        </w:rPr>
        <w:t>信息收集</w:t>
      </w:r>
      <w:r>
        <w:rPr>
          <w:rFonts w:hint="eastAsia" w:hAnsi="宋体"/>
          <w:color w:val="000000" w:themeColor="text1"/>
        </w:rPr>
        <w:t>：</w:t>
      </w:r>
      <w:r>
        <w:t>应获取历史火灾、可燃物、地形、气象、火险天气、居民点和基础设施等数据。</w:t>
      </w:r>
    </w:p>
    <w:p w14:paraId="5B0E61A5">
      <w:pPr>
        <w:pStyle w:val="42"/>
        <w:numPr>
          <w:ilvl w:val="0"/>
          <w:numId w:val="5"/>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风险分析</w:t>
      </w:r>
      <w:r>
        <w:rPr>
          <w:rFonts w:hint="eastAsia" w:hAnsi="宋体"/>
          <w:color w:val="000000" w:themeColor="text1"/>
        </w:rPr>
        <w:t>：</w:t>
      </w:r>
      <w:r>
        <w:t>应分别计算</w:t>
      </w:r>
      <w:r>
        <w:rPr>
          <w:rFonts w:hint="eastAsia"/>
        </w:rPr>
        <w:t>火灾的发生</w:t>
      </w:r>
      <w:r>
        <w:t>可能性、暴露性和脆弱性，并形成综合风险指数。</w:t>
      </w:r>
    </w:p>
    <w:p w14:paraId="0767B060">
      <w:pPr>
        <w:pStyle w:val="42"/>
        <w:numPr>
          <w:ilvl w:val="0"/>
          <w:numId w:val="5"/>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风险评价</w:t>
      </w:r>
      <w:r>
        <w:rPr>
          <w:rFonts w:hint="eastAsia" w:hAnsi="宋体"/>
          <w:color w:val="000000" w:themeColor="text1"/>
        </w:rPr>
        <w:t>：</w:t>
      </w:r>
      <w:r>
        <w:t>应划分风险等级并形成图件和报告。</w:t>
      </w:r>
    </w:p>
    <w:p w14:paraId="5C19DFD7">
      <w:pPr>
        <w:pStyle w:val="42"/>
        <w:numPr>
          <w:ilvl w:val="0"/>
          <w:numId w:val="5"/>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重新评估</w:t>
      </w:r>
      <w:r>
        <w:rPr>
          <w:rFonts w:hint="eastAsia" w:hAnsi="宋体"/>
          <w:color w:val="000000" w:themeColor="text1"/>
        </w:rPr>
        <w:t>：</w:t>
      </w:r>
      <w:r>
        <w:rPr>
          <w:rFonts w:hAnsi="宋体"/>
          <w:color w:val="000000" w:themeColor="text1"/>
        </w:rPr>
        <w:t>应根据数据更新、管理措施实施或区域条件变化开展。</w:t>
      </w:r>
    </w:p>
    <w:p w14:paraId="1465E149">
      <w:pPr>
        <w:pStyle w:val="73"/>
        <w:numPr>
          <w:ilvl w:val="1"/>
          <w:numId w:val="1"/>
        </w:numPr>
        <w:spacing w:before="312" w:after="312"/>
        <w:ind w:left="0"/>
        <w:rPr>
          <w:rFonts w:ascii="Times New Roman" w:hAnsi="Times New Roman"/>
          <w:color w:val="000000" w:themeColor="text1"/>
        </w:rPr>
      </w:pPr>
      <w:bookmarkStart w:id="137" w:name="_Toc236687286"/>
      <w:r>
        <w:rPr>
          <w:rFonts w:ascii="Times New Roman" w:hAnsi="Times New Roman"/>
          <w:color w:val="000000" w:themeColor="text1"/>
        </w:rPr>
        <w:t>数据要求</w:t>
      </w:r>
      <w:bookmarkEnd w:id="137"/>
    </w:p>
    <w:p w14:paraId="2380590E">
      <w:pPr>
        <w:pStyle w:val="75"/>
        <w:spacing w:before="156" w:after="156"/>
        <w:ind w:left="0"/>
        <w:rPr>
          <w:rFonts w:ascii="Times New Roman" w:hAnsi="Times New Roman"/>
          <w:color w:val="000000" w:themeColor="text1"/>
        </w:rPr>
      </w:pPr>
      <w:bookmarkStart w:id="138" w:name="_Toc236687287"/>
      <w:r>
        <w:rPr>
          <w:rFonts w:ascii="Times New Roman" w:hAnsi="Times New Roman"/>
          <w:color w:val="000000" w:themeColor="text1"/>
        </w:rPr>
        <w:t>空间基准与评估单元</w:t>
      </w:r>
      <w:bookmarkEnd w:id="138"/>
    </w:p>
    <w:p w14:paraId="0DE53605">
      <w:pPr>
        <w:pStyle w:val="42"/>
        <w:tabs>
          <w:tab w:val="center" w:pos="709"/>
        </w:tabs>
        <w:rPr>
          <w:rFonts w:hint="eastAsia" w:hAnsi="宋体"/>
          <w:color w:val="000000" w:themeColor="text1"/>
        </w:rPr>
      </w:pPr>
      <w:r>
        <w:rPr>
          <w:rFonts w:hAnsi="宋体"/>
          <w:color w:val="000000" w:themeColor="text1"/>
        </w:rPr>
        <w:t>评估宜采用统一坐标系统和投影系统。格网尺度宜根据数据精度、管理需求和区域尺度确定，景观尺度评估宜采用 30 m～1 km 空间分辨率；重点区域宜采用 30 m～100 m 空间分辨率。地理空间数据交换应符合 GB/T 17798 的要求。</w:t>
      </w:r>
    </w:p>
    <w:p w14:paraId="2D561FAE">
      <w:pPr>
        <w:pStyle w:val="75"/>
        <w:spacing w:before="156" w:after="156"/>
        <w:ind w:left="0"/>
        <w:rPr>
          <w:rFonts w:ascii="Times New Roman" w:hAnsi="Times New Roman"/>
          <w:color w:val="000000" w:themeColor="text1"/>
        </w:rPr>
      </w:pPr>
      <w:bookmarkStart w:id="139" w:name="_Toc236687288"/>
      <w:r>
        <w:rPr>
          <w:rFonts w:ascii="Times New Roman" w:hAnsi="Times New Roman"/>
          <w:color w:val="000000" w:themeColor="text1"/>
        </w:rPr>
        <w:t>基础数据</w:t>
      </w:r>
      <w:bookmarkEnd w:id="139"/>
    </w:p>
    <w:p w14:paraId="5C0A2316">
      <w:pPr>
        <w:pStyle w:val="42"/>
        <w:tabs>
          <w:tab w:val="center" w:pos="709"/>
        </w:tabs>
        <w:rPr>
          <w:rFonts w:hint="eastAsia" w:hAnsi="宋体"/>
          <w:color w:val="000000" w:themeColor="text1"/>
        </w:rPr>
      </w:pPr>
      <w:r>
        <w:rPr>
          <w:rFonts w:hint="eastAsia" w:hAnsi="宋体"/>
          <w:color w:val="000000" w:themeColor="text1"/>
        </w:rPr>
        <w:t>基础数据包括的内容和技术要求按表1确定。</w:t>
      </w:r>
    </w:p>
    <w:p w14:paraId="0BF0EAC5">
      <w:pPr>
        <w:pStyle w:val="7"/>
        <w:spacing w:before="156" w:beforeLines="50" w:after="156" w:afterLines="50"/>
        <w:jc w:val="center"/>
        <w:rPr>
          <w:rFonts w:hint="eastAsia" w:ascii="黑体" w:hAnsi="黑体"/>
          <w:color w:val="000000"/>
          <w:sz w:val="21"/>
          <w:szCs w:val="21"/>
        </w:rPr>
      </w:pPr>
      <w:r>
        <w:rPr>
          <w:rFonts w:ascii="黑体" w:hAnsi="黑体"/>
          <w:color w:val="000000"/>
          <w:sz w:val="21"/>
          <w:szCs w:val="21"/>
        </w:rPr>
        <w:t>表1 森林火灾风险评估基础数据要求</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50"/>
        <w:gridCol w:w="3686"/>
        <w:gridCol w:w="3934"/>
      </w:tblGrid>
      <w:tr w14:paraId="07FEE5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019" w:type="pct"/>
            <w:tcBorders>
              <w:top w:val="single" w:color="auto" w:sz="12" w:space="0"/>
              <w:bottom w:val="single" w:color="auto" w:sz="12" w:space="0"/>
            </w:tcBorders>
            <w:vAlign w:val="center"/>
          </w:tcPr>
          <w:p w14:paraId="140AB6C3">
            <w:pPr>
              <w:adjustRightInd w:val="0"/>
              <w:snapToGrid w:val="0"/>
              <w:jc w:val="center"/>
              <w:rPr>
                <w:rFonts w:eastAsia="微软雅黑"/>
                <w:color w:val="000000" w:themeColor="text1"/>
                <w:sz w:val="18"/>
                <w:szCs w:val="18"/>
              </w:rPr>
            </w:pPr>
            <w:r>
              <w:rPr>
                <w:rFonts w:eastAsia="微软雅黑"/>
                <w:color w:val="000000" w:themeColor="text1"/>
                <w:sz w:val="18"/>
                <w:szCs w:val="18"/>
              </w:rPr>
              <w:t>数据类型</w:t>
            </w:r>
          </w:p>
        </w:tc>
        <w:tc>
          <w:tcPr>
            <w:tcW w:w="1926" w:type="pct"/>
            <w:tcBorders>
              <w:top w:val="single" w:color="auto" w:sz="12" w:space="0"/>
              <w:bottom w:val="single" w:color="auto" w:sz="12" w:space="0"/>
            </w:tcBorders>
            <w:vAlign w:val="center"/>
          </w:tcPr>
          <w:p w14:paraId="7A120BA9">
            <w:pPr>
              <w:adjustRightInd w:val="0"/>
              <w:snapToGrid w:val="0"/>
              <w:jc w:val="center"/>
              <w:rPr>
                <w:rFonts w:eastAsia="微软雅黑"/>
                <w:color w:val="000000" w:themeColor="text1"/>
                <w:sz w:val="18"/>
                <w:szCs w:val="18"/>
              </w:rPr>
            </w:pPr>
            <w:r>
              <w:rPr>
                <w:rFonts w:eastAsia="微软雅黑"/>
                <w:color w:val="000000" w:themeColor="text1"/>
                <w:sz w:val="18"/>
                <w:szCs w:val="18"/>
              </w:rPr>
              <w:t>主要内容</w:t>
            </w:r>
          </w:p>
        </w:tc>
        <w:tc>
          <w:tcPr>
            <w:tcW w:w="2055" w:type="pct"/>
            <w:tcBorders>
              <w:top w:val="single" w:color="auto" w:sz="12" w:space="0"/>
              <w:bottom w:val="single" w:color="auto" w:sz="12" w:space="0"/>
            </w:tcBorders>
            <w:vAlign w:val="center"/>
          </w:tcPr>
          <w:p w14:paraId="215654C6">
            <w:pPr>
              <w:adjustRightInd w:val="0"/>
              <w:snapToGrid w:val="0"/>
              <w:jc w:val="center"/>
              <w:rPr>
                <w:rFonts w:eastAsia="微软雅黑"/>
                <w:color w:val="000000" w:themeColor="text1"/>
                <w:sz w:val="18"/>
                <w:szCs w:val="18"/>
              </w:rPr>
            </w:pPr>
            <w:r>
              <w:rPr>
                <w:rFonts w:eastAsia="微软雅黑"/>
                <w:color w:val="000000" w:themeColor="text1"/>
                <w:sz w:val="18"/>
                <w:szCs w:val="18"/>
              </w:rPr>
              <w:t>技术要求</w:t>
            </w:r>
          </w:p>
        </w:tc>
      </w:tr>
      <w:tr w14:paraId="382B53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019" w:type="pct"/>
            <w:tcBorders>
              <w:bottom w:val="single" w:color="auto" w:sz="4" w:space="0"/>
            </w:tcBorders>
            <w:vAlign w:val="center"/>
          </w:tcPr>
          <w:p w14:paraId="68A25885">
            <w:pPr>
              <w:adjustRightInd w:val="0"/>
              <w:snapToGrid w:val="0"/>
              <w:spacing w:line="276" w:lineRule="auto"/>
              <w:jc w:val="center"/>
              <w:rPr>
                <w:rFonts w:hint="eastAsia" w:ascii="宋体" w:hAnsi="宋体"/>
                <w:color w:val="000000" w:themeColor="text1"/>
                <w:sz w:val="18"/>
                <w:szCs w:val="18"/>
              </w:rPr>
            </w:pPr>
            <w:r>
              <w:rPr>
                <w:rFonts w:ascii="宋体" w:hAnsi="宋体"/>
                <w:color w:val="000000" w:themeColor="text1"/>
                <w:sz w:val="18"/>
                <w:szCs w:val="18"/>
              </w:rPr>
              <w:t>历史火灾数据</w:t>
            </w:r>
          </w:p>
        </w:tc>
        <w:tc>
          <w:tcPr>
            <w:tcW w:w="1926" w:type="pct"/>
            <w:tcBorders>
              <w:bottom w:val="single" w:color="auto" w:sz="4" w:space="0"/>
            </w:tcBorders>
            <w:vAlign w:val="center"/>
          </w:tcPr>
          <w:p w14:paraId="372AD3CA">
            <w:pPr>
              <w:adjustRightInd w:val="0"/>
              <w:snapToGrid w:val="0"/>
              <w:spacing w:line="276" w:lineRule="auto"/>
              <w:rPr>
                <w:rFonts w:hint="eastAsia" w:ascii="宋体" w:hAnsi="宋体"/>
                <w:color w:val="000000" w:themeColor="text1"/>
                <w:sz w:val="18"/>
                <w:szCs w:val="18"/>
              </w:rPr>
            </w:pPr>
            <w:r>
              <w:rPr>
                <w:rFonts w:ascii="宋体" w:hAnsi="宋体"/>
                <w:color w:val="000000" w:themeColor="text1"/>
                <w:sz w:val="18"/>
                <w:szCs w:val="18"/>
              </w:rPr>
              <w:t>火点位置、起火时间、过火面积、火因、火烈度、扑救记录</w:t>
            </w:r>
          </w:p>
        </w:tc>
        <w:tc>
          <w:tcPr>
            <w:tcW w:w="2055" w:type="pct"/>
            <w:tcBorders>
              <w:bottom w:val="single" w:color="auto" w:sz="4" w:space="0"/>
            </w:tcBorders>
            <w:vAlign w:val="center"/>
          </w:tcPr>
          <w:p w14:paraId="010BAE53">
            <w:pPr>
              <w:adjustRightInd w:val="0"/>
              <w:snapToGrid w:val="0"/>
              <w:spacing w:line="276" w:lineRule="auto"/>
              <w:rPr>
                <w:rFonts w:hint="eastAsia" w:ascii="宋体" w:hAnsi="宋体"/>
                <w:color w:val="000000" w:themeColor="text1"/>
                <w:sz w:val="18"/>
                <w:szCs w:val="18"/>
              </w:rPr>
            </w:pPr>
            <w:r>
              <w:rPr>
                <w:rFonts w:ascii="宋体" w:hAnsi="宋体"/>
                <w:color w:val="000000" w:themeColor="text1"/>
                <w:sz w:val="18"/>
                <w:szCs w:val="18"/>
              </w:rPr>
              <w:t>应进行坐标、时间和属性一致性校核</w:t>
            </w:r>
          </w:p>
        </w:tc>
      </w:tr>
      <w:tr w14:paraId="2D8D56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019" w:type="pct"/>
            <w:tcBorders>
              <w:bottom w:val="single" w:color="auto" w:sz="4" w:space="0"/>
            </w:tcBorders>
            <w:vAlign w:val="center"/>
          </w:tcPr>
          <w:p w14:paraId="6AA3AA11">
            <w:pPr>
              <w:adjustRightInd w:val="0"/>
              <w:snapToGrid w:val="0"/>
              <w:spacing w:line="276" w:lineRule="auto"/>
              <w:jc w:val="center"/>
              <w:rPr>
                <w:rFonts w:hint="eastAsia" w:ascii="宋体" w:hAnsi="宋体"/>
                <w:color w:val="000000" w:themeColor="text1"/>
                <w:sz w:val="18"/>
                <w:szCs w:val="18"/>
              </w:rPr>
            </w:pPr>
            <w:r>
              <w:rPr>
                <w:rFonts w:ascii="宋体" w:hAnsi="宋体"/>
                <w:color w:val="000000" w:themeColor="text1"/>
                <w:sz w:val="18"/>
                <w:szCs w:val="18"/>
              </w:rPr>
              <w:t>可燃物/植被数据</w:t>
            </w:r>
          </w:p>
        </w:tc>
        <w:tc>
          <w:tcPr>
            <w:tcW w:w="1926" w:type="pct"/>
            <w:tcBorders>
              <w:bottom w:val="single" w:color="auto" w:sz="4" w:space="0"/>
            </w:tcBorders>
            <w:vAlign w:val="center"/>
          </w:tcPr>
          <w:p w14:paraId="23C046E3">
            <w:pPr>
              <w:adjustRightInd w:val="0"/>
              <w:snapToGrid w:val="0"/>
              <w:spacing w:line="276" w:lineRule="auto"/>
              <w:rPr>
                <w:rFonts w:hint="eastAsia" w:ascii="宋体" w:hAnsi="宋体"/>
                <w:color w:val="000000" w:themeColor="text1"/>
                <w:sz w:val="18"/>
                <w:szCs w:val="18"/>
              </w:rPr>
            </w:pPr>
            <w:r>
              <w:rPr>
                <w:rFonts w:ascii="宋体" w:hAnsi="宋体"/>
                <w:color w:val="000000" w:themeColor="text1"/>
                <w:sz w:val="18"/>
                <w:szCs w:val="18"/>
              </w:rPr>
              <w:t>可燃物类型、植被类型、树种组成、郁闭度、林龄、平均树高、可燃物载量</w:t>
            </w:r>
          </w:p>
        </w:tc>
        <w:tc>
          <w:tcPr>
            <w:tcW w:w="2055" w:type="pct"/>
            <w:tcBorders>
              <w:bottom w:val="single" w:color="auto" w:sz="4" w:space="0"/>
            </w:tcBorders>
            <w:vAlign w:val="center"/>
          </w:tcPr>
          <w:p w14:paraId="226C3DD8">
            <w:pPr>
              <w:adjustRightInd w:val="0"/>
              <w:snapToGrid w:val="0"/>
              <w:spacing w:line="276" w:lineRule="auto"/>
              <w:rPr>
                <w:rFonts w:hint="eastAsia" w:ascii="宋体" w:hAnsi="宋体"/>
                <w:color w:val="000000" w:themeColor="text1"/>
                <w:sz w:val="18"/>
                <w:szCs w:val="18"/>
              </w:rPr>
            </w:pPr>
            <w:r>
              <w:rPr>
                <w:rFonts w:ascii="宋体" w:hAnsi="宋体"/>
                <w:color w:val="000000" w:themeColor="text1"/>
                <w:sz w:val="18"/>
                <w:szCs w:val="18"/>
              </w:rPr>
              <w:t>应能支持火行为模拟或指标分级</w:t>
            </w:r>
          </w:p>
        </w:tc>
      </w:tr>
      <w:tr w14:paraId="599370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019" w:type="pct"/>
            <w:tcBorders>
              <w:bottom w:val="single" w:color="auto" w:sz="4" w:space="0"/>
            </w:tcBorders>
            <w:vAlign w:val="center"/>
          </w:tcPr>
          <w:p w14:paraId="224E3738">
            <w:pPr>
              <w:adjustRightInd w:val="0"/>
              <w:snapToGrid w:val="0"/>
              <w:spacing w:line="276" w:lineRule="auto"/>
              <w:jc w:val="center"/>
              <w:rPr>
                <w:rFonts w:hint="eastAsia" w:ascii="宋体" w:hAnsi="宋体"/>
                <w:color w:val="000000" w:themeColor="text1"/>
                <w:sz w:val="18"/>
                <w:szCs w:val="18"/>
              </w:rPr>
            </w:pPr>
            <w:r>
              <w:rPr>
                <w:rFonts w:ascii="宋体" w:hAnsi="宋体"/>
                <w:color w:val="000000" w:themeColor="text1"/>
                <w:sz w:val="18"/>
                <w:szCs w:val="18"/>
              </w:rPr>
              <w:t>地形数据</w:t>
            </w:r>
          </w:p>
        </w:tc>
        <w:tc>
          <w:tcPr>
            <w:tcW w:w="1926" w:type="pct"/>
            <w:tcBorders>
              <w:bottom w:val="single" w:color="auto" w:sz="4" w:space="0"/>
            </w:tcBorders>
            <w:vAlign w:val="center"/>
          </w:tcPr>
          <w:p w14:paraId="2DA931FE">
            <w:pPr>
              <w:adjustRightInd w:val="0"/>
              <w:snapToGrid w:val="0"/>
              <w:spacing w:line="276" w:lineRule="auto"/>
              <w:rPr>
                <w:rFonts w:hint="eastAsia" w:ascii="宋体" w:hAnsi="宋体"/>
                <w:color w:val="000000" w:themeColor="text1"/>
                <w:sz w:val="18"/>
                <w:szCs w:val="18"/>
              </w:rPr>
            </w:pPr>
            <w:r>
              <w:rPr>
                <w:rFonts w:ascii="宋体" w:hAnsi="宋体"/>
                <w:color w:val="000000" w:themeColor="text1"/>
                <w:sz w:val="18"/>
                <w:szCs w:val="18"/>
              </w:rPr>
              <w:t>DEM、坡度、坡向、海拔、地形湿润度指数</w:t>
            </w:r>
          </w:p>
        </w:tc>
        <w:tc>
          <w:tcPr>
            <w:tcW w:w="2055" w:type="pct"/>
            <w:tcBorders>
              <w:bottom w:val="single" w:color="auto" w:sz="4" w:space="0"/>
            </w:tcBorders>
            <w:vAlign w:val="center"/>
          </w:tcPr>
          <w:p w14:paraId="4EEF9E29">
            <w:pPr>
              <w:adjustRightInd w:val="0"/>
              <w:snapToGrid w:val="0"/>
              <w:spacing w:line="276" w:lineRule="auto"/>
              <w:rPr>
                <w:rFonts w:hint="eastAsia" w:ascii="宋体" w:hAnsi="宋体"/>
                <w:color w:val="000000" w:themeColor="text1"/>
                <w:sz w:val="18"/>
                <w:szCs w:val="18"/>
              </w:rPr>
            </w:pPr>
            <w:r>
              <w:rPr>
                <w:rFonts w:ascii="宋体" w:hAnsi="宋体"/>
                <w:color w:val="000000" w:themeColor="text1"/>
                <w:sz w:val="18"/>
                <w:szCs w:val="18"/>
              </w:rPr>
              <w:t>宜不低于评估单元空间分辨率</w:t>
            </w:r>
          </w:p>
        </w:tc>
      </w:tr>
      <w:tr w14:paraId="0647AF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019" w:type="pct"/>
            <w:tcBorders>
              <w:bottom w:val="single" w:color="auto" w:sz="4" w:space="0"/>
            </w:tcBorders>
            <w:vAlign w:val="center"/>
          </w:tcPr>
          <w:p w14:paraId="430D518E">
            <w:pPr>
              <w:adjustRightInd w:val="0"/>
              <w:snapToGrid w:val="0"/>
              <w:spacing w:line="276" w:lineRule="auto"/>
              <w:jc w:val="center"/>
              <w:rPr>
                <w:rFonts w:hint="eastAsia" w:ascii="宋体" w:hAnsi="宋体"/>
                <w:color w:val="000000" w:themeColor="text1"/>
                <w:sz w:val="18"/>
                <w:szCs w:val="18"/>
              </w:rPr>
            </w:pPr>
            <w:r>
              <w:rPr>
                <w:rFonts w:ascii="宋体" w:hAnsi="宋体"/>
                <w:color w:val="000000" w:themeColor="text1"/>
                <w:sz w:val="18"/>
                <w:szCs w:val="18"/>
              </w:rPr>
              <w:t>气象和火险天气数据</w:t>
            </w:r>
          </w:p>
        </w:tc>
        <w:tc>
          <w:tcPr>
            <w:tcW w:w="1926" w:type="pct"/>
            <w:tcBorders>
              <w:bottom w:val="single" w:color="auto" w:sz="4" w:space="0"/>
            </w:tcBorders>
            <w:vAlign w:val="center"/>
          </w:tcPr>
          <w:p w14:paraId="70FE9AB6">
            <w:pPr>
              <w:adjustRightInd w:val="0"/>
              <w:snapToGrid w:val="0"/>
              <w:spacing w:line="276" w:lineRule="auto"/>
              <w:rPr>
                <w:rFonts w:hint="eastAsia" w:ascii="宋体" w:hAnsi="宋体"/>
                <w:color w:val="000000" w:themeColor="text1"/>
                <w:sz w:val="18"/>
                <w:szCs w:val="18"/>
              </w:rPr>
            </w:pPr>
            <w:r>
              <w:rPr>
                <w:rFonts w:ascii="宋体" w:hAnsi="宋体"/>
                <w:color w:val="000000" w:themeColor="text1"/>
                <w:sz w:val="18"/>
                <w:szCs w:val="18"/>
              </w:rPr>
              <w:t>气温、相对湿度、风速、风向、降水量、FFMC、DMC、DC、ISI、BUI、FWI</w:t>
            </w:r>
          </w:p>
        </w:tc>
        <w:tc>
          <w:tcPr>
            <w:tcW w:w="2055" w:type="pct"/>
            <w:tcBorders>
              <w:bottom w:val="single" w:color="auto" w:sz="4" w:space="0"/>
            </w:tcBorders>
            <w:vAlign w:val="center"/>
          </w:tcPr>
          <w:p w14:paraId="7282280F">
            <w:pPr>
              <w:adjustRightInd w:val="0"/>
              <w:snapToGrid w:val="0"/>
              <w:spacing w:line="276" w:lineRule="auto"/>
              <w:rPr>
                <w:rFonts w:hint="eastAsia" w:ascii="宋体" w:hAnsi="宋体"/>
                <w:color w:val="000000" w:themeColor="text1"/>
                <w:sz w:val="18"/>
                <w:szCs w:val="18"/>
              </w:rPr>
            </w:pPr>
            <w:r>
              <w:rPr>
                <w:rFonts w:ascii="宋体" w:hAnsi="宋体"/>
                <w:color w:val="000000" w:themeColor="text1"/>
                <w:sz w:val="18"/>
                <w:szCs w:val="18"/>
              </w:rPr>
              <w:t>火险天气</w:t>
            </w:r>
            <w:r>
              <w:rPr>
                <w:rFonts w:hint="eastAsia" w:ascii="宋体" w:hAnsi="宋体"/>
                <w:color w:val="000000" w:themeColor="text1"/>
                <w:sz w:val="18"/>
                <w:szCs w:val="18"/>
              </w:rPr>
              <w:t>指数采用成熟的火天气系统或</w:t>
            </w:r>
            <w:r>
              <w:rPr>
                <w:rFonts w:ascii="宋体" w:hAnsi="宋体"/>
                <w:color w:val="000000" w:themeColor="text1"/>
                <w:sz w:val="18"/>
                <w:szCs w:val="18"/>
              </w:rPr>
              <w:t>参照 GB/T 36743</w:t>
            </w:r>
          </w:p>
        </w:tc>
      </w:tr>
      <w:tr w14:paraId="4CE199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19" w:type="pct"/>
            <w:tcBorders>
              <w:bottom w:val="single" w:color="auto" w:sz="4" w:space="0"/>
            </w:tcBorders>
            <w:vAlign w:val="center"/>
          </w:tcPr>
          <w:p w14:paraId="072B4CCE">
            <w:pPr>
              <w:adjustRightInd w:val="0"/>
              <w:snapToGrid w:val="0"/>
              <w:spacing w:line="276" w:lineRule="auto"/>
              <w:jc w:val="center"/>
              <w:rPr>
                <w:rFonts w:hint="eastAsia" w:ascii="宋体" w:hAnsi="宋体"/>
                <w:color w:val="000000" w:themeColor="text1"/>
                <w:sz w:val="18"/>
                <w:szCs w:val="18"/>
              </w:rPr>
            </w:pPr>
            <w:r>
              <w:rPr>
                <w:rFonts w:ascii="宋体" w:hAnsi="宋体"/>
                <w:color w:val="000000" w:themeColor="text1"/>
                <w:sz w:val="18"/>
                <w:szCs w:val="18"/>
              </w:rPr>
              <w:t>人员、资源和资产数据</w:t>
            </w:r>
          </w:p>
        </w:tc>
        <w:tc>
          <w:tcPr>
            <w:tcW w:w="1926" w:type="pct"/>
            <w:tcBorders>
              <w:bottom w:val="single" w:color="auto" w:sz="4" w:space="0"/>
            </w:tcBorders>
            <w:vAlign w:val="center"/>
          </w:tcPr>
          <w:p w14:paraId="232E1CDB">
            <w:pPr>
              <w:adjustRightInd w:val="0"/>
              <w:snapToGrid w:val="0"/>
              <w:spacing w:line="276" w:lineRule="auto"/>
              <w:rPr>
                <w:rFonts w:hint="eastAsia" w:ascii="宋体" w:hAnsi="宋体"/>
                <w:color w:val="000000" w:themeColor="text1"/>
                <w:sz w:val="18"/>
                <w:szCs w:val="18"/>
              </w:rPr>
            </w:pPr>
            <w:r>
              <w:rPr>
                <w:rFonts w:ascii="宋体" w:hAnsi="宋体"/>
                <w:color w:val="000000" w:themeColor="text1"/>
                <w:sz w:val="18"/>
                <w:szCs w:val="18"/>
              </w:rPr>
              <w:t>居民点、建筑物、道路、电力线路、通信设施、水源地、自然保护地、重要生态资源</w:t>
            </w:r>
          </w:p>
        </w:tc>
        <w:tc>
          <w:tcPr>
            <w:tcW w:w="2055" w:type="pct"/>
            <w:tcBorders>
              <w:bottom w:val="single" w:color="auto" w:sz="4" w:space="0"/>
            </w:tcBorders>
            <w:vAlign w:val="center"/>
          </w:tcPr>
          <w:p w14:paraId="3B15C2DE">
            <w:pPr>
              <w:adjustRightInd w:val="0"/>
              <w:snapToGrid w:val="0"/>
              <w:spacing w:line="276" w:lineRule="auto"/>
              <w:rPr>
                <w:rFonts w:hint="eastAsia" w:ascii="宋体" w:hAnsi="宋体"/>
                <w:color w:val="000000" w:themeColor="text1"/>
                <w:sz w:val="18"/>
                <w:szCs w:val="18"/>
              </w:rPr>
            </w:pPr>
            <w:r>
              <w:rPr>
                <w:rFonts w:ascii="宋体" w:hAnsi="宋体"/>
                <w:color w:val="000000" w:themeColor="text1"/>
                <w:sz w:val="18"/>
                <w:szCs w:val="18"/>
              </w:rPr>
              <w:t>应包含空间位置、类型、重要性或价值属性</w:t>
            </w:r>
          </w:p>
        </w:tc>
      </w:tr>
      <w:tr w14:paraId="3DF5A3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019" w:type="pct"/>
            <w:tcBorders>
              <w:top w:val="single" w:color="auto" w:sz="4" w:space="0"/>
              <w:bottom w:val="single" w:color="auto" w:sz="12" w:space="0"/>
            </w:tcBorders>
            <w:vAlign w:val="center"/>
          </w:tcPr>
          <w:p w14:paraId="3D6804AA">
            <w:pPr>
              <w:adjustRightInd w:val="0"/>
              <w:snapToGrid w:val="0"/>
              <w:spacing w:line="276" w:lineRule="auto"/>
              <w:jc w:val="center"/>
              <w:rPr>
                <w:color w:val="000000" w:themeColor="text1"/>
                <w:sz w:val="18"/>
                <w:szCs w:val="18"/>
              </w:rPr>
            </w:pPr>
            <w:r>
              <w:rPr>
                <w:rFonts w:ascii="宋体" w:hAnsi="宋体"/>
                <w:color w:val="000000" w:themeColor="text1"/>
                <w:sz w:val="18"/>
                <w:szCs w:val="18"/>
              </w:rPr>
              <w:t>管理措施数据</w:t>
            </w:r>
          </w:p>
        </w:tc>
        <w:tc>
          <w:tcPr>
            <w:tcW w:w="1926" w:type="pct"/>
            <w:tcBorders>
              <w:top w:val="single" w:color="auto" w:sz="4" w:space="0"/>
              <w:bottom w:val="single" w:color="auto" w:sz="12" w:space="0"/>
            </w:tcBorders>
            <w:vAlign w:val="center"/>
          </w:tcPr>
          <w:p w14:paraId="5A87CE44">
            <w:pPr>
              <w:adjustRightInd w:val="0"/>
              <w:snapToGrid w:val="0"/>
              <w:spacing w:line="276" w:lineRule="auto"/>
              <w:rPr>
                <w:color w:val="000000" w:themeColor="text1"/>
                <w:sz w:val="18"/>
                <w:szCs w:val="18"/>
              </w:rPr>
            </w:pPr>
            <w:r>
              <w:rPr>
                <w:rFonts w:ascii="宋体" w:hAnsi="宋体"/>
                <w:color w:val="000000" w:themeColor="text1"/>
                <w:sz w:val="18"/>
                <w:szCs w:val="18"/>
              </w:rPr>
              <w:t>防火隔离带、消防水源、瞭望塔、扑火道路、可燃物处理区</w:t>
            </w:r>
          </w:p>
        </w:tc>
        <w:tc>
          <w:tcPr>
            <w:tcW w:w="2055" w:type="pct"/>
            <w:tcBorders>
              <w:top w:val="single" w:color="auto" w:sz="4" w:space="0"/>
              <w:bottom w:val="single" w:color="auto" w:sz="12" w:space="0"/>
            </w:tcBorders>
            <w:vAlign w:val="center"/>
          </w:tcPr>
          <w:p w14:paraId="122F5C53">
            <w:pPr>
              <w:adjustRightInd w:val="0"/>
              <w:snapToGrid w:val="0"/>
              <w:spacing w:line="276" w:lineRule="auto"/>
              <w:rPr>
                <w:rFonts w:hint="eastAsia" w:ascii="宋体" w:hAnsi="宋体"/>
                <w:color w:val="000000" w:themeColor="text1"/>
                <w:sz w:val="18"/>
                <w:szCs w:val="18"/>
              </w:rPr>
            </w:pPr>
            <w:r>
              <w:rPr>
                <w:rFonts w:ascii="宋体" w:hAnsi="宋体"/>
                <w:color w:val="000000" w:themeColor="text1"/>
                <w:sz w:val="18"/>
                <w:szCs w:val="18"/>
              </w:rPr>
              <w:t>应记录措施类型、宽度、建设时间和状态</w:t>
            </w:r>
          </w:p>
        </w:tc>
      </w:tr>
    </w:tbl>
    <w:p w14:paraId="2DEF0A72">
      <w:pPr>
        <w:pStyle w:val="75"/>
        <w:spacing w:before="156" w:after="156"/>
        <w:ind w:left="0"/>
        <w:rPr>
          <w:rFonts w:ascii="Times New Roman" w:hAnsi="Times New Roman"/>
          <w:color w:val="000000" w:themeColor="text1"/>
        </w:rPr>
      </w:pPr>
      <w:bookmarkStart w:id="140" w:name="_Toc236687289"/>
      <w:r>
        <w:rPr>
          <w:rFonts w:ascii="Times New Roman" w:hAnsi="Times New Roman"/>
          <w:color w:val="000000" w:themeColor="text1"/>
        </w:rPr>
        <w:t>数据来源与获取方法</w:t>
      </w:r>
      <w:bookmarkEnd w:id="140"/>
    </w:p>
    <w:p w14:paraId="467071A2">
      <w:pPr>
        <w:pStyle w:val="42"/>
        <w:tabs>
          <w:tab w:val="center" w:pos="709"/>
        </w:tabs>
        <w:rPr>
          <w:rFonts w:hint="eastAsia" w:hAnsi="宋体"/>
          <w:color w:val="000000" w:themeColor="text1"/>
        </w:rPr>
      </w:pPr>
      <w:r>
        <w:rPr>
          <w:rFonts w:hAnsi="宋体"/>
          <w:color w:val="000000" w:themeColor="text1"/>
        </w:rPr>
        <w:t>历史火灾数据宜来源于森林草原防火主管部门或应急管理部门的火灾档案；可燃物和植被数据宜来源于森林资源调查、可燃物专项调查或遥感解译</w:t>
      </w:r>
      <w:r>
        <w:rPr>
          <w:rFonts w:hint="eastAsia" w:hAnsi="宋体"/>
          <w:color w:val="000000" w:themeColor="text1"/>
        </w:rPr>
        <w:t>结果</w:t>
      </w:r>
      <w:r>
        <w:rPr>
          <w:rFonts w:hAnsi="宋体"/>
          <w:color w:val="000000" w:themeColor="text1"/>
        </w:rPr>
        <w:t>；地形数据宜采用国家基础地理信息数据或公开数字高程模型；气象和火险天气数据宜来源于国家或地方气象部门、自动气象站或经质量控制的再分析数据；居民点、建筑物、道路、水源地等人员、资源和资产数据宜来源于自然资源、住房城乡建设、交通运输等主管部门。相关数据无法直接获取或不能满足评估要求时，可采用遥感解译、无人机调查、现场调查、样地调查或邻近区域同类数据进行补充，并应在评估报告中说明数据来源、时间范围、空间分辨率、处理方法和适用限制。</w:t>
      </w:r>
    </w:p>
    <w:p w14:paraId="62C432DC">
      <w:pPr>
        <w:pStyle w:val="73"/>
        <w:numPr>
          <w:ilvl w:val="1"/>
          <w:numId w:val="1"/>
        </w:numPr>
        <w:spacing w:before="312" w:after="312"/>
        <w:ind w:left="0"/>
        <w:rPr>
          <w:rFonts w:ascii="Times New Roman" w:hAnsi="Times New Roman"/>
          <w:color w:val="000000" w:themeColor="text1"/>
        </w:rPr>
      </w:pPr>
      <w:bookmarkStart w:id="141" w:name="_Toc236687290"/>
      <w:r>
        <w:rPr>
          <w:rFonts w:ascii="Times New Roman" w:hAnsi="Times New Roman"/>
          <w:color w:val="000000" w:themeColor="text1"/>
        </w:rPr>
        <w:t>森林火灾风险评估方法</w:t>
      </w:r>
      <w:bookmarkEnd w:id="141"/>
    </w:p>
    <w:p w14:paraId="1BE0080D">
      <w:pPr>
        <w:pStyle w:val="75"/>
        <w:spacing w:before="156" w:after="156"/>
        <w:ind w:left="0"/>
        <w:rPr>
          <w:rFonts w:ascii="Times New Roman" w:hAnsi="Times New Roman"/>
          <w:color w:val="000000" w:themeColor="text1"/>
        </w:rPr>
      </w:pPr>
      <w:bookmarkStart w:id="142" w:name="_Toc236687291"/>
      <w:r>
        <w:rPr>
          <w:rFonts w:ascii="Times New Roman" w:hAnsi="Times New Roman"/>
          <w:color w:val="000000" w:themeColor="text1"/>
        </w:rPr>
        <w:t>指标体系</w:t>
      </w:r>
      <w:bookmarkEnd w:id="142"/>
    </w:p>
    <w:p w14:paraId="6029060C">
      <w:pPr>
        <w:pStyle w:val="42"/>
        <w:tabs>
          <w:tab w:val="center" w:pos="709"/>
        </w:tabs>
        <w:rPr>
          <w:rFonts w:hint="eastAsia" w:hAnsi="宋体"/>
          <w:color w:val="000000" w:themeColor="text1"/>
        </w:rPr>
      </w:pPr>
      <w:r>
        <w:rPr>
          <w:rFonts w:hAnsi="宋体"/>
          <w:color w:val="000000" w:themeColor="text1"/>
        </w:rPr>
        <w:t>综合风险评估应包括危险性特征和火影响两个方面。危险性特征宜包括可能性；</w:t>
      </w:r>
      <w:r>
        <w:rPr>
          <w:rFonts w:hint="eastAsia" w:hAnsi="宋体"/>
          <w:color w:val="000000" w:themeColor="text1"/>
        </w:rPr>
        <w:t>火</w:t>
      </w:r>
      <w:r>
        <w:rPr>
          <w:rFonts w:hAnsi="宋体"/>
          <w:color w:val="000000" w:themeColor="text1"/>
        </w:rPr>
        <w:t>影响包括暴露性和脆弱性。实际计算中，可采用三个一级指标：可能性（P）、暴露性（E）和</w:t>
      </w:r>
      <w:r>
        <w:rPr>
          <w:rFonts w:hint="eastAsia" w:hAnsi="宋体"/>
          <w:color w:val="000000" w:themeColor="text1"/>
        </w:rPr>
        <w:t>脆弱性</w:t>
      </w:r>
      <w:r>
        <w:rPr>
          <w:rFonts w:hAnsi="宋体"/>
          <w:color w:val="000000" w:themeColor="text1"/>
        </w:rPr>
        <w:t>（I）。一级指标与二级指标宜按表</w:t>
      </w:r>
      <w:r>
        <w:rPr>
          <w:rFonts w:hint="eastAsia" w:hAnsi="宋体"/>
          <w:color w:val="000000" w:themeColor="text1"/>
        </w:rPr>
        <w:t>2</w:t>
      </w:r>
      <w:r>
        <w:rPr>
          <w:rFonts w:hAnsi="宋体"/>
          <w:color w:val="000000" w:themeColor="text1"/>
        </w:rPr>
        <w:t>确定。</w:t>
      </w:r>
    </w:p>
    <w:p w14:paraId="20D9DFBD">
      <w:pPr>
        <w:pStyle w:val="7"/>
        <w:spacing w:before="156" w:beforeLines="50" w:after="156" w:afterLines="50"/>
        <w:jc w:val="center"/>
        <w:rPr>
          <w:rFonts w:hint="eastAsia" w:ascii="黑体" w:hAnsi="黑体"/>
          <w:color w:val="000000"/>
          <w:sz w:val="21"/>
          <w:szCs w:val="21"/>
        </w:rPr>
      </w:pPr>
      <w:r>
        <w:rPr>
          <w:rFonts w:ascii="黑体" w:hAnsi="黑体"/>
          <w:color w:val="000000"/>
          <w:sz w:val="21"/>
          <w:szCs w:val="21"/>
        </w:rPr>
        <w:t>表</w:t>
      </w:r>
      <w:r>
        <w:rPr>
          <w:rFonts w:hint="eastAsia" w:ascii="黑体" w:hAnsi="黑体"/>
          <w:color w:val="000000"/>
          <w:sz w:val="21"/>
          <w:szCs w:val="21"/>
        </w:rPr>
        <w:t xml:space="preserve">2  </w:t>
      </w:r>
      <w:r>
        <w:rPr>
          <w:rFonts w:ascii="黑体" w:hAnsi="黑体"/>
          <w:color w:val="000000"/>
          <w:sz w:val="21"/>
          <w:szCs w:val="21"/>
        </w:rPr>
        <w:t>森林火灾风险评估指标体系及推荐权重</w:t>
      </w:r>
    </w:p>
    <w:tbl>
      <w:tblPr>
        <w:tblStyle w:val="23"/>
        <w:tblW w:w="4723"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1558"/>
        <w:gridCol w:w="1839"/>
        <w:gridCol w:w="2414"/>
        <w:gridCol w:w="1841"/>
      </w:tblGrid>
      <w:tr w14:paraId="2B5BC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768" w:type="pct"/>
            <w:tcBorders>
              <w:top w:val="single" w:color="auto" w:sz="12" w:space="0"/>
              <w:bottom w:val="single" w:color="auto" w:sz="12" w:space="0"/>
            </w:tcBorders>
            <w:vAlign w:val="center"/>
          </w:tcPr>
          <w:p w14:paraId="307CB7F8">
            <w:pPr>
              <w:adjustRightInd w:val="0"/>
              <w:snapToGrid w:val="0"/>
              <w:jc w:val="center"/>
              <w:rPr>
                <w:rFonts w:eastAsia="微软雅黑"/>
                <w:color w:val="000000" w:themeColor="text1"/>
                <w:sz w:val="18"/>
                <w:szCs w:val="18"/>
              </w:rPr>
            </w:pPr>
            <w:r>
              <w:rPr>
                <w:rFonts w:eastAsia="微软雅黑"/>
                <w:color w:val="000000" w:themeColor="text1"/>
                <w:sz w:val="18"/>
                <w:szCs w:val="18"/>
              </w:rPr>
              <w:t>一级指标</w:t>
            </w:r>
          </w:p>
        </w:tc>
        <w:tc>
          <w:tcPr>
            <w:tcW w:w="862" w:type="pct"/>
            <w:tcBorders>
              <w:top w:val="single" w:color="auto" w:sz="12" w:space="0"/>
              <w:bottom w:val="single" w:color="auto" w:sz="12" w:space="0"/>
            </w:tcBorders>
            <w:vAlign w:val="center"/>
          </w:tcPr>
          <w:p w14:paraId="69A0F7B2">
            <w:pPr>
              <w:adjustRightInd w:val="0"/>
              <w:snapToGrid w:val="0"/>
              <w:jc w:val="center"/>
              <w:rPr>
                <w:rFonts w:eastAsia="微软雅黑"/>
                <w:color w:val="000000" w:themeColor="text1"/>
                <w:sz w:val="18"/>
                <w:szCs w:val="18"/>
              </w:rPr>
            </w:pPr>
            <w:r>
              <w:rPr>
                <w:rFonts w:eastAsia="微软雅黑"/>
                <w:color w:val="000000" w:themeColor="text1"/>
                <w:sz w:val="18"/>
                <w:szCs w:val="18"/>
              </w:rPr>
              <w:t>推荐权重</w:t>
            </w:r>
          </w:p>
        </w:tc>
        <w:tc>
          <w:tcPr>
            <w:tcW w:w="1017" w:type="pct"/>
            <w:tcBorders>
              <w:top w:val="single" w:color="auto" w:sz="12" w:space="0"/>
              <w:bottom w:val="single" w:color="auto" w:sz="12" w:space="0"/>
            </w:tcBorders>
            <w:vAlign w:val="center"/>
          </w:tcPr>
          <w:p w14:paraId="5F4B64A5">
            <w:pPr>
              <w:adjustRightInd w:val="0"/>
              <w:snapToGrid w:val="0"/>
              <w:jc w:val="center"/>
              <w:rPr>
                <w:rFonts w:eastAsia="微软雅黑"/>
                <w:color w:val="000000" w:themeColor="text1"/>
                <w:sz w:val="18"/>
                <w:szCs w:val="18"/>
              </w:rPr>
            </w:pPr>
            <w:r>
              <w:rPr>
                <w:rFonts w:eastAsia="微软雅黑"/>
                <w:color w:val="000000" w:themeColor="text1"/>
                <w:sz w:val="18"/>
                <w:szCs w:val="18"/>
              </w:rPr>
              <w:t>二级指标</w:t>
            </w:r>
          </w:p>
        </w:tc>
        <w:tc>
          <w:tcPr>
            <w:tcW w:w="1335" w:type="pct"/>
            <w:tcBorders>
              <w:top w:val="single" w:color="auto" w:sz="12" w:space="0"/>
              <w:bottom w:val="single" w:color="auto" w:sz="12" w:space="0"/>
            </w:tcBorders>
            <w:vAlign w:val="center"/>
          </w:tcPr>
          <w:p w14:paraId="3BAA6768">
            <w:pPr>
              <w:adjustRightInd w:val="0"/>
              <w:snapToGrid w:val="0"/>
              <w:jc w:val="center"/>
              <w:rPr>
                <w:rFonts w:eastAsia="微软雅黑"/>
                <w:color w:val="000000" w:themeColor="text1"/>
                <w:sz w:val="18"/>
                <w:szCs w:val="18"/>
              </w:rPr>
            </w:pPr>
            <w:r>
              <w:rPr>
                <w:rFonts w:eastAsia="微软雅黑"/>
                <w:color w:val="000000" w:themeColor="text1"/>
                <w:sz w:val="18"/>
                <w:szCs w:val="18"/>
              </w:rPr>
              <w:t>二级指标相对一级指标权重</w:t>
            </w:r>
          </w:p>
        </w:tc>
        <w:tc>
          <w:tcPr>
            <w:tcW w:w="1018" w:type="pct"/>
            <w:tcBorders>
              <w:top w:val="single" w:color="auto" w:sz="12" w:space="0"/>
              <w:bottom w:val="single" w:color="auto" w:sz="12" w:space="0"/>
            </w:tcBorders>
            <w:vAlign w:val="center"/>
          </w:tcPr>
          <w:p w14:paraId="134DD11C">
            <w:pPr>
              <w:adjustRightInd w:val="0"/>
              <w:snapToGrid w:val="0"/>
              <w:jc w:val="center"/>
              <w:rPr>
                <w:rFonts w:eastAsia="微软雅黑"/>
                <w:color w:val="000000" w:themeColor="text1"/>
                <w:sz w:val="18"/>
                <w:szCs w:val="18"/>
              </w:rPr>
            </w:pPr>
            <w:r>
              <w:rPr>
                <w:rFonts w:eastAsia="微软雅黑"/>
                <w:color w:val="000000" w:themeColor="text1"/>
                <w:sz w:val="18"/>
                <w:szCs w:val="18"/>
              </w:rPr>
              <w:t>相对目标层权重</w:t>
            </w:r>
          </w:p>
        </w:tc>
      </w:tr>
      <w:tr w14:paraId="04AA9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68" w:type="pct"/>
            <w:vMerge w:val="restart"/>
            <w:vAlign w:val="center"/>
          </w:tcPr>
          <w:p w14:paraId="77A4A80B">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可能性 P</w:t>
            </w:r>
          </w:p>
        </w:tc>
        <w:tc>
          <w:tcPr>
            <w:tcW w:w="862" w:type="pct"/>
            <w:vMerge w:val="restart"/>
            <w:vAlign w:val="center"/>
          </w:tcPr>
          <w:p w14:paraId="4428E88D">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0.64</w:t>
            </w:r>
          </w:p>
        </w:tc>
        <w:tc>
          <w:tcPr>
            <w:tcW w:w="1017" w:type="pct"/>
            <w:tcBorders>
              <w:bottom w:val="single" w:color="auto" w:sz="4" w:space="0"/>
            </w:tcBorders>
            <w:vAlign w:val="center"/>
          </w:tcPr>
          <w:p w14:paraId="706E4648">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燃烧概率 BP</w:t>
            </w:r>
          </w:p>
        </w:tc>
        <w:tc>
          <w:tcPr>
            <w:tcW w:w="1335" w:type="pct"/>
            <w:tcBorders>
              <w:bottom w:val="single" w:color="auto" w:sz="4" w:space="0"/>
            </w:tcBorders>
            <w:vAlign w:val="center"/>
          </w:tcPr>
          <w:p w14:paraId="02CFB47F">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0.60</w:t>
            </w:r>
          </w:p>
        </w:tc>
        <w:tc>
          <w:tcPr>
            <w:tcW w:w="1018" w:type="pct"/>
            <w:tcBorders>
              <w:bottom w:val="single" w:color="auto" w:sz="4" w:space="0"/>
            </w:tcBorders>
            <w:vAlign w:val="center"/>
          </w:tcPr>
          <w:p w14:paraId="754C2168">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0.384</w:t>
            </w:r>
          </w:p>
        </w:tc>
      </w:tr>
      <w:tr w14:paraId="100A02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68" w:type="pct"/>
            <w:vMerge w:val="continue"/>
            <w:tcBorders>
              <w:bottom w:val="single" w:color="auto" w:sz="4" w:space="0"/>
            </w:tcBorders>
            <w:vAlign w:val="center"/>
          </w:tcPr>
          <w:p w14:paraId="35D6DD73">
            <w:pPr>
              <w:adjustRightInd w:val="0"/>
              <w:snapToGrid w:val="0"/>
              <w:spacing w:line="276" w:lineRule="auto"/>
              <w:jc w:val="center"/>
              <w:rPr>
                <w:rFonts w:hint="eastAsia" w:ascii="宋体" w:hAnsi="宋体"/>
                <w:color w:val="000000" w:themeColor="text1"/>
                <w:sz w:val="18"/>
                <w:szCs w:val="18"/>
              </w:rPr>
            </w:pPr>
          </w:p>
        </w:tc>
        <w:tc>
          <w:tcPr>
            <w:tcW w:w="862" w:type="pct"/>
            <w:vMerge w:val="continue"/>
            <w:tcBorders>
              <w:bottom w:val="single" w:color="auto" w:sz="4" w:space="0"/>
            </w:tcBorders>
            <w:vAlign w:val="center"/>
          </w:tcPr>
          <w:p w14:paraId="0EFA478B">
            <w:pPr>
              <w:adjustRightInd w:val="0"/>
              <w:snapToGrid w:val="0"/>
              <w:spacing w:line="276" w:lineRule="auto"/>
              <w:jc w:val="center"/>
              <w:rPr>
                <w:rFonts w:hint="eastAsia" w:ascii="宋体" w:hAnsi="宋体"/>
                <w:color w:val="000000" w:themeColor="text1"/>
                <w:sz w:val="18"/>
                <w:szCs w:val="18"/>
              </w:rPr>
            </w:pPr>
          </w:p>
        </w:tc>
        <w:tc>
          <w:tcPr>
            <w:tcW w:w="1017" w:type="pct"/>
            <w:tcBorders>
              <w:bottom w:val="single" w:color="auto" w:sz="4" w:space="0"/>
            </w:tcBorders>
            <w:vAlign w:val="center"/>
          </w:tcPr>
          <w:p w14:paraId="32974CE7">
            <w:pPr>
              <w:adjustRightInd w:val="0"/>
              <w:snapToGrid w:val="0"/>
              <w:spacing w:line="276" w:lineRule="auto"/>
              <w:jc w:val="center"/>
              <w:rPr>
                <w:color w:val="000000" w:themeColor="text1"/>
                <w:sz w:val="18"/>
                <w:szCs w:val="18"/>
              </w:rPr>
            </w:pPr>
            <w:r>
              <w:rPr>
                <w:color w:val="000000" w:themeColor="text1"/>
                <w:sz w:val="18"/>
                <w:szCs w:val="18"/>
              </w:rPr>
              <w:t>蔓延速度 ROS</w:t>
            </w:r>
          </w:p>
        </w:tc>
        <w:tc>
          <w:tcPr>
            <w:tcW w:w="1335" w:type="pct"/>
            <w:tcBorders>
              <w:bottom w:val="single" w:color="auto" w:sz="4" w:space="0"/>
            </w:tcBorders>
            <w:vAlign w:val="center"/>
          </w:tcPr>
          <w:p w14:paraId="716E169A">
            <w:pPr>
              <w:adjustRightInd w:val="0"/>
              <w:snapToGrid w:val="0"/>
              <w:spacing w:line="276" w:lineRule="auto"/>
              <w:jc w:val="center"/>
              <w:rPr>
                <w:color w:val="000000" w:themeColor="text1"/>
                <w:sz w:val="18"/>
                <w:szCs w:val="18"/>
              </w:rPr>
            </w:pPr>
            <w:r>
              <w:rPr>
                <w:color w:val="000000" w:themeColor="text1"/>
                <w:sz w:val="18"/>
                <w:szCs w:val="18"/>
              </w:rPr>
              <w:t>0.40</w:t>
            </w:r>
          </w:p>
        </w:tc>
        <w:tc>
          <w:tcPr>
            <w:tcW w:w="1018" w:type="pct"/>
            <w:tcBorders>
              <w:bottom w:val="single" w:color="auto" w:sz="4" w:space="0"/>
            </w:tcBorders>
            <w:vAlign w:val="center"/>
          </w:tcPr>
          <w:p w14:paraId="2766063C">
            <w:pPr>
              <w:adjustRightInd w:val="0"/>
              <w:snapToGrid w:val="0"/>
              <w:spacing w:line="276" w:lineRule="auto"/>
              <w:jc w:val="center"/>
              <w:rPr>
                <w:color w:val="000000" w:themeColor="text1"/>
                <w:sz w:val="18"/>
                <w:szCs w:val="18"/>
              </w:rPr>
            </w:pPr>
            <w:r>
              <w:rPr>
                <w:color w:val="000000" w:themeColor="text1"/>
                <w:sz w:val="18"/>
                <w:szCs w:val="18"/>
              </w:rPr>
              <w:t>0.256</w:t>
            </w:r>
          </w:p>
        </w:tc>
      </w:tr>
      <w:tr w14:paraId="77294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68" w:type="pct"/>
            <w:vMerge w:val="restart"/>
            <w:vAlign w:val="center"/>
          </w:tcPr>
          <w:p w14:paraId="1FAD4C99">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暴露性 E</w:t>
            </w:r>
          </w:p>
        </w:tc>
        <w:tc>
          <w:tcPr>
            <w:tcW w:w="862" w:type="pct"/>
            <w:vMerge w:val="restart"/>
            <w:vAlign w:val="center"/>
          </w:tcPr>
          <w:p w14:paraId="62ADCDCF">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0.20</w:t>
            </w:r>
          </w:p>
        </w:tc>
        <w:tc>
          <w:tcPr>
            <w:tcW w:w="1017" w:type="pct"/>
            <w:tcBorders>
              <w:bottom w:val="single" w:color="auto" w:sz="4" w:space="0"/>
            </w:tcBorders>
            <w:vAlign w:val="center"/>
          </w:tcPr>
          <w:p w14:paraId="40BD6381">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火强度 FI</w:t>
            </w:r>
          </w:p>
        </w:tc>
        <w:tc>
          <w:tcPr>
            <w:tcW w:w="1335" w:type="pct"/>
            <w:tcBorders>
              <w:bottom w:val="single" w:color="auto" w:sz="4" w:space="0"/>
            </w:tcBorders>
            <w:vAlign w:val="center"/>
          </w:tcPr>
          <w:p w14:paraId="56605EB3">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0.50</w:t>
            </w:r>
          </w:p>
        </w:tc>
        <w:tc>
          <w:tcPr>
            <w:tcW w:w="1018" w:type="pct"/>
            <w:tcBorders>
              <w:bottom w:val="single" w:color="auto" w:sz="4" w:space="0"/>
            </w:tcBorders>
            <w:vAlign w:val="center"/>
          </w:tcPr>
          <w:p w14:paraId="4A1DE00E">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0.100</w:t>
            </w:r>
          </w:p>
        </w:tc>
      </w:tr>
      <w:tr w14:paraId="474B9D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768" w:type="pct"/>
            <w:vMerge w:val="continue"/>
            <w:tcBorders>
              <w:bottom w:val="single" w:color="auto" w:sz="4" w:space="0"/>
            </w:tcBorders>
            <w:vAlign w:val="center"/>
          </w:tcPr>
          <w:p w14:paraId="05F7CFF0">
            <w:pPr>
              <w:adjustRightInd w:val="0"/>
              <w:snapToGrid w:val="0"/>
              <w:spacing w:line="276" w:lineRule="auto"/>
              <w:jc w:val="center"/>
              <w:rPr>
                <w:rFonts w:hint="eastAsia" w:ascii="宋体" w:hAnsi="宋体"/>
                <w:color w:val="000000" w:themeColor="text1"/>
                <w:sz w:val="18"/>
                <w:szCs w:val="18"/>
              </w:rPr>
            </w:pPr>
          </w:p>
        </w:tc>
        <w:tc>
          <w:tcPr>
            <w:tcW w:w="862" w:type="pct"/>
            <w:vMerge w:val="continue"/>
            <w:tcBorders>
              <w:bottom w:val="single" w:color="auto" w:sz="4" w:space="0"/>
            </w:tcBorders>
            <w:vAlign w:val="center"/>
          </w:tcPr>
          <w:p w14:paraId="3E0957FF">
            <w:pPr>
              <w:adjustRightInd w:val="0"/>
              <w:snapToGrid w:val="0"/>
              <w:spacing w:line="276" w:lineRule="auto"/>
              <w:jc w:val="center"/>
              <w:rPr>
                <w:rFonts w:hint="eastAsia" w:ascii="宋体" w:hAnsi="宋体"/>
                <w:color w:val="000000" w:themeColor="text1"/>
                <w:sz w:val="18"/>
                <w:szCs w:val="18"/>
              </w:rPr>
            </w:pPr>
          </w:p>
        </w:tc>
        <w:tc>
          <w:tcPr>
            <w:tcW w:w="1017" w:type="pct"/>
            <w:tcBorders>
              <w:bottom w:val="single" w:color="auto" w:sz="4" w:space="0"/>
            </w:tcBorders>
            <w:vAlign w:val="center"/>
          </w:tcPr>
          <w:p w14:paraId="0781B2D3">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火焰长度 FL</w:t>
            </w:r>
          </w:p>
        </w:tc>
        <w:tc>
          <w:tcPr>
            <w:tcW w:w="1335" w:type="pct"/>
            <w:tcBorders>
              <w:bottom w:val="single" w:color="auto" w:sz="4" w:space="0"/>
            </w:tcBorders>
            <w:vAlign w:val="center"/>
          </w:tcPr>
          <w:p w14:paraId="0EF0EDB4">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0.50</w:t>
            </w:r>
          </w:p>
        </w:tc>
        <w:tc>
          <w:tcPr>
            <w:tcW w:w="1018" w:type="pct"/>
            <w:tcBorders>
              <w:bottom w:val="single" w:color="auto" w:sz="4" w:space="0"/>
            </w:tcBorders>
            <w:vAlign w:val="center"/>
          </w:tcPr>
          <w:p w14:paraId="4BDBB8C1">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0.100</w:t>
            </w:r>
          </w:p>
        </w:tc>
      </w:tr>
      <w:tr w14:paraId="5A1D6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768" w:type="pct"/>
            <w:vMerge w:val="restart"/>
            <w:vAlign w:val="center"/>
          </w:tcPr>
          <w:p w14:paraId="3AF76B50">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脆弱性 I</w:t>
            </w:r>
          </w:p>
        </w:tc>
        <w:tc>
          <w:tcPr>
            <w:tcW w:w="862" w:type="pct"/>
            <w:vMerge w:val="restart"/>
            <w:vAlign w:val="center"/>
          </w:tcPr>
          <w:p w14:paraId="7F37CAF2">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0.16</w:t>
            </w:r>
          </w:p>
        </w:tc>
        <w:tc>
          <w:tcPr>
            <w:tcW w:w="1017" w:type="pct"/>
            <w:tcBorders>
              <w:bottom w:val="single" w:color="auto" w:sz="4" w:space="0"/>
            </w:tcBorders>
            <w:vAlign w:val="center"/>
          </w:tcPr>
          <w:p w14:paraId="1A7198DB">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火对植被影响 VI</w:t>
            </w:r>
          </w:p>
        </w:tc>
        <w:tc>
          <w:tcPr>
            <w:tcW w:w="1335" w:type="pct"/>
            <w:tcBorders>
              <w:bottom w:val="single" w:color="auto" w:sz="4" w:space="0"/>
            </w:tcBorders>
            <w:vAlign w:val="center"/>
          </w:tcPr>
          <w:p w14:paraId="40DCB574">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0.25</w:t>
            </w:r>
          </w:p>
        </w:tc>
        <w:tc>
          <w:tcPr>
            <w:tcW w:w="1018" w:type="pct"/>
            <w:tcBorders>
              <w:bottom w:val="single" w:color="auto" w:sz="4" w:space="0"/>
            </w:tcBorders>
            <w:vAlign w:val="center"/>
          </w:tcPr>
          <w:p w14:paraId="6E29F15D">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0.040</w:t>
            </w:r>
          </w:p>
        </w:tc>
      </w:tr>
      <w:tr w14:paraId="0AFF4B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68" w:type="pct"/>
            <w:vMerge w:val="continue"/>
            <w:tcBorders>
              <w:bottom w:val="single" w:color="auto" w:sz="12" w:space="0"/>
            </w:tcBorders>
            <w:vAlign w:val="center"/>
          </w:tcPr>
          <w:p w14:paraId="36345FF9">
            <w:pPr>
              <w:adjustRightInd w:val="0"/>
              <w:snapToGrid w:val="0"/>
              <w:spacing w:line="276" w:lineRule="auto"/>
              <w:jc w:val="center"/>
              <w:rPr>
                <w:color w:val="000000" w:themeColor="text1"/>
                <w:sz w:val="18"/>
                <w:szCs w:val="18"/>
              </w:rPr>
            </w:pPr>
          </w:p>
        </w:tc>
        <w:tc>
          <w:tcPr>
            <w:tcW w:w="862" w:type="pct"/>
            <w:vMerge w:val="continue"/>
            <w:tcBorders>
              <w:bottom w:val="single" w:color="auto" w:sz="12" w:space="0"/>
            </w:tcBorders>
            <w:vAlign w:val="center"/>
          </w:tcPr>
          <w:p w14:paraId="486CA986">
            <w:pPr>
              <w:adjustRightInd w:val="0"/>
              <w:snapToGrid w:val="0"/>
              <w:spacing w:line="276" w:lineRule="auto"/>
              <w:jc w:val="center"/>
              <w:rPr>
                <w:rFonts w:hint="eastAsia" w:ascii="宋体" w:hAnsi="宋体"/>
                <w:color w:val="000000" w:themeColor="text1"/>
                <w:sz w:val="18"/>
                <w:szCs w:val="18"/>
              </w:rPr>
            </w:pPr>
          </w:p>
        </w:tc>
        <w:tc>
          <w:tcPr>
            <w:tcW w:w="1017" w:type="pct"/>
            <w:tcBorders>
              <w:top w:val="single" w:color="auto" w:sz="4" w:space="0"/>
              <w:bottom w:val="single" w:color="auto" w:sz="12" w:space="0"/>
            </w:tcBorders>
            <w:vAlign w:val="center"/>
          </w:tcPr>
          <w:p w14:paraId="0BB04A15">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居民区距离分布 DI</w:t>
            </w:r>
          </w:p>
        </w:tc>
        <w:tc>
          <w:tcPr>
            <w:tcW w:w="1335" w:type="pct"/>
            <w:tcBorders>
              <w:top w:val="single" w:color="auto" w:sz="4" w:space="0"/>
              <w:bottom w:val="single" w:color="auto" w:sz="12" w:space="0"/>
            </w:tcBorders>
            <w:vAlign w:val="center"/>
          </w:tcPr>
          <w:p w14:paraId="125294F3">
            <w:pPr>
              <w:adjustRightInd w:val="0"/>
              <w:snapToGrid w:val="0"/>
              <w:spacing w:line="276" w:lineRule="auto"/>
              <w:jc w:val="center"/>
              <w:rPr>
                <w:color w:val="000000" w:themeColor="text1"/>
                <w:sz w:val="18"/>
                <w:szCs w:val="18"/>
              </w:rPr>
            </w:pPr>
            <w:r>
              <w:rPr>
                <w:color w:val="000000" w:themeColor="text1"/>
                <w:sz w:val="18"/>
                <w:szCs w:val="18"/>
              </w:rPr>
              <w:t>0.75</w:t>
            </w:r>
          </w:p>
        </w:tc>
        <w:tc>
          <w:tcPr>
            <w:tcW w:w="1018" w:type="pct"/>
            <w:tcBorders>
              <w:top w:val="single" w:color="auto" w:sz="4" w:space="0"/>
              <w:bottom w:val="single" w:color="auto" w:sz="12" w:space="0"/>
            </w:tcBorders>
            <w:vAlign w:val="center"/>
          </w:tcPr>
          <w:p w14:paraId="0528D851">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0.120</w:t>
            </w:r>
          </w:p>
        </w:tc>
      </w:tr>
      <w:tr w14:paraId="546AA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000" w:type="pct"/>
            <w:gridSpan w:val="5"/>
            <w:tcBorders>
              <w:top w:val="single" w:color="auto" w:sz="12" w:space="0"/>
            </w:tcBorders>
            <w:vAlign w:val="center"/>
          </w:tcPr>
          <w:p w14:paraId="05D195C0">
            <w:pPr>
              <w:widowControl/>
              <w:ind w:left="360" w:hanging="360" w:hangingChars="200"/>
              <w:jc w:val="left"/>
              <w:rPr>
                <w:rFonts w:hint="eastAsia" w:ascii="宋体" w:hAnsi="宋体"/>
                <w:color w:val="000000" w:themeColor="text1"/>
                <w:sz w:val="18"/>
                <w:szCs w:val="18"/>
              </w:rPr>
            </w:pPr>
            <w:r>
              <w:rPr>
                <w:rFonts w:hint="eastAsia" w:ascii="黑体" w:hAnsi="黑体" w:eastAsia="黑体"/>
                <w:sz w:val="18"/>
                <w:szCs w:val="18"/>
              </w:rPr>
              <w:t>注1</w:t>
            </w:r>
            <w:r>
              <w:rPr>
                <w:rFonts w:hint="eastAsia"/>
                <w:sz w:val="18"/>
                <w:szCs w:val="18"/>
              </w:rPr>
              <w:t>：</w:t>
            </w:r>
            <w:r>
              <w:rPr>
                <w:sz w:val="18"/>
                <w:szCs w:val="18"/>
              </w:rPr>
              <w:t>权重为推荐值，来源于典型火灾风险评估案例。应用于其他地区时，应通过专家咨询、层次分析法或历史火灾验证进行校准。</w:t>
            </w:r>
          </w:p>
        </w:tc>
      </w:tr>
    </w:tbl>
    <w:p w14:paraId="08545D9B">
      <w:pPr>
        <w:pStyle w:val="75"/>
        <w:spacing w:before="156" w:after="156"/>
        <w:ind w:left="0"/>
        <w:rPr>
          <w:rFonts w:ascii="Times New Roman" w:hAnsi="Times New Roman"/>
          <w:color w:val="000000" w:themeColor="text1"/>
        </w:rPr>
      </w:pPr>
      <w:bookmarkStart w:id="143" w:name="_Toc236687292"/>
      <w:r>
        <w:rPr>
          <w:rFonts w:ascii="Times New Roman" w:hAnsi="Times New Roman"/>
          <w:color w:val="000000" w:themeColor="text1"/>
        </w:rPr>
        <w:t>综合风险指数</w:t>
      </w:r>
      <w:bookmarkEnd w:id="143"/>
    </w:p>
    <w:p w14:paraId="2797C2ED">
      <w:pPr>
        <w:pStyle w:val="42"/>
        <w:tabs>
          <w:tab w:val="center" w:pos="709"/>
        </w:tabs>
        <w:rPr>
          <w:rFonts w:hint="eastAsia" w:hAnsi="宋体"/>
          <w:color w:val="000000" w:themeColor="text1"/>
        </w:rPr>
      </w:pPr>
      <w:r>
        <w:rPr>
          <w:rFonts w:hAnsi="宋体"/>
          <w:color w:val="000000" w:themeColor="text1"/>
        </w:rPr>
        <w:t>森林火灾综合风险指数按公式（1）计算：</w:t>
      </w:r>
    </w:p>
    <w:p w14:paraId="2F472A09">
      <w:pPr>
        <w:spacing w:line="378" w:lineRule="exact"/>
        <w:jc w:val="center"/>
      </w:pPr>
      <w:r>
        <w:rPr>
          <w:rFonts w:hint="eastAsia" w:eastAsia="黑体"/>
          <w:color w:val="000000" w:themeColor="text1"/>
          <w:sz w:val="18"/>
          <w:szCs w:val="18"/>
        </w:rPr>
        <w:t xml:space="preserve">                          </w:t>
      </w:r>
      <m:oMath>
        <m:r>
          <m:rPr/>
          <w:rPr>
            <w:rFonts w:ascii="Cambria Math" w:hAnsi="Cambria Math"/>
            <w:color w:val="000000" w:themeColor="text1"/>
            <w:szCs w:val="21"/>
          </w:rPr>
          <m:t>R</m:t>
        </m:r>
        <m:r>
          <m:rPr>
            <m:sty m:val="p"/>
          </m:rPr>
          <w:rPr>
            <w:rFonts w:ascii="Cambria Math" w:hAnsi="Cambria Math"/>
            <w:color w:val="000000" w:themeColor="text1"/>
            <w:szCs w:val="21"/>
          </w:rPr>
          <m:t>=0.64</m:t>
        </m:r>
        <m:r>
          <m:rPr/>
          <w:rPr>
            <w:rFonts w:ascii="Cambria Math" w:hAnsi="Cambria Math"/>
            <w:color w:val="000000" w:themeColor="text1"/>
            <w:szCs w:val="21"/>
          </w:rPr>
          <m:t>P</m:t>
        </m:r>
        <m:r>
          <m:rPr>
            <m:sty m:val="p"/>
          </m:rPr>
          <w:rPr>
            <w:rFonts w:ascii="Cambria Math" w:hAnsi="Cambria Math"/>
            <w:color w:val="000000" w:themeColor="text1"/>
            <w:szCs w:val="21"/>
          </w:rPr>
          <m:t>+0.20</m:t>
        </m:r>
        <m:r>
          <m:rPr/>
          <w:rPr>
            <w:rFonts w:ascii="Cambria Math" w:hAnsi="Cambria Math"/>
            <w:color w:val="000000" w:themeColor="text1"/>
            <w:szCs w:val="21"/>
          </w:rPr>
          <m:t>E</m:t>
        </m:r>
        <m:r>
          <m:rPr>
            <m:sty m:val="p"/>
          </m:rPr>
          <w:rPr>
            <w:rFonts w:ascii="Cambria Math" w:hAnsi="Cambria Math"/>
            <w:color w:val="000000" w:themeColor="text1"/>
            <w:szCs w:val="21"/>
          </w:rPr>
          <m:t>−0.16</m:t>
        </m:r>
        <m:r>
          <m:rPr/>
          <w:rPr>
            <w:rFonts w:ascii="Cambria Math" w:hAnsi="Cambria Math"/>
            <w:color w:val="000000" w:themeColor="text1"/>
            <w:szCs w:val="21"/>
          </w:rPr>
          <m:t>V</m:t>
        </m:r>
      </m:oMath>
      <w:r>
        <w:rPr>
          <w:rFonts w:hint="eastAsia" w:hAnsi="宋体"/>
          <w:szCs w:val="21"/>
        </w:rPr>
        <w:t>…………………………………………………</w:t>
      </w:r>
      <w:r>
        <w:rPr>
          <w:rFonts w:hint="eastAsia"/>
        </w:rPr>
        <w:t>（</w:t>
      </w:r>
      <w:r>
        <w:t>1</w:t>
      </w:r>
      <w:r>
        <w:rPr>
          <w:rFonts w:hint="eastAsia"/>
        </w:rPr>
        <w:t>）</w:t>
      </w:r>
    </w:p>
    <w:p w14:paraId="25B5F775">
      <w:pPr>
        <w:pStyle w:val="65"/>
        <w:ind w:firstLine="420"/>
      </w:pPr>
      <w:r>
        <w:rPr>
          <w:rFonts w:hint="eastAsia"/>
        </w:rPr>
        <w:t>式中：</w:t>
      </w:r>
    </w:p>
    <w:p w14:paraId="6F1FF5A5">
      <w:pPr>
        <w:pStyle w:val="42"/>
        <w:tabs>
          <w:tab w:val="center" w:pos="709"/>
        </w:tabs>
        <w:ind w:left="420" w:leftChars="200" w:firstLine="0" w:firstLineChars="0"/>
        <w:rPr>
          <w:rFonts w:hint="eastAsia" w:hAnsi="宋体"/>
          <w:color w:val="000000" w:themeColor="text1"/>
        </w:rPr>
      </w:pPr>
      <w:r>
        <w:rPr>
          <w:rFonts w:hAnsi="宋体"/>
          <w:i/>
          <w:iCs/>
          <w:color w:val="000000" w:themeColor="text1"/>
        </w:rPr>
        <w:t>R</w:t>
      </w:r>
      <w:r>
        <w:rPr>
          <w:rFonts w:hint="eastAsia"/>
        </w:rPr>
        <w:t xml:space="preserve"> </w:t>
      </w:r>
      <w:r>
        <w:rPr>
          <w:rFonts w:ascii="Times New Roman"/>
          <w:kern w:val="2"/>
          <w:szCs w:val="20"/>
        </w:rPr>
        <w:t>——</w:t>
      </w:r>
      <w:r>
        <w:rPr>
          <w:rFonts w:hAnsi="宋体"/>
          <w:color w:val="000000" w:themeColor="text1"/>
        </w:rPr>
        <w:t>综合风险指数；</w:t>
      </w:r>
    </w:p>
    <w:p w14:paraId="3463EBE0">
      <w:pPr>
        <w:pStyle w:val="42"/>
        <w:tabs>
          <w:tab w:val="center" w:pos="709"/>
        </w:tabs>
        <w:ind w:left="420" w:leftChars="200" w:firstLine="0" w:firstLineChars="0"/>
        <w:rPr>
          <w:rFonts w:hint="eastAsia" w:hAnsi="宋体"/>
          <w:color w:val="000000" w:themeColor="text1"/>
        </w:rPr>
      </w:pPr>
      <w:r>
        <w:rPr>
          <w:rFonts w:hAnsi="宋体"/>
          <w:i/>
          <w:iCs/>
          <w:color w:val="000000" w:themeColor="text1"/>
        </w:rPr>
        <w:t>P</w:t>
      </w:r>
      <w:r>
        <w:rPr>
          <w:rFonts w:hint="eastAsia"/>
        </w:rPr>
        <w:t xml:space="preserve"> </w:t>
      </w:r>
      <w:r>
        <w:rPr>
          <w:rFonts w:ascii="Times New Roman"/>
          <w:kern w:val="2"/>
          <w:szCs w:val="20"/>
        </w:rPr>
        <w:t>——</w:t>
      </w:r>
      <w:r>
        <w:rPr>
          <w:rFonts w:hAnsi="宋体"/>
          <w:color w:val="000000" w:themeColor="text1"/>
        </w:rPr>
        <w:t>可能性指数；</w:t>
      </w:r>
    </w:p>
    <w:p w14:paraId="5076FE60">
      <w:pPr>
        <w:pStyle w:val="42"/>
        <w:tabs>
          <w:tab w:val="center" w:pos="709"/>
        </w:tabs>
        <w:ind w:left="420" w:leftChars="200" w:firstLine="0" w:firstLineChars="0"/>
        <w:rPr>
          <w:rFonts w:hint="eastAsia" w:hAnsi="宋体"/>
          <w:color w:val="000000" w:themeColor="text1"/>
        </w:rPr>
      </w:pPr>
      <w:r>
        <w:rPr>
          <w:rFonts w:hAnsi="宋体"/>
          <w:i/>
          <w:iCs/>
          <w:color w:val="000000" w:themeColor="text1"/>
        </w:rPr>
        <w:t>E</w:t>
      </w:r>
      <w:r>
        <w:rPr>
          <w:rFonts w:hint="eastAsia"/>
        </w:rPr>
        <w:t xml:space="preserve"> </w:t>
      </w:r>
      <w:r>
        <w:rPr>
          <w:rFonts w:ascii="Times New Roman"/>
          <w:kern w:val="2"/>
          <w:szCs w:val="20"/>
        </w:rPr>
        <w:t>——</w:t>
      </w:r>
      <w:r>
        <w:rPr>
          <w:rFonts w:hAnsi="宋体"/>
          <w:color w:val="000000" w:themeColor="text1"/>
        </w:rPr>
        <w:t>暴露性指数；</w:t>
      </w:r>
    </w:p>
    <w:p w14:paraId="07DFD88B">
      <w:pPr>
        <w:pStyle w:val="42"/>
        <w:tabs>
          <w:tab w:val="center" w:pos="709"/>
        </w:tabs>
        <w:ind w:left="420" w:leftChars="200" w:firstLine="0" w:firstLineChars="0"/>
        <w:rPr>
          <w:rFonts w:hint="eastAsia" w:hAnsi="宋体"/>
          <w:color w:val="000000" w:themeColor="text1"/>
        </w:rPr>
      </w:pPr>
      <w:r>
        <w:rPr>
          <w:rFonts w:hint="eastAsia" w:hAnsi="宋体"/>
          <w:i/>
          <w:iCs/>
          <w:color w:val="000000" w:themeColor="text1"/>
        </w:rPr>
        <w:t>V</w:t>
      </w:r>
      <w:r>
        <w:rPr>
          <w:rFonts w:hAnsi="宋体"/>
          <w:color w:val="000000" w:themeColor="text1"/>
        </w:rPr>
        <w:t xml:space="preserve"> </w:t>
      </w:r>
      <w:r>
        <w:rPr>
          <w:rFonts w:ascii="Times New Roman"/>
          <w:kern w:val="2"/>
          <w:szCs w:val="20"/>
        </w:rPr>
        <w:t>——</w:t>
      </w:r>
      <w:r>
        <w:rPr>
          <w:rFonts w:hint="eastAsia" w:hAnsi="宋体"/>
          <w:color w:val="000000" w:themeColor="text1"/>
        </w:rPr>
        <w:t>脆弱性</w:t>
      </w:r>
      <w:r>
        <w:rPr>
          <w:rFonts w:hAnsi="宋体"/>
          <w:color w:val="000000" w:themeColor="text1"/>
        </w:rPr>
        <w:t>指数。</w:t>
      </w:r>
    </w:p>
    <w:p w14:paraId="036B77FB">
      <w:pPr>
        <w:pStyle w:val="42"/>
        <w:tabs>
          <w:tab w:val="center" w:pos="709"/>
        </w:tabs>
        <w:rPr>
          <w:rFonts w:hint="eastAsia" w:hAnsi="宋体"/>
          <w:color w:val="000000" w:themeColor="text1"/>
        </w:rPr>
      </w:pPr>
      <w:r>
        <w:rPr>
          <w:rFonts w:hAnsi="宋体"/>
          <w:i/>
          <w:iCs/>
          <w:color w:val="000000" w:themeColor="text1"/>
        </w:rPr>
        <w:t>R</w:t>
      </w:r>
      <w:r>
        <w:rPr>
          <w:rFonts w:hAnsi="宋体"/>
          <w:color w:val="000000" w:themeColor="text1"/>
        </w:rPr>
        <w:t>值越高，表示森林火灾风险越高。</w:t>
      </w:r>
      <w:r>
        <w:rPr>
          <w:rFonts w:hAnsi="宋体"/>
          <w:i/>
          <w:iCs/>
          <w:color w:val="000000" w:themeColor="text1"/>
        </w:rPr>
        <w:t>I</w:t>
      </w:r>
      <w:r>
        <w:rPr>
          <w:rFonts w:hAnsi="宋体"/>
          <w:color w:val="000000" w:themeColor="text1"/>
        </w:rPr>
        <w:t>为正值时表示火对特定生态对象存在正向效应，综合风险相应降低；</w:t>
      </w:r>
      <w:r>
        <w:rPr>
          <w:rFonts w:hAnsi="宋体"/>
          <w:i/>
          <w:iCs/>
          <w:color w:val="000000" w:themeColor="text1"/>
        </w:rPr>
        <w:t>I</w:t>
      </w:r>
      <w:r>
        <w:rPr>
          <w:rFonts w:hAnsi="宋体"/>
          <w:color w:val="000000" w:themeColor="text1"/>
        </w:rPr>
        <w:t>为负值时表示脆弱性为负，综合风险相应升高。</w:t>
      </w:r>
    </w:p>
    <w:p w14:paraId="4CE69660">
      <w:pPr>
        <w:pStyle w:val="42"/>
        <w:tabs>
          <w:tab w:val="center" w:pos="709"/>
        </w:tabs>
        <w:rPr>
          <w:rFonts w:hint="eastAsia" w:hAnsi="宋体"/>
          <w:color w:val="000000" w:themeColor="text1"/>
        </w:rPr>
      </w:pPr>
      <w:r>
        <w:rPr>
          <w:rFonts w:hAnsi="宋体"/>
          <w:color w:val="000000" w:themeColor="text1"/>
        </w:rPr>
        <w:t>各一级指标可按公式（2）～（4）计算：</w:t>
      </w:r>
    </w:p>
    <w:p w14:paraId="766A5A89">
      <w:pPr>
        <w:spacing w:line="378" w:lineRule="exact"/>
        <w:jc w:val="center"/>
      </w:pPr>
      <w:r>
        <w:rPr>
          <w:rFonts w:hint="eastAsia" w:eastAsia="黑体"/>
          <w:color w:val="000000" w:themeColor="text1"/>
          <w:sz w:val="18"/>
          <w:szCs w:val="18"/>
        </w:rPr>
        <w:t xml:space="preserve">                          </w:t>
      </w:r>
      <m:oMath>
        <m:r>
          <m:rPr/>
          <w:rPr>
            <w:rFonts w:ascii="Cambria Math" w:hAnsi="Cambria Math"/>
            <w:color w:val="000000" w:themeColor="text1"/>
            <w:szCs w:val="21"/>
          </w:rPr>
          <m:t>P</m:t>
        </m:r>
        <m:r>
          <m:rPr>
            <m:sty m:val="p"/>
          </m:rPr>
          <w:rPr>
            <w:rFonts w:ascii="Cambria Math" w:hAnsi="Cambria Math"/>
            <w:color w:val="000000" w:themeColor="text1"/>
            <w:szCs w:val="21"/>
          </w:rPr>
          <m:t>=0.60</m:t>
        </m:r>
        <m:r>
          <m:rPr/>
          <w:rPr>
            <w:rFonts w:ascii="Cambria Math" w:hAnsi="Cambria Math"/>
            <w:color w:val="000000" w:themeColor="text1"/>
            <w:szCs w:val="21"/>
          </w:rPr>
          <m:t>BP</m:t>
        </m:r>
        <m:r>
          <m:rPr>
            <m:sty m:val="p"/>
          </m:rPr>
          <w:rPr>
            <w:rFonts w:ascii="Cambria Math" w:hAnsi="Cambria Math"/>
            <w:color w:val="000000" w:themeColor="text1"/>
            <w:szCs w:val="21"/>
          </w:rPr>
          <m:t>+0.40</m:t>
        </m:r>
        <m:r>
          <m:rPr/>
          <w:rPr>
            <w:rFonts w:ascii="Cambria Math" w:hAnsi="Cambria Math"/>
            <w:color w:val="000000" w:themeColor="text1"/>
            <w:szCs w:val="21"/>
          </w:rPr>
          <m:t>ROS</m:t>
        </m:r>
      </m:oMath>
      <w:r>
        <w:rPr>
          <w:rFonts w:hint="eastAsia"/>
        </w:rPr>
        <w:t xml:space="preserve"> </w:t>
      </w:r>
      <w:r>
        <w:rPr>
          <w:rFonts w:hint="eastAsia" w:hAnsi="宋体"/>
          <w:szCs w:val="21"/>
        </w:rPr>
        <w:t>…………………………………………………</w:t>
      </w:r>
      <w:r>
        <w:rPr>
          <w:rFonts w:hint="eastAsia"/>
        </w:rPr>
        <w:t>（2）</w:t>
      </w:r>
    </w:p>
    <w:p w14:paraId="525D378B">
      <w:pPr>
        <w:spacing w:line="378" w:lineRule="exact"/>
        <w:jc w:val="center"/>
      </w:pPr>
      <w:r>
        <w:rPr>
          <w:rFonts w:hint="eastAsia" w:eastAsia="黑体"/>
          <w:color w:val="000000" w:themeColor="text1"/>
          <w:sz w:val="18"/>
          <w:szCs w:val="18"/>
        </w:rPr>
        <w:t xml:space="preserve">                          </w:t>
      </w:r>
      <m:oMath>
        <m:r>
          <m:rPr/>
          <w:rPr>
            <w:rFonts w:ascii="Cambria Math" w:hAnsi="Cambria Math"/>
            <w:color w:val="000000" w:themeColor="text1"/>
            <w:szCs w:val="21"/>
          </w:rPr>
          <m:t>E</m:t>
        </m:r>
        <m:r>
          <m:rPr>
            <m:sty m:val="p"/>
          </m:rPr>
          <w:rPr>
            <w:rFonts w:ascii="Cambria Math" w:hAnsi="Cambria Math"/>
            <w:color w:val="000000" w:themeColor="text1"/>
            <w:szCs w:val="21"/>
          </w:rPr>
          <m:t>=0.50</m:t>
        </m:r>
        <m:r>
          <m:rPr/>
          <w:rPr>
            <w:rFonts w:ascii="Cambria Math" w:hAnsi="Cambria Math"/>
            <w:color w:val="000000" w:themeColor="text1"/>
            <w:szCs w:val="21"/>
          </w:rPr>
          <m:t>FI</m:t>
        </m:r>
        <m:r>
          <m:rPr>
            <m:sty m:val="p"/>
          </m:rPr>
          <w:rPr>
            <w:rFonts w:ascii="Cambria Math" w:hAnsi="Cambria Math"/>
            <w:color w:val="000000" w:themeColor="text1"/>
            <w:szCs w:val="21"/>
          </w:rPr>
          <m:t>+0.50</m:t>
        </m:r>
        <m:r>
          <m:rPr/>
          <w:rPr>
            <w:rFonts w:ascii="Cambria Math" w:hAnsi="Cambria Math"/>
            <w:color w:val="000000" w:themeColor="text1"/>
            <w:szCs w:val="21"/>
          </w:rPr>
          <m:t>FL</m:t>
        </m:r>
      </m:oMath>
      <w:r>
        <w:rPr>
          <w:rFonts w:hint="eastAsia"/>
        </w:rPr>
        <w:t xml:space="preserve"> </w:t>
      </w:r>
      <w:r>
        <w:rPr>
          <w:rFonts w:hint="eastAsia" w:hAnsi="宋体"/>
          <w:szCs w:val="21"/>
        </w:rPr>
        <w:t>……………………………………………………</w:t>
      </w:r>
      <w:r>
        <w:rPr>
          <w:rFonts w:hint="eastAsia"/>
        </w:rPr>
        <w:t>（3）</w:t>
      </w:r>
    </w:p>
    <w:p w14:paraId="028F1483">
      <w:pPr>
        <w:spacing w:line="378" w:lineRule="exact"/>
        <w:jc w:val="center"/>
      </w:pPr>
      <w:r>
        <w:rPr>
          <w:rFonts w:hint="eastAsia" w:eastAsia="黑体"/>
          <w:color w:val="000000" w:themeColor="text1"/>
          <w:sz w:val="18"/>
          <w:szCs w:val="18"/>
        </w:rPr>
        <w:t xml:space="preserve">                          </w:t>
      </w:r>
      <m:oMath>
        <m:r>
          <m:rPr/>
          <w:rPr>
            <w:rFonts w:ascii="Cambria Math" w:hAnsi="Cambria Math"/>
            <w:color w:val="000000" w:themeColor="text1"/>
            <w:szCs w:val="21"/>
          </w:rPr>
          <m:t>I</m:t>
        </m:r>
        <m:r>
          <m:rPr>
            <m:sty m:val="p"/>
          </m:rPr>
          <w:rPr>
            <w:rFonts w:ascii="Cambria Math" w:hAnsi="Cambria Math"/>
            <w:color w:val="000000" w:themeColor="text1"/>
            <w:szCs w:val="21"/>
          </w:rPr>
          <m:t>=0.25</m:t>
        </m:r>
        <m:r>
          <m:rPr/>
          <w:rPr>
            <w:rFonts w:ascii="Cambria Math" w:hAnsi="Cambria Math"/>
            <w:color w:val="000000" w:themeColor="text1"/>
            <w:szCs w:val="21"/>
          </w:rPr>
          <m:t>VI</m:t>
        </m:r>
        <m:r>
          <m:rPr>
            <m:sty m:val="p"/>
          </m:rPr>
          <w:rPr>
            <w:rFonts w:ascii="Cambria Math" w:hAnsi="Cambria Math"/>
            <w:color w:val="000000" w:themeColor="text1"/>
            <w:szCs w:val="21"/>
          </w:rPr>
          <m:t>+0.75</m:t>
        </m:r>
        <m:r>
          <m:rPr/>
          <w:rPr>
            <w:rFonts w:ascii="Cambria Math" w:hAnsi="Cambria Math"/>
            <w:color w:val="000000" w:themeColor="text1"/>
            <w:szCs w:val="21"/>
          </w:rPr>
          <m:t>DI</m:t>
        </m:r>
      </m:oMath>
      <w:r>
        <w:rPr>
          <w:rFonts w:hint="eastAsia" w:hAnsi="宋体"/>
          <w:szCs w:val="21"/>
        </w:rPr>
        <w:t>………………………………………………………</w:t>
      </w:r>
      <w:r>
        <w:rPr>
          <w:rFonts w:hint="eastAsia"/>
        </w:rPr>
        <w:t>（4）</w:t>
      </w:r>
    </w:p>
    <w:p w14:paraId="56366BA5">
      <w:pPr>
        <w:pStyle w:val="42"/>
        <w:tabs>
          <w:tab w:val="center" w:pos="709"/>
        </w:tabs>
        <w:rPr>
          <w:rFonts w:hint="eastAsia" w:hAnsi="宋体"/>
          <w:color w:val="000000" w:themeColor="text1"/>
        </w:rPr>
      </w:pPr>
      <w:r>
        <w:rPr>
          <w:rFonts w:hAnsi="宋体"/>
          <w:color w:val="000000" w:themeColor="text1"/>
        </w:rPr>
        <w:t>式中：</w:t>
      </w:r>
    </w:p>
    <w:p w14:paraId="0035A071">
      <w:pPr>
        <w:pStyle w:val="42"/>
        <w:tabs>
          <w:tab w:val="center" w:pos="709"/>
        </w:tabs>
        <w:rPr>
          <w:rFonts w:hint="eastAsia" w:hAnsi="宋体"/>
          <w:color w:val="000000" w:themeColor="text1"/>
        </w:rPr>
      </w:pPr>
      <w:r>
        <w:rPr>
          <w:rFonts w:hAnsi="宋体"/>
          <w:i/>
          <w:iCs/>
          <w:color w:val="000000" w:themeColor="text1"/>
        </w:rPr>
        <w:t>BP</w:t>
      </w:r>
      <w:r>
        <w:rPr>
          <w:rFonts w:hAnsi="宋体"/>
          <w:color w:val="000000" w:themeColor="text1"/>
        </w:rPr>
        <w:t>、</w:t>
      </w:r>
      <w:r>
        <w:rPr>
          <w:rFonts w:hAnsi="宋体"/>
          <w:i/>
          <w:iCs/>
          <w:color w:val="000000" w:themeColor="text1"/>
        </w:rPr>
        <w:t>ROS</w:t>
      </w:r>
      <w:r>
        <w:rPr>
          <w:rFonts w:hAnsi="宋体"/>
          <w:color w:val="000000" w:themeColor="text1"/>
        </w:rPr>
        <w:t>、</w:t>
      </w:r>
      <w:r>
        <w:rPr>
          <w:rFonts w:hAnsi="宋体"/>
          <w:i/>
          <w:iCs/>
          <w:color w:val="000000" w:themeColor="text1"/>
        </w:rPr>
        <w:t>FI</w:t>
      </w:r>
      <w:r>
        <w:rPr>
          <w:rFonts w:hAnsi="宋体"/>
          <w:color w:val="000000" w:themeColor="text1"/>
        </w:rPr>
        <w:t>、</w:t>
      </w:r>
      <w:r>
        <w:rPr>
          <w:rFonts w:hAnsi="宋体"/>
          <w:i/>
          <w:iCs/>
          <w:color w:val="000000" w:themeColor="text1"/>
        </w:rPr>
        <w:t>FL</w:t>
      </w:r>
      <w:r>
        <w:rPr>
          <w:rFonts w:hAnsi="宋体"/>
          <w:color w:val="000000" w:themeColor="text1"/>
        </w:rPr>
        <w:t>、</w:t>
      </w:r>
      <w:r>
        <w:rPr>
          <w:rFonts w:hAnsi="宋体"/>
          <w:i/>
          <w:iCs/>
          <w:color w:val="000000" w:themeColor="text1"/>
        </w:rPr>
        <w:t>VI</w:t>
      </w:r>
      <w:r>
        <w:rPr>
          <w:rFonts w:hint="eastAsia" w:hAnsi="宋体"/>
          <w:color w:val="000000" w:themeColor="text1"/>
        </w:rPr>
        <w:t>和</w:t>
      </w:r>
      <w:r>
        <w:rPr>
          <w:rFonts w:hAnsi="宋体"/>
          <w:color w:val="000000" w:themeColor="text1"/>
        </w:rPr>
        <w:t>DI 分别为燃烧概率、蔓延速度、火强度、火焰长度、火对植被影响和居民区距离分布经无量纲处理后的指标值。</w:t>
      </w:r>
    </w:p>
    <w:p w14:paraId="2458BC16">
      <w:pPr>
        <w:pStyle w:val="75"/>
        <w:spacing w:before="156" w:after="156"/>
        <w:ind w:left="0"/>
        <w:rPr>
          <w:rFonts w:ascii="Times New Roman" w:hAnsi="Times New Roman"/>
          <w:color w:val="000000" w:themeColor="text1"/>
        </w:rPr>
      </w:pPr>
      <w:bookmarkStart w:id="144" w:name="_Toc236687293"/>
      <w:r>
        <w:rPr>
          <w:rFonts w:ascii="Times New Roman" w:hAnsi="Times New Roman"/>
          <w:color w:val="000000" w:themeColor="text1"/>
        </w:rPr>
        <w:t>指标无量纲处理</w:t>
      </w:r>
      <w:bookmarkEnd w:id="144"/>
    </w:p>
    <w:p w14:paraId="7B3451D6">
      <w:pPr>
        <w:pStyle w:val="42"/>
        <w:tabs>
          <w:tab w:val="center" w:pos="709"/>
        </w:tabs>
        <w:rPr>
          <w:rFonts w:ascii="Times New Roman"/>
          <w:color w:val="000000" w:themeColor="text1"/>
        </w:rPr>
      </w:pPr>
      <w:r>
        <w:rPr>
          <w:rFonts w:ascii="Times New Roman"/>
          <w:color w:val="000000" w:themeColor="text1"/>
        </w:rPr>
        <w:t>不同指标量纲和取值范围不一致，应进行标准化处理，所有指标进入综合计算前需转换至 0～1 或 -1～1 区间。宜采用零中心标准化方法，按公式（5）计算：</w:t>
      </w:r>
    </w:p>
    <w:p w14:paraId="2302BF0D">
      <w:pPr>
        <w:spacing w:line="378" w:lineRule="exact"/>
        <w:jc w:val="center"/>
      </w:pPr>
      <w:r>
        <w:rPr>
          <w:rFonts w:eastAsia="黑体"/>
          <w:color w:val="000000" w:themeColor="text1"/>
          <w:sz w:val="18"/>
          <w:szCs w:val="18"/>
        </w:rPr>
        <w:t xml:space="preserve">                          </w:t>
      </w:r>
      <m:oMath>
        <m:sSup>
          <m:sSupPr>
            <m:ctrlPr>
              <w:rPr>
                <w:rFonts w:ascii="Cambria Math" w:hAnsi="Cambria Math"/>
                <w:i/>
                <w:color w:val="000000" w:themeColor="text1"/>
                <w:szCs w:val="21"/>
              </w:rPr>
            </m:ctrlPr>
          </m:sSupPr>
          <m:e>
            <m:r>
              <m:rPr/>
              <w:rPr>
                <w:rFonts w:ascii="Cambria Math" w:hAnsi="Cambria Math"/>
                <w:color w:val="000000" w:themeColor="text1"/>
                <w:szCs w:val="21"/>
              </w:rPr>
              <m:t>x</m:t>
            </m:r>
            <m:ctrlPr>
              <w:rPr>
                <w:rFonts w:ascii="Cambria Math" w:hAnsi="Cambria Math"/>
                <w:i/>
                <w:color w:val="000000" w:themeColor="text1"/>
                <w:szCs w:val="21"/>
              </w:rPr>
            </m:ctrlPr>
          </m:e>
          <m:sup>
            <m:r>
              <m:rPr/>
              <w:rPr>
                <w:rFonts w:ascii="Cambria Math" w:hAnsi="Cambria Math"/>
                <w:color w:val="000000" w:themeColor="text1"/>
                <w:szCs w:val="21"/>
              </w:rPr>
              <m:t>'</m:t>
            </m:r>
            <m:ctrlPr>
              <w:rPr>
                <w:rFonts w:ascii="Cambria Math" w:hAnsi="Cambria Math"/>
                <w:i/>
                <w:color w:val="000000" w:themeColor="text1"/>
                <w:szCs w:val="21"/>
              </w:rPr>
            </m:ctrlPr>
          </m:sup>
        </m:sSup>
        <m:r>
          <m:rPr>
            <m:sty m:val="p"/>
          </m:rPr>
          <w:rPr>
            <w:rFonts w:ascii="Cambria Math" w:hAnsi="Cambria Math"/>
            <w:color w:val="000000" w:themeColor="text1"/>
            <w:szCs w:val="21"/>
          </w:rPr>
          <m:t>=(</m:t>
        </m:r>
        <m:r>
          <m:rPr/>
          <w:rPr>
            <w:rFonts w:ascii="Cambria Math" w:hAnsi="Cambria Math"/>
            <w:color w:val="000000" w:themeColor="text1"/>
            <w:szCs w:val="21"/>
          </w:rPr>
          <m:t>x</m:t>
        </m:r>
        <m:r>
          <m:rPr>
            <m:sty m:val="p"/>
          </m:rPr>
          <w:rPr>
            <w:rFonts w:ascii="Cambria Math" w:hAnsi="Cambria Math"/>
            <w:color w:val="000000" w:themeColor="text1"/>
            <w:szCs w:val="21"/>
          </w:rPr>
          <m:t>−</m:t>
        </m:r>
        <m:acc>
          <m:accPr>
            <m:chr m:val="̅"/>
            <m:ctrlPr>
              <w:rPr>
                <w:rFonts w:ascii="Cambria Math" w:hAnsi="Cambria Math"/>
                <w:color w:val="000000" w:themeColor="text1"/>
                <w:szCs w:val="21"/>
              </w:rPr>
            </m:ctrlPr>
          </m:accPr>
          <m:e>
            <m:r>
              <m:rPr/>
              <w:rPr>
                <w:rFonts w:ascii="Cambria Math" w:hAnsi="Cambria Math"/>
                <w:color w:val="000000" w:themeColor="text1"/>
                <w:szCs w:val="21"/>
              </w:rPr>
              <m:t>x</m:t>
            </m:r>
            <m:ctrlPr>
              <w:rPr>
                <w:rFonts w:ascii="Cambria Math" w:hAnsi="Cambria Math"/>
                <w:color w:val="000000" w:themeColor="text1"/>
                <w:szCs w:val="21"/>
              </w:rPr>
            </m:ctrlPr>
          </m:e>
        </m:acc>
        <m:r>
          <m:rPr>
            <m:sty m:val="p"/>
          </m:rPr>
          <w:rPr>
            <w:rFonts w:ascii="Cambria Math" w:hAnsi="Cambria Math"/>
            <w:color w:val="000000" w:themeColor="text1"/>
            <w:szCs w:val="21"/>
          </w:rPr>
          <m:t xml:space="preserve"> )/</m:t>
        </m:r>
        <m:r>
          <m:rPr/>
          <w:rPr>
            <w:rFonts w:ascii="Cambria Math" w:hAnsi="Cambria Math"/>
            <w:color w:val="000000" w:themeColor="text1"/>
            <w:szCs w:val="21"/>
          </w:rPr>
          <m:t>σ</m:t>
        </m:r>
      </m:oMath>
      <w:r>
        <w:rPr>
          <w:szCs w:val="21"/>
        </w:rPr>
        <w:t>……………………………………………………………</w:t>
      </w:r>
      <w:r>
        <w:t>（</w:t>
      </w:r>
      <w:r>
        <w:rPr>
          <w:rFonts w:hint="eastAsia"/>
        </w:rPr>
        <w:t>5</w:t>
      </w:r>
      <w:r>
        <w:t>）</w:t>
      </w:r>
    </w:p>
    <w:p w14:paraId="0E4DF75F">
      <w:pPr>
        <w:pStyle w:val="42"/>
        <w:tabs>
          <w:tab w:val="center" w:pos="709"/>
        </w:tabs>
        <w:rPr>
          <w:rFonts w:ascii="Times New Roman"/>
          <w:color w:val="000000" w:themeColor="text1"/>
        </w:rPr>
      </w:pPr>
      <w:r>
        <w:rPr>
          <w:rFonts w:ascii="Times New Roman"/>
          <w:color w:val="000000" w:themeColor="text1"/>
        </w:rPr>
        <w:t>式中：</w:t>
      </w:r>
    </w:p>
    <w:p w14:paraId="72DD56F9">
      <w:pPr>
        <w:pStyle w:val="42"/>
        <w:tabs>
          <w:tab w:val="center" w:pos="709"/>
        </w:tabs>
        <w:rPr>
          <w:rFonts w:ascii="Times New Roman"/>
          <w:color w:val="000000" w:themeColor="text1"/>
        </w:rPr>
      </w:pPr>
      <m:oMath>
        <m:sSup>
          <m:sSupPr>
            <m:ctrlPr>
              <w:rPr>
                <w:rFonts w:ascii="Cambria Math" w:hAnsi="Cambria Math"/>
                <w:i/>
                <w:color w:val="000000" w:themeColor="text1"/>
                <w:kern w:val="2"/>
                <w:szCs w:val="21"/>
              </w:rPr>
            </m:ctrlPr>
          </m:sSupPr>
          <m:e>
            <m:r>
              <m:rPr/>
              <w:rPr>
                <w:rFonts w:ascii="Cambria Math" w:hAnsi="Cambria Math"/>
                <w:color w:val="000000" w:themeColor="text1"/>
                <w:szCs w:val="21"/>
              </w:rPr>
              <m:t>x</m:t>
            </m:r>
            <m:ctrlPr>
              <w:rPr>
                <w:rFonts w:ascii="Cambria Math" w:hAnsi="Cambria Math"/>
                <w:i/>
                <w:color w:val="000000" w:themeColor="text1"/>
                <w:kern w:val="2"/>
                <w:szCs w:val="21"/>
              </w:rPr>
            </m:ctrlPr>
          </m:e>
          <m:sup>
            <m:r>
              <m:rPr/>
              <w:rPr>
                <w:rFonts w:ascii="Cambria Math" w:hAnsi="Cambria Math"/>
                <w:color w:val="000000" w:themeColor="text1"/>
                <w:szCs w:val="21"/>
              </w:rPr>
              <m:t>'</m:t>
            </m:r>
            <m:ctrlPr>
              <w:rPr>
                <w:rFonts w:ascii="Cambria Math" w:hAnsi="Cambria Math"/>
                <w:i/>
                <w:color w:val="000000" w:themeColor="text1"/>
                <w:kern w:val="2"/>
                <w:szCs w:val="21"/>
              </w:rPr>
            </m:ctrlPr>
          </m:sup>
        </m:sSup>
      </m:oMath>
      <w:r>
        <w:rPr>
          <w:rFonts w:ascii="Times New Roman"/>
          <w:kern w:val="2"/>
          <w:szCs w:val="20"/>
        </w:rPr>
        <w:t>——</w:t>
      </w:r>
      <w:r>
        <w:rPr>
          <w:rFonts w:ascii="Times New Roman"/>
          <w:color w:val="000000" w:themeColor="text1"/>
        </w:rPr>
        <w:t>标准化后的指标值</w:t>
      </w:r>
      <w:r>
        <w:rPr>
          <w:rFonts w:hint="eastAsia" w:ascii="Times New Roman"/>
          <w:color w:val="000000" w:themeColor="text1"/>
        </w:rPr>
        <w:t>;</w:t>
      </w:r>
    </w:p>
    <w:p w14:paraId="092F64C1">
      <w:pPr>
        <w:pStyle w:val="42"/>
        <w:tabs>
          <w:tab w:val="center" w:pos="709"/>
        </w:tabs>
        <w:rPr>
          <w:rFonts w:ascii="Times New Roman"/>
          <w:color w:val="000000" w:themeColor="text1"/>
        </w:rPr>
      </w:pPr>
      <w:r>
        <w:rPr>
          <w:rFonts w:ascii="Times New Roman"/>
          <w:color w:val="000000" w:themeColor="text1"/>
        </w:rPr>
        <w:t xml:space="preserve">x </w:t>
      </w:r>
      <w:r>
        <w:rPr>
          <w:rFonts w:ascii="Times New Roman"/>
          <w:kern w:val="2"/>
          <w:szCs w:val="20"/>
        </w:rPr>
        <w:t>——</w:t>
      </w:r>
      <w:r>
        <w:rPr>
          <w:rFonts w:ascii="Times New Roman"/>
          <w:color w:val="000000" w:themeColor="text1"/>
        </w:rPr>
        <w:t>指标原始值；</w:t>
      </w:r>
    </w:p>
    <w:p w14:paraId="77FC6178">
      <w:pPr>
        <w:pStyle w:val="42"/>
        <w:tabs>
          <w:tab w:val="center" w:pos="709"/>
        </w:tabs>
        <w:rPr>
          <w:rFonts w:ascii="Times New Roman"/>
          <w:color w:val="000000" w:themeColor="text1"/>
        </w:rPr>
      </w:pPr>
      <m:oMath>
        <m:acc>
          <m:accPr>
            <m:chr m:val="̅"/>
            <m:ctrlPr>
              <w:rPr>
                <w:rFonts w:ascii="Cambria Math" w:hAnsi="Cambria Math"/>
                <w:color w:val="000000" w:themeColor="text1"/>
                <w:kern w:val="2"/>
                <w:szCs w:val="21"/>
              </w:rPr>
            </m:ctrlPr>
          </m:accPr>
          <m:e>
            <m:r>
              <m:rPr/>
              <w:rPr>
                <w:rFonts w:ascii="Cambria Math" w:hAnsi="Cambria Math"/>
                <w:color w:val="000000" w:themeColor="text1"/>
                <w:szCs w:val="21"/>
              </w:rPr>
              <m:t>x</m:t>
            </m:r>
            <m:ctrlPr>
              <w:rPr>
                <w:rFonts w:ascii="Cambria Math" w:hAnsi="Cambria Math"/>
                <w:color w:val="000000" w:themeColor="text1"/>
                <w:kern w:val="2"/>
                <w:szCs w:val="21"/>
              </w:rPr>
            </m:ctrlPr>
          </m:e>
        </m:acc>
      </m:oMath>
      <w:r>
        <w:rPr>
          <w:rFonts w:ascii="Times New Roman"/>
          <w:kern w:val="2"/>
          <w:szCs w:val="20"/>
        </w:rPr>
        <w:t>——</w:t>
      </w:r>
      <w:r>
        <w:rPr>
          <w:rFonts w:ascii="Times New Roman"/>
          <w:color w:val="000000" w:themeColor="text1"/>
        </w:rPr>
        <w:t>该指标样本均值；</w:t>
      </w:r>
    </w:p>
    <w:p w14:paraId="767F3B56">
      <w:pPr>
        <w:pStyle w:val="42"/>
        <w:tabs>
          <w:tab w:val="center" w:pos="709"/>
        </w:tabs>
        <w:rPr>
          <w:rFonts w:ascii="Times New Roman"/>
          <w:color w:val="000000" w:themeColor="text1"/>
        </w:rPr>
      </w:pPr>
      <w:r>
        <w:rPr>
          <w:rFonts w:ascii="Times New Roman"/>
          <w:i/>
          <w:iCs/>
          <w:color w:val="000000" w:themeColor="text1"/>
        </w:rPr>
        <w:t>σ</w:t>
      </w:r>
      <w:r>
        <w:rPr>
          <w:rFonts w:ascii="Times New Roman"/>
          <w:color w:val="000000" w:themeColor="text1"/>
        </w:rPr>
        <w:t xml:space="preserve"> </w:t>
      </w:r>
      <w:r>
        <w:rPr>
          <w:rFonts w:ascii="Times New Roman"/>
          <w:kern w:val="2"/>
          <w:szCs w:val="20"/>
        </w:rPr>
        <w:t>——</w:t>
      </w:r>
      <w:r>
        <w:rPr>
          <w:rFonts w:ascii="Times New Roman"/>
          <w:color w:val="000000" w:themeColor="text1"/>
        </w:rPr>
        <w:t>该指标样本标准差</w:t>
      </w:r>
      <w:r>
        <w:rPr>
          <w:rFonts w:hint="eastAsia" w:ascii="Times New Roman"/>
          <w:color w:val="000000" w:themeColor="text1"/>
        </w:rPr>
        <w:t>。</w:t>
      </w:r>
    </w:p>
    <w:p w14:paraId="3A39610F">
      <w:pPr>
        <w:pStyle w:val="42"/>
        <w:tabs>
          <w:tab w:val="center" w:pos="709"/>
        </w:tabs>
        <w:rPr>
          <w:rFonts w:hint="eastAsia" w:hAnsi="宋体"/>
          <w:color w:val="000000" w:themeColor="text1"/>
        </w:rPr>
      </w:pPr>
      <w:r>
        <w:rPr>
          <w:rFonts w:hAnsi="宋体"/>
          <w:color w:val="000000" w:themeColor="text1"/>
        </w:rPr>
        <w:t>当指标值存在明显偏态分布时，可先进行对数转换、分位数转换或极值截断，再进行标准化。</w:t>
      </w:r>
    </w:p>
    <w:p w14:paraId="464D4701">
      <w:pPr>
        <w:pStyle w:val="75"/>
        <w:spacing w:before="156" w:after="156"/>
        <w:ind w:left="0"/>
        <w:rPr>
          <w:rFonts w:ascii="Times New Roman" w:hAnsi="Times New Roman"/>
          <w:color w:val="000000" w:themeColor="text1"/>
        </w:rPr>
      </w:pPr>
      <w:bookmarkStart w:id="145" w:name="_Toc236687294"/>
      <w:r>
        <w:rPr>
          <w:rFonts w:ascii="Times New Roman" w:hAnsi="Times New Roman"/>
          <w:color w:val="000000" w:themeColor="text1"/>
        </w:rPr>
        <w:t>可能性计算</w:t>
      </w:r>
      <w:bookmarkEnd w:id="145"/>
    </w:p>
    <w:p w14:paraId="1DA9C0F1">
      <w:pPr>
        <w:pStyle w:val="42"/>
        <w:tabs>
          <w:tab w:val="center" w:pos="709"/>
        </w:tabs>
        <w:rPr>
          <w:rFonts w:hint="eastAsia" w:hAnsi="宋体"/>
          <w:color w:val="000000" w:themeColor="text1"/>
        </w:rPr>
      </w:pPr>
      <w:r>
        <w:rPr>
          <w:rFonts w:hAnsi="宋体"/>
          <w:color w:val="000000" w:themeColor="text1"/>
        </w:rPr>
        <w:t>可能性应综合反映评估单元发生燃烧和火势蔓延的可能程度。宜采用火行为模型、历史火灾统计模型或二者结合的方法计算燃烧概率和蔓延速度。</w:t>
      </w:r>
    </w:p>
    <w:p w14:paraId="145B8D48">
      <w:pPr>
        <w:pStyle w:val="42"/>
        <w:tabs>
          <w:tab w:val="center" w:pos="709"/>
        </w:tabs>
        <w:rPr>
          <w:rFonts w:hint="eastAsia" w:hAnsi="宋体"/>
          <w:color w:val="000000" w:themeColor="text1"/>
        </w:rPr>
      </w:pPr>
      <w:r>
        <w:rPr>
          <w:rFonts w:hAnsi="宋体"/>
          <w:color w:val="000000" w:themeColor="text1"/>
        </w:rPr>
        <w:t>采用火行为模型时，输入数据应包括可燃物类型、地形、火险天气、点火方式、蔓延时长、最小过火面积等。模型输出应至少包括燃烧概率、蔓延速度、火强度和树冠可燃物消耗比例。燃烧概率宜通过多次迭代模拟获得，按公式（6）计算：</w:t>
      </w:r>
    </w:p>
    <w:p w14:paraId="300D3296">
      <w:pPr>
        <w:spacing w:line="378" w:lineRule="exact"/>
        <w:jc w:val="center"/>
      </w:pPr>
      <w:r>
        <w:rPr>
          <w:rFonts w:eastAsia="黑体"/>
          <w:color w:val="000000" w:themeColor="text1"/>
          <w:sz w:val="18"/>
          <w:szCs w:val="18"/>
        </w:rPr>
        <w:t xml:space="preserve">                          </w:t>
      </w:r>
      <m:oMath>
        <m:sSub>
          <m:sSubPr>
            <m:ctrlPr>
              <w:rPr>
                <w:rFonts w:ascii="Cambria Math" w:hAnsi="Cambria Math"/>
                <w:i/>
                <w:color w:val="000000" w:themeColor="text1"/>
                <w:szCs w:val="21"/>
              </w:rPr>
            </m:ctrlPr>
          </m:sSubPr>
          <m:e>
            <m:r>
              <m:rPr/>
              <w:rPr>
                <w:rFonts w:hint="eastAsia" w:ascii="Cambria Math" w:hAnsi="Cambria Math"/>
                <w:color w:val="000000" w:themeColor="text1"/>
                <w:szCs w:val="21"/>
              </w:rPr>
              <m:t>B</m:t>
            </m:r>
            <m:r>
              <m:rPr/>
              <w:rPr>
                <w:rFonts w:ascii="Cambria Math" w:hAnsi="Cambria Math"/>
                <w:color w:val="000000" w:themeColor="text1"/>
                <w:szCs w:val="21"/>
              </w:rPr>
              <m:t>P</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Sub>
        <m:r>
          <m:rPr>
            <m:sty m:val="p"/>
          </m:rPr>
          <w:rPr>
            <w:rFonts w:ascii="Cambria Math" w:hAnsi="Cambria Math"/>
            <w:color w:val="000000" w:themeColor="text1"/>
            <w:szCs w:val="21"/>
          </w:rPr>
          <m:t>=</m:t>
        </m:r>
        <m:f>
          <m:fPr>
            <m:type m:val="lin"/>
            <m:ctrlPr>
              <w:rPr>
                <w:rFonts w:ascii="Cambria Math" w:hAnsi="Cambria Math"/>
                <w:color w:val="000000" w:themeColor="text1"/>
                <w:szCs w:val="21"/>
              </w:rPr>
            </m:ctrlPr>
          </m:fPr>
          <m:num>
            <m:sSub>
              <m:sSubPr>
                <m:ctrlPr>
                  <w:rPr>
                    <w:rFonts w:ascii="Cambria Math" w:hAnsi="Cambria Math"/>
                    <w:i/>
                    <w:color w:val="000000" w:themeColor="text1"/>
                    <w:szCs w:val="21"/>
                  </w:rPr>
                </m:ctrlPr>
              </m:sSubPr>
              <m:e>
                <m:r>
                  <m:rPr/>
                  <w:rPr>
                    <w:rFonts w:ascii="Cambria Math" w:hAnsi="Cambria Math"/>
                    <w:color w:val="000000" w:themeColor="text1"/>
                    <w:szCs w:val="21"/>
                  </w:rPr>
                  <m:t>N</m:t>
                </m:r>
                <m:ctrlPr>
                  <w:rPr>
                    <w:rFonts w:ascii="Cambria Math" w:hAnsi="Cambria Math"/>
                    <w:i/>
                    <w:color w:val="000000" w:themeColor="text1"/>
                    <w:szCs w:val="21"/>
                  </w:rPr>
                </m:ctrlPr>
              </m:e>
              <m:sub>
                <m:r>
                  <m:rPr/>
                  <w:rPr>
                    <w:rFonts w:ascii="Cambria Math" w:hAnsi="Cambria Math"/>
                    <w:color w:val="000000" w:themeColor="text1"/>
                    <w:szCs w:val="21"/>
                  </w:rPr>
                  <m:t>i</m:t>
                </m:r>
                <m:ctrlPr>
                  <w:rPr>
                    <w:rFonts w:ascii="Cambria Math" w:hAnsi="Cambria Math"/>
                    <w:i/>
                    <w:color w:val="000000" w:themeColor="text1"/>
                    <w:szCs w:val="21"/>
                  </w:rPr>
                </m:ctrlPr>
              </m:sub>
            </m:sSub>
            <m:ctrlPr>
              <w:rPr>
                <w:rFonts w:ascii="Cambria Math" w:hAnsi="Cambria Math"/>
                <w:color w:val="000000" w:themeColor="text1"/>
                <w:szCs w:val="21"/>
              </w:rPr>
            </m:ctrlPr>
          </m:num>
          <m:den>
            <m:r>
              <m:rPr/>
              <w:rPr>
                <w:rFonts w:ascii="Cambria Math" w:hAnsi="Cambria Math"/>
                <w:color w:val="000000" w:themeColor="text1"/>
                <w:szCs w:val="21"/>
              </w:rPr>
              <m:t>N</m:t>
            </m:r>
            <m:ctrlPr>
              <w:rPr>
                <w:rFonts w:ascii="Cambria Math" w:hAnsi="Cambria Math"/>
                <w:color w:val="000000" w:themeColor="text1"/>
                <w:szCs w:val="21"/>
              </w:rPr>
            </m:ctrlPr>
          </m:den>
        </m:f>
        <m:r>
          <m:rPr>
            <m:sty m:val="p"/>
          </m:rPr>
          <w:rPr>
            <w:rFonts w:ascii="Cambria Math" w:hAnsi="Cambria Math" w:eastAsia="黑体"/>
            <w:color w:val="000000" w:themeColor="text1"/>
            <w:sz w:val="18"/>
            <w:szCs w:val="18"/>
          </w:rPr>
          <m:t xml:space="preserve"> </m:t>
        </m:r>
      </m:oMath>
      <w:r>
        <w:rPr>
          <w:szCs w:val="21"/>
        </w:rPr>
        <w:t>………………………………………………………………</w:t>
      </w:r>
      <w:r>
        <w:t>（</w:t>
      </w:r>
      <w:r>
        <w:rPr>
          <w:rFonts w:hint="eastAsia"/>
        </w:rPr>
        <w:t>6</w:t>
      </w:r>
      <w:r>
        <w:t>）</w:t>
      </w:r>
    </w:p>
    <w:p w14:paraId="6C8C29CC">
      <w:pPr>
        <w:pStyle w:val="42"/>
        <w:tabs>
          <w:tab w:val="center" w:pos="709"/>
        </w:tabs>
        <w:rPr>
          <w:rFonts w:hint="eastAsia" w:hAnsi="宋体"/>
          <w:color w:val="000000" w:themeColor="text1"/>
        </w:rPr>
      </w:pPr>
      <w:r>
        <w:rPr>
          <w:rFonts w:hAnsi="宋体"/>
          <w:color w:val="000000" w:themeColor="text1"/>
        </w:rPr>
        <w:t>式中：</w:t>
      </w:r>
    </w:p>
    <w:p w14:paraId="3A60670A">
      <w:pPr>
        <w:pStyle w:val="42"/>
        <w:tabs>
          <w:tab w:val="center" w:pos="709"/>
        </w:tabs>
        <w:rPr>
          <w:rFonts w:hint="eastAsia" w:hAnsi="宋体"/>
          <w:color w:val="000000" w:themeColor="text1"/>
        </w:rPr>
      </w:pPr>
      <m:oMath>
        <m:sSub>
          <m:sSubPr>
            <m:ctrlPr>
              <w:rPr>
                <w:rFonts w:ascii="Cambria Math" w:hAnsi="Cambria Math"/>
                <w:i/>
                <w:color w:val="000000" w:themeColor="text1"/>
                <w:kern w:val="2"/>
                <w:szCs w:val="21"/>
              </w:rPr>
            </m:ctrlPr>
          </m:sSubPr>
          <m:e>
            <m:r>
              <m:rPr/>
              <w:rPr>
                <w:rFonts w:hint="eastAsia" w:ascii="Cambria Math" w:hAnsi="Cambria Math"/>
                <w:color w:val="000000" w:themeColor="text1"/>
                <w:szCs w:val="21"/>
              </w:rPr>
              <m:t>B</m:t>
            </m:r>
            <m:r>
              <m:rPr/>
              <w:rPr>
                <w:rFonts w:ascii="Cambria Math" w:hAnsi="Cambria Math"/>
                <w:color w:val="000000" w:themeColor="text1"/>
                <w:szCs w:val="21"/>
              </w:rPr>
              <m:t>P</m:t>
            </m:r>
            <m:ctrlPr>
              <w:rPr>
                <w:rFonts w:ascii="Cambria Math" w:hAnsi="Cambria Math"/>
                <w:i/>
                <w:color w:val="000000" w:themeColor="text1"/>
                <w:kern w:val="2"/>
                <w:szCs w:val="21"/>
              </w:rPr>
            </m:ctrlPr>
          </m:e>
          <m:sub>
            <m:r>
              <m:rPr/>
              <w:rPr>
                <w:rFonts w:ascii="Cambria Math" w:hAnsi="Cambria Math"/>
                <w:color w:val="000000" w:themeColor="text1"/>
                <w:szCs w:val="21"/>
              </w:rPr>
              <m:t>i</m:t>
            </m:r>
            <m:ctrlPr>
              <w:rPr>
                <w:rFonts w:ascii="Cambria Math" w:hAnsi="Cambria Math"/>
                <w:i/>
                <w:color w:val="000000" w:themeColor="text1"/>
                <w:kern w:val="2"/>
                <w:szCs w:val="21"/>
              </w:rPr>
            </m:ctrlPr>
          </m:sub>
        </m:sSub>
      </m:oMath>
      <w:r>
        <w:rPr>
          <w:rFonts w:ascii="Times New Roman"/>
          <w:kern w:val="2"/>
          <w:szCs w:val="20"/>
        </w:rPr>
        <w:t>——</w:t>
      </w:r>
      <w:r>
        <w:rPr>
          <w:rFonts w:hAnsi="宋体"/>
          <w:color w:val="000000" w:themeColor="text1"/>
        </w:rPr>
        <w:t>第 i 个评估单元的燃烧概率；</w:t>
      </w:r>
    </w:p>
    <w:p w14:paraId="6819AC3A">
      <w:pPr>
        <w:pStyle w:val="42"/>
        <w:tabs>
          <w:tab w:val="center" w:pos="709"/>
        </w:tabs>
        <w:rPr>
          <w:rFonts w:hint="eastAsia" w:hAnsi="宋体"/>
          <w:color w:val="000000" w:themeColor="text1"/>
        </w:rPr>
      </w:pPr>
      <m:oMath>
        <m:sSub>
          <m:sSubPr>
            <m:ctrlPr>
              <w:rPr>
                <w:rFonts w:ascii="Cambria Math" w:hAnsi="Cambria Math"/>
                <w:i/>
                <w:color w:val="000000" w:themeColor="text1"/>
                <w:kern w:val="2"/>
                <w:szCs w:val="21"/>
              </w:rPr>
            </m:ctrlPr>
          </m:sSubPr>
          <m:e>
            <m:r>
              <m:rPr/>
              <w:rPr>
                <w:rFonts w:ascii="Cambria Math" w:hAnsi="Cambria Math"/>
                <w:color w:val="000000" w:themeColor="text1"/>
                <w:szCs w:val="21"/>
              </w:rPr>
              <m:t>N</m:t>
            </m:r>
            <m:ctrlPr>
              <w:rPr>
                <w:rFonts w:ascii="Cambria Math" w:hAnsi="Cambria Math"/>
                <w:i/>
                <w:color w:val="000000" w:themeColor="text1"/>
                <w:kern w:val="2"/>
                <w:szCs w:val="21"/>
              </w:rPr>
            </m:ctrlPr>
          </m:e>
          <m:sub>
            <m:r>
              <m:rPr/>
              <w:rPr>
                <w:rFonts w:ascii="Cambria Math" w:hAnsi="Cambria Math"/>
                <w:color w:val="000000" w:themeColor="text1"/>
                <w:szCs w:val="21"/>
              </w:rPr>
              <m:t>i</m:t>
            </m:r>
            <m:ctrlPr>
              <w:rPr>
                <w:rFonts w:ascii="Cambria Math" w:hAnsi="Cambria Math"/>
                <w:i/>
                <w:color w:val="000000" w:themeColor="text1"/>
                <w:kern w:val="2"/>
                <w:szCs w:val="21"/>
              </w:rPr>
            </m:ctrlPr>
          </m:sub>
        </m:sSub>
      </m:oMath>
      <w:r>
        <w:rPr>
          <w:rFonts w:ascii="Times New Roman"/>
          <w:kern w:val="2"/>
          <w:szCs w:val="20"/>
        </w:rPr>
        <w:t>——</w:t>
      </w:r>
      <w:r>
        <w:rPr>
          <w:rFonts w:hAnsi="宋体"/>
          <w:color w:val="000000" w:themeColor="text1"/>
        </w:rPr>
        <w:t>第 i 个评估单元在模拟中被烧到的次数；</w:t>
      </w:r>
    </w:p>
    <w:p w14:paraId="3943E7D6">
      <w:pPr>
        <w:pStyle w:val="42"/>
        <w:tabs>
          <w:tab w:val="center" w:pos="709"/>
        </w:tabs>
        <w:rPr>
          <w:rFonts w:hint="eastAsia" w:hAnsi="宋体"/>
          <w:color w:val="000000" w:themeColor="text1"/>
        </w:rPr>
      </w:pPr>
      <m:oMath>
        <m:r>
          <m:rPr/>
          <w:rPr>
            <w:rFonts w:ascii="Cambria Math" w:hAnsi="Cambria Math"/>
            <w:color w:val="000000" w:themeColor="text1"/>
            <w:szCs w:val="21"/>
          </w:rPr>
          <m:t>N</m:t>
        </m:r>
      </m:oMath>
      <w:r>
        <w:rPr>
          <w:rFonts w:ascii="Times New Roman"/>
          <w:kern w:val="2"/>
          <w:szCs w:val="20"/>
        </w:rPr>
        <w:t>——</w:t>
      </w:r>
      <w:r>
        <w:rPr>
          <w:rFonts w:hAnsi="宋体"/>
          <w:color w:val="000000" w:themeColor="text1"/>
        </w:rPr>
        <w:t>总模拟迭代次数。可采用随机点火模式，迭代次数宜不低于</w:t>
      </w:r>
      <w:r>
        <w:rPr>
          <w:rFonts w:hint="eastAsia" w:hAnsi="宋体"/>
          <w:color w:val="000000" w:themeColor="text1"/>
        </w:rPr>
        <w:t>10</w:t>
      </w:r>
      <w:r>
        <w:rPr>
          <w:rFonts w:hAnsi="宋体"/>
          <w:color w:val="000000" w:themeColor="text1"/>
        </w:rPr>
        <w:t>000 次；当研究区历史火灾资料较充分时，宜采用历史点火概率或分区点火概率。</w:t>
      </w:r>
    </w:p>
    <w:p w14:paraId="7D21DE98">
      <w:pPr>
        <w:pStyle w:val="75"/>
        <w:spacing w:before="156" w:after="156"/>
        <w:ind w:left="0"/>
        <w:rPr>
          <w:rFonts w:ascii="Times New Roman" w:hAnsi="Times New Roman"/>
          <w:color w:val="000000" w:themeColor="text1"/>
        </w:rPr>
      </w:pPr>
      <w:bookmarkStart w:id="146" w:name="_Toc236687295"/>
      <w:r>
        <w:rPr>
          <w:rFonts w:ascii="Times New Roman" w:hAnsi="Times New Roman"/>
          <w:color w:val="000000" w:themeColor="text1"/>
        </w:rPr>
        <w:t>暴露性计算</w:t>
      </w:r>
      <w:bookmarkEnd w:id="146"/>
    </w:p>
    <w:p w14:paraId="176575F7">
      <w:pPr>
        <w:pStyle w:val="42"/>
        <w:tabs>
          <w:tab w:val="center" w:pos="709"/>
        </w:tabs>
        <w:rPr>
          <w:rFonts w:hint="eastAsia" w:hAnsi="宋体"/>
          <w:color w:val="000000" w:themeColor="text1"/>
        </w:rPr>
      </w:pPr>
      <w:r>
        <w:rPr>
          <w:rFonts w:hAnsi="宋体"/>
          <w:color w:val="000000" w:themeColor="text1"/>
        </w:rPr>
        <w:t>暴露性宜采用</w:t>
      </w:r>
      <w:r>
        <w:rPr>
          <w:rFonts w:hint="eastAsia" w:hAnsi="宋体"/>
          <w:color w:val="000000" w:themeColor="text1"/>
        </w:rPr>
        <w:t>潜在</w:t>
      </w:r>
      <w:r>
        <w:rPr>
          <w:rFonts w:hAnsi="宋体"/>
          <w:color w:val="000000" w:themeColor="text1"/>
        </w:rPr>
        <w:t>火强度和火焰长度表征。火强度应由火行为模型输出或依据可燃物、风速、坡度等参数计算。火焰长度应根据火类型确定。</w:t>
      </w:r>
    </w:p>
    <w:p w14:paraId="38341130">
      <w:pPr>
        <w:pStyle w:val="42"/>
        <w:tabs>
          <w:tab w:val="center" w:pos="709"/>
        </w:tabs>
        <w:rPr>
          <w:rFonts w:hint="eastAsia" w:hAnsi="宋体"/>
          <w:color w:val="000000" w:themeColor="text1"/>
        </w:rPr>
      </w:pPr>
      <w:r>
        <w:rPr>
          <w:rFonts w:hAnsi="宋体"/>
          <w:color w:val="000000" w:themeColor="text1"/>
        </w:rPr>
        <w:t>火类型可按树冠可燃物消耗比例（CFB）划分：</w:t>
      </w:r>
    </w:p>
    <w:p w14:paraId="28173401">
      <w:pPr>
        <w:pStyle w:val="42"/>
        <w:tabs>
          <w:tab w:val="center" w:pos="709"/>
        </w:tabs>
        <w:rPr>
          <w:rFonts w:hint="eastAsia" w:hAnsi="宋体"/>
          <w:color w:val="000000" w:themeColor="text1"/>
        </w:rPr>
      </w:pPr>
      <w:r>
        <w:rPr>
          <w:rFonts w:hAnsi="宋体"/>
          <w:color w:val="000000" w:themeColor="text1"/>
        </w:rPr>
        <w:t>a）地表火：CFB＜0.1；</w:t>
      </w:r>
    </w:p>
    <w:p w14:paraId="44697090">
      <w:pPr>
        <w:pStyle w:val="42"/>
        <w:tabs>
          <w:tab w:val="center" w:pos="709"/>
        </w:tabs>
        <w:rPr>
          <w:rFonts w:hint="eastAsia" w:hAnsi="宋体"/>
          <w:color w:val="000000" w:themeColor="text1"/>
        </w:rPr>
      </w:pPr>
      <w:r>
        <w:rPr>
          <w:rFonts w:hAnsi="宋体"/>
          <w:color w:val="000000" w:themeColor="text1"/>
        </w:rPr>
        <w:t>b）间歇性树冠火：0.1≤CFB＜0.9；</w:t>
      </w:r>
    </w:p>
    <w:p w14:paraId="2A6B4B3D">
      <w:pPr>
        <w:pStyle w:val="42"/>
        <w:tabs>
          <w:tab w:val="center" w:pos="709"/>
        </w:tabs>
        <w:rPr>
          <w:rFonts w:hint="eastAsia" w:hAnsi="宋体"/>
          <w:color w:val="000000" w:themeColor="text1"/>
        </w:rPr>
      </w:pPr>
      <w:r>
        <w:rPr>
          <w:rFonts w:hAnsi="宋体"/>
          <w:color w:val="000000" w:themeColor="text1"/>
        </w:rPr>
        <w:t>c）稳进树冠火：CFB≥0.9。</w:t>
      </w:r>
    </w:p>
    <w:p w14:paraId="71323A13">
      <w:pPr>
        <w:pStyle w:val="42"/>
        <w:tabs>
          <w:tab w:val="center" w:pos="709"/>
        </w:tabs>
        <w:rPr>
          <w:rFonts w:hint="eastAsia" w:hAnsi="宋体"/>
          <w:color w:val="000000" w:themeColor="text1"/>
        </w:rPr>
      </w:pPr>
      <w:r>
        <w:rPr>
          <w:rFonts w:hAnsi="宋体"/>
          <w:color w:val="000000" w:themeColor="text1"/>
        </w:rPr>
        <w:t>当地表火和间歇性树冠火发生时，火焰长度按公式（7）计算：</w:t>
      </w:r>
    </w:p>
    <w:p w14:paraId="3828263B">
      <w:pPr>
        <w:spacing w:line="378" w:lineRule="exact"/>
        <w:jc w:val="center"/>
      </w:pPr>
      <w:r>
        <w:rPr>
          <w:rFonts w:eastAsia="黑体"/>
          <w:color w:val="000000" w:themeColor="text1"/>
          <w:sz w:val="18"/>
          <w:szCs w:val="18"/>
        </w:rPr>
        <w:t xml:space="preserve">                          </w:t>
      </w:r>
      <m:oMath>
        <m:r>
          <m:rPr/>
          <w:rPr>
            <w:rFonts w:ascii="Cambria Math" w:hAnsi="Cambria Math"/>
            <w:color w:val="000000" w:themeColor="text1"/>
            <w:szCs w:val="21"/>
          </w:rPr>
          <m:t>FL</m:t>
        </m:r>
        <m:r>
          <m:rPr>
            <m:sty m:val="p"/>
          </m:rPr>
          <w:rPr>
            <w:rFonts w:ascii="Cambria Math" w:hAnsi="Cambria Math"/>
            <w:color w:val="000000" w:themeColor="text1"/>
            <w:szCs w:val="21"/>
          </w:rPr>
          <m:t>=0.0775×</m:t>
        </m:r>
        <m:sSup>
          <m:sSupPr>
            <m:ctrlPr>
              <w:rPr>
                <w:rFonts w:ascii="Cambria Math" w:hAnsi="Cambria Math"/>
                <w:color w:val="000000" w:themeColor="text1"/>
                <w:szCs w:val="21"/>
              </w:rPr>
            </m:ctrlPr>
          </m:sSupPr>
          <m:e>
            <m:r>
              <m:rPr/>
              <w:rPr>
                <w:rFonts w:ascii="Cambria Math" w:hAnsi="Cambria Math"/>
                <w:color w:val="000000" w:themeColor="text1"/>
                <w:szCs w:val="21"/>
              </w:rPr>
              <m:t>FI</m:t>
            </m:r>
            <m:ctrlPr>
              <w:rPr>
                <w:rFonts w:ascii="Cambria Math" w:hAnsi="Cambria Math"/>
                <w:color w:val="000000" w:themeColor="text1"/>
                <w:szCs w:val="21"/>
              </w:rPr>
            </m:ctrlPr>
          </m:e>
          <m:sup>
            <m:r>
              <m:rPr/>
              <w:rPr>
                <w:rFonts w:ascii="Cambria Math" w:hAnsi="Cambria Math"/>
                <w:color w:val="000000" w:themeColor="text1"/>
                <w:szCs w:val="21"/>
              </w:rPr>
              <m:t>0.46</m:t>
            </m:r>
            <m:ctrlPr>
              <w:rPr>
                <w:rFonts w:ascii="Cambria Math" w:hAnsi="Cambria Math"/>
                <w:color w:val="000000" w:themeColor="text1"/>
                <w:szCs w:val="21"/>
              </w:rPr>
            </m:ctrlPr>
          </m:sup>
        </m:sSup>
      </m:oMath>
      <w:r>
        <w:rPr>
          <w:szCs w:val="21"/>
        </w:rPr>
        <w:t>…………………………………………………………</w:t>
      </w:r>
      <w:r>
        <w:t>（</w:t>
      </w:r>
      <w:r>
        <w:rPr>
          <w:rFonts w:hint="eastAsia"/>
        </w:rPr>
        <w:t>7</w:t>
      </w:r>
      <w:r>
        <w:t>）</w:t>
      </w:r>
    </w:p>
    <w:p w14:paraId="0EFD195A">
      <w:pPr>
        <w:pStyle w:val="42"/>
        <w:tabs>
          <w:tab w:val="center" w:pos="709"/>
        </w:tabs>
        <w:rPr>
          <w:rFonts w:hint="eastAsia" w:hAnsi="宋体"/>
          <w:color w:val="000000" w:themeColor="text1"/>
        </w:rPr>
      </w:pPr>
      <w:r>
        <w:rPr>
          <w:rFonts w:hAnsi="宋体"/>
          <w:color w:val="000000" w:themeColor="text1"/>
        </w:rPr>
        <w:t>式中：</w:t>
      </w:r>
    </w:p>
    <w:p w14:paraId="1C748B36">
      <w:pPr>
        <w:pStyle w:val="42"/>
        <w:tabs>
          <w:tab w:val="center" w:pos="709"/>
        </w:tabs>
        <w:rPr>
          <w:rFonts w:hint="eastAsia" w:hAnsi="宋体"/>
          <w:color w:val="000000" w:themeColor="text1"/>
        </w:rPr>
      </w:pPr>
      <m:oMath>
        <m:r>
          <m:rPr/>
          <w:rPr>
            <w:rFonts w:ascii="Cambria Math" w:hAnsi="Cambria Math"/>
            <w:color w:val="000000" w:themeColor="text1"/>
            <w:szCs w:val="21"/>
          </w:rPr>
          <m:t>FL</m:t>
        </m:r>
      </m:oMath>
      <w:r>
        <w:rPr>
          <w:rFonts w:ascii="Times New Roman"/>
          <w:kern w:val="2"/>
          <w:szCs w:val="20"/>
        </w:rPr>
        <w:t>——</w:t>
      </w:r>
      <w:r>
        <w:rPr>
          <w:rFonts w:hAnsi="宋体"/>
          <w:color w:val="000000" w:themeColor="text1"/>
        </w:rPr>
        <w:t>火焰长度，单位为 m；</w:t>
      </w:r>
    </w:p>
    <w:p w14:paraId="231EDB82">
      <w:pPr>
        <w:pStyle w:val="42"/>
        <w:tabs>
          <w:tab w:val="center" w:pos="709"/>
        </w:tabs>
        <w:rPr>
          <w:rFonts w:hint="eastAsia" w:hAnsi="宋体"/>
          <w:color w:val="000000" w:themeColor="text1"/>
        </w:rPr>
      </w:pPr>
      <m:oMath>
        <m:r>
          <m:rPr/>
          <w:rPr>
            <w:rFonts w:ascii="Cambria Math" w:hAnsi="Cambria Math"/>
            <w:color w:val="000000" w:themeColor="text1"/>
            <w:szCs w:val="21"/>
          </w:rPr>
          <m:t>FI</m:t>
        </m:r>
      </m:oMath>
      <w:r>
        <w:rPr>
          <w:rFonts w:hAnsi="宋体"/>
          <w:color w:val="000000" w:themeColor="text1"/>
        </w:rPr>
        <w:t xml:space="preserve"> </w:t>
      </w:r>
      <w:r>
        <w:rPr>
          <w:rFonts w:ascii="Times New Roman"/>
          <w:kern w:val="2"/>
          <w:szCs w:val="20"/>
        </w:rPr>
        <w:t>——</w:t>
      </w:r>
      <w:r>
        <w:rPr>
          <w:rFonts w:hAnsi="宋体"/>
          <w:color w:val="000000" w:themeColor="text1"/>
        </w:rPr>
        <w:t>火强度，单位为 kW/m。</w:t>
      </w:r>
    </w:p>
    <w:p w14:paraId="03955038">
      <w:pPr>
        <w:pStyle w:val="42"/>
        <w:tabs>
          <w:tab w:val="center" w:pos="709"/>
        </w:tabs>
        <w:rPr>
          <w:rFonts w:hint="eastAsia" w:hAnsi="宋体"/>
          <w:color w:val="000000" w:themeColor="text1"/>
        </w:rPr>
      </w:pPr>
      <w:r>
        <w:rPr>
          <w:rFonts w:hAnsi="宋体"/>
          <w:color w:val="000000" w:themeColor="text1"/>
        </w:rPr>
        <w:t>发生稳进树冠火时，火焰长度宜按林分平均树高的 2.5 倍估算。</w:t>
      </w:r>
    </w:p>
    <w:p w14:paraId="12331491">
      <w:pPr>
        <w:pStyle w:val="75"/>
        <w:spacing w:before="156" w:after="156"/>
        <w:ind w:left="0"/>
        <w:rPr>
          <w:rFonts w:ascii="Times New Roman" w:hAnsi="Times New Roman"/>
          <w:color w:val="000000" w:themeColor="text1"/>
        </w:rPr>
      </w:pPr>
      <w:bookmarkStart w:id="147" w:name="_Toc236687296"/>
      <w:r>
        <w:rPr>
          <w:rFonts w:hint="eastAsia" w:ascii="Times New Roman" w:hAnsi="Times New Roman"/>
          <w:color w:val="000000" w:themeColor="text1"/>
        </w:rPr>
        <w:t>脆弱性</w:t>
      </w:r>
      <w:r>
        <w:rPr>
          <w:rFonts w:ascii="Times New Roman" w:hAnsi="Times New Roman"/>
          <w:color w:val="000000" w:themeColor="text1"/>
        </w:rPr>
        <w:t>计算</w:t>
      </w:r>
      <w:bookmarkEnd w:id="147"/>
    </w:p>
    <w:p w14:paraId="4CA8B632">
      <w:pPr>
        <w:pStyle w:val="42"/>
        <w:tabs>
          <w:tab w:val="center" w:pos="709"/>
        </w:tabs>
        <w:rPr>
          <w:rFonts w:hint="eastAsia" w:hAnsi="宋体"/>
          <w:color w:val="000000" w:themeColor="text1"/>
        </w:rPr>
      </w:pPr>
      <w:r>
        <w:rPr>
          <w:rFonts w:hAnsi="宋体"/>
          <w:color w:val="000000" w:themeColor="text1"/>
        </w:rPr>
        <w:t>脆弱性应根据人员、资源和资产的类型分别确定响应函数或分级赋值。对于植被对象，宜根据火强度、火焰长度和植被类型确定影响值，影响值范围为 -100%～100%。正值表示适度火干扰产生的正向生态效应，负值表示植被结构破坏、死亡或生态服务受损。</w:t>
      </w:r>
    </w:p>
    <w:p w14:paraId="7F628CDA">
      <w:pPr>
        <w:pStyle w:val="42"/>
        <w:tabs>
          <w:tab w:val="center" w:pos="709"/>
        </w:tabs>
        <w:rPr>
          <w:rFonts w:hint="eastAsia" w:hAnsi="宋体"/>
          <w:color w:val="000000" w:themeColor="text1"/>
        </w:rPr>
      </w:pPr>
      <w:r>
        <w:rPr>
          <w:rFonts w:hAnsi="宋体"/>
          <w:color w:val="000000" w:themeColor="text1"/>
        </w:rPr>
        <w:t>火强度对植被影响值宜按表</w:t>
      </w:r>
      <w:r>
        <w:rPr>
          <w:rFonts w:hint="eastAsia" w:hAnsi="宋体"/>
          <w:color w:val="000000" w:themeColor="text1"/>
        </w:rPr>
        <w:t>3</w:t>
      </w:r>
      <w:r>
        <w:rPr>
          <w:rFonts w:hAnsi="宋体"/>
          <w:color w:val="000000" w:themeColor="text1"/>
        </w:rPr>
        <w:t>确定。</w:t>
      </w:r>
    </w:p>
    <w:p w14:paraId="02C28E98">
      <w:pPr>
        <w:pStyle w:val="7"/>
        <w:spacing w:before="156" w:beforeLines="50" w:after="156" w:afterLines="50"/>
        <w:jc w:val="center"/>
        <w:rPr>
          <w:rFonts w:hint="eastAsia" w:ascii="黑体" w:hAnsi="黑体"/>
          <w:color w:val="000000"/>
          <w:sz w:val="21"/>
          <w:szCs w:val="21"/>
        </w:rPr>
      </w:pPr>
      <w:r>
        <w:rPr>
          <w:rFonts w:ascii="黑体" w:hAnsi="黑体"/>
          <w:color w:val="000000"/>
          <w:sz w:val="21"/>
          <w:szCs w:val="21"/>
        </w:rPr>
        <w:t>表3 火强度对不同植被类型的影响赋值</w:t>
      </w:r>
    </w:p>
    <w:tbl>
      <w:tblPr>
        <w:tblStyle w:val="23"/>
        <w:tblW w:w="487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519"/>
        <w:gridCol w:w="1985"/>
        <w:gridCol w:w="992"/>
        <w:gridCol w:w="3825"/>
      </w:tblGrid>
      <w:tr w14:paraId="0243D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351" w:type="pct"/>
            <w:tcBorders>
              <w:top w:val="single" w:color="auto" w:sz="12" w:space="0"/>
              <w:bottom w:val="single" w:color="auto" w:sz="12" w:space="0"/>
            </w:tcBorders>
            <w:vAlign w:val="center"/>
          </w:tcPr>
          <w:p w14:paraId="3FBDF798">
            <w:pPr>
              <w:adjustRightInd w:val="0"/>
              <w:snapToGrid w:val="0"/>
              <w:spacing w:line="276" w:lineRule="auto"/>
              <w:jc w:val="center"/>
              <w:rPr>
                <w:rFonts w:eastAsia="微软雅黑"/>
                <w:color w:val="000000" w:themeColor="text1"/>
                <w:sz w:val="18"/>
                <w:szCs w:val="18"/>
              </w:rPr>
            </w:pPr>
            <w:r>
              <w:rPr>
                <w:rFonts w:eastAsia="微软雅黑"/>
                <w:color w:val="000000" w:themeColor="text1"/>
                <w:sz w:val="18"/>
                <w:szCs w:val="18"/>
              </w:rPr>
              <w:t>火强度</w:t>
            </w:r>
          </w:p>
        </w:tc>
        <w:tc>
          <w:tcPr>
            <w:tcW w:w="1065" w:type="pct"/>
            <w:tcBorders>
              <w:top w:val="single" w:color="auto" w:sz="12" w:space="0"/>
              <w:bottom w:val="single" w:color="auto" w:sz="12" w:space="0"/>
            </w:tcBorders>
            <w:vAlign w:val="center"/>
          </w:tcPr>
          <w:p w14:paraId="528E5DF8">
            <w:pPr>
              <w:adjustRightInd w:val="0"/>
              <w:snapToGrid w:val="0"/>
              <w:spacing w:line="276" w:lineRule="auto"/>
              <w:jc w:val="center"/>
              <w:rPr>
                <w:rFonts w:eastAsia="微软雅黑"/>
                <w:color w:val="000000" w:themeColor="text1"/>
                <w:sz w:val="18"/>
                <w:szCs w:val="18"/>
              </w:rPr>
            </w:pPr>
            <w:r>
              <w:rPr>
                <w:rFonts w:eastAsia="微软雅黑"/>
                <w:color w:val="000000" w:themeColor="text1"/>
                <w:sz w:val="18"/>
                <w:szCs w:val="18"/>
              </w:rPr>
              <w:t>植被类型</w:t>
            </w:r>
          </w:p>
        </w:tc>
        <w:tc>
          <w:tcPr>
            <w:tcW w:w="532" w:type="pct"/>
            <w:tcBorders>
              <w:top w:val="single" w:color="auto" w:sz="12" w:space="0"/>
              <w:bottom w:val="single" w:color="000000" w:sz="4" w:space="0"/>
            </w:tcBorders>
            <w:vAlign w:val="center"/>
          </w:tcPr>
          <w:p w14:paraId="3AB7D76C">
            <w:pPr>
              <w:adjustRightInd w:val="0"/>
              <w:snapToGrid w:val="0"/>
              <w:spacing w:line="276" w:lineRule="auto"/>
              <w:jc w:val="center"/>
              <w:rPr>
                <w:rFonts w:eastAsia="微软雅黑"/>
                <w:color w:val="000000" w:themeColor="text1"/>
                <w:sz w:val="18"/>
                <w:szCs w:val="18"/>
              </w:rPr>
            </w:pPr>
            <w:r>
              <w:rPr>
                <w:rFonts w:eastAsia="微软雅黑"/>
                <w:color w:val="000000" w:themeColor="text1"/>
                <w:sz w:val="18"/>
                <w:szCs w:val="18"/>
              </w:rPr>
              <w:t>影响值</w:t>
            </w:r>
          </w:p>
        </w:tc>
        <w:tc>
          <w:tcPr>
            <w:tcW w:w="2052" w:type="pct"/>
            <w:tcBorders>
              <w:top w:val="single" w:color="auto" w:sz="12" w:space="0"/>
              <w:bottom w:val="single" w:color="000000" w:sz="4" w:space="0"/>
            </w:tcBorders>
            <w:vAlign w:val="center"/>
          </w:tcPr>
          <w:p w14:paraId="39D02C64">
            <w:pPr>
              <w:adjustRightInd w:val="0"/>
              <w:snapToGrid w:val="0"/>
              <w:spacing w:line="276" w:lineRule="auto"/>
              <w:jc w:val="center"/>
              <w:rPr>
                <w:rFonts w:eastAsia="微软雅黑"/>
                <w:color w:val="000000" w:themeColor="text1"/>
                <w:sz w:val="18"/>
                <w:szCs w:val="18"/>
              </w:rPr>
            </w:pPr>
            <w:r>
              <w:rPr>
                <w:rFonts w:eastAsia="微软雅黑"/>
                <w:color w:val="000000" w:themeColor="text1"/>
                <w:sz w:val="18"/>
                <w:szCs w:val="18"/>
              </w:rPr>
              <w:t>影响说明</w:t>
            </w:r>
          </w:p>
        </w:tc>
      </w:tr>
      <w:tr w14:paraId="67F528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351" w:type="pct"/>
            <w:vMerge w:val="restart"/>
            <w:tcBorders>
              <w:top w:val="single" w:color="auto" w:sz="12" w:space="0"/>
            </w:tcBorders>
            <w:vAlign w:val="center"/>
          </w:tcPr>
          <w:p w14:paraId="7E97D0A7">
            <w:pPr>
              <w:adjustRightInd w:val="0"/>
              <w:snapToGrid w:val="0"/>
              <w:spacing w:line="276" w:lineRule="auto"/>
              <w:jc w:val="center"/>
              <w:rPr>
                <w:color w:val="000000" w:themeColor="text1"/>
                <w:sz w:val="18"/>
                <w:szCs w:val="18"/>
              </w:rPr>
            </w:pPr>
            <w:r>
              <w:rPr>
                <w:color w:val="000000" w:themeColor="text1"/>
                <w:sz w:val="18"/>
                <w:szCs w:val="18"/>
              </w:rPr>
              <w:t>低强度（&lt;500 kW/m）</w:t>
            </w:r>
          </w:p>
        </w:tc>
        <w:tc>
          <w:tcPr>
            <w:tcW w:w="1065" w:type="pct"/>
            <w:tcBorders>
              <w:top w:val="single" w:color="auto" w:sz="12" w:space="0"/>
            </w:tcBorders>
            <w:vAlign w:val="center"/>
          </w:tcPr>
          <w:p w14:paraId="4562E02C">
            <w:pPr>
              <w:adjustRightInd w:val="0"/>
              <w:snapToGrid w:val="0"/>
              <w:spacing w:line="276" w:lineRule="auto"/>
              <w:jc w:val="center"/>
              <w:rPr>
                <w:color w:val="000000" w:themeColor="text1"/>
                <w:sz w:val="18"/>
                <w:szCs w:val="18"/>
              </w:rPr>
            </w:pPr>
            <w:r>
              <w:rPr>
                <w:color w:val="000000" w:themeColor="text1"/>
                <w:sz w:val="18"/>
                <w:szCs w:val="18"/>
              </w:rPr>
              <w:t>灌木</w:t>
            </w:r>
          </w:p>
        </w:tc>
        <w:tc>
          <w:tcPr>
            <w:tcW w:w="532" w:type="pct"/>
            <w:tcBorders>
              <w:top w:val="single" w:color="auto" w:sz="12" w:space="0"/>
            </w:tcBorders>
            <w:vAlign w:val="center"/>
          </w:tcPr>
          <w:p w14:paraId="7D3EC981">
            <w:pPr>
              <w:adjustRightInd w:val="0"/>
              <w:snapToGrid w:val="0"/>
              <w:spacing w:line="276" w:lineRule="auto"/>
              <w:jc w:val="center"/>
              <w:rPr>
                <w:color w:val="000000" w:themeColor="text1"/>
                <w:sz w:val="18"/>
                <w:szCs w:val="18"/>
              </w:rPr>
            </w:pPr>
            <w:r>
              <w:rPr>
                <w:color w:val="000000" w:themeColor="text1"/>
                <w:sz w:val="18"/>
                <w:szCs w:val="18"/>
              </w:rPr>
              <w:t>-20%</w:t>
            </w:r>
          </w:p>
        </w:tc>
        <w:tc>
          <w:tcPr>
            <w:tcW w:w="2052" w:type="pct"/>
            <w:tcBorders>
              <w:top w:val="single" w:color="auto" w:sz="12" w:space="0"/>
              <w:bottom w:val="single" w:color="000000" w:sz="4" w:space="0"/>
            </w:tcBorders>
            <w:vAlign w:val="center"/>
          </w:tcPr>
          <w:p w14:paraId="6CC54BAD">
            <w:pPr>
              <w:adjustRightInd w:val="0"/>
              <w:snapToGrid w:val="0"/>
              <w:spacing w:line="276" w:lineRule="auto"/>
              <w:jc w:val="center"/>
              <w:rPr>
                <w:color w:val="000000" w:themeColor="text1"/>
                <w:sz w:val="18"/>
                <w:szCs w:val="18"/>
              </w:rPr>
            </w:pPr>
            <w:r>
              <w:rPr>
                <w:color w:val="000000" w:themeColor="text1"/>
                <w:sz w:val="18"/>
                <w:szCs w:val="18"/>
              </w:rPr>
              <w:t>降低灌木载量及其多样性</w:t>
            </w:r>
          </w:p>
        </w:tc>
      </w:tr>
      <w:tr w14:paraId="662521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1" w:type="pct"/>
            <w:vMerge w:val="continue"/>
            <w:vAlign w:val="center"/>
          </w:tcPr>
          <w:p w14:paraId="43294629">
            <w:pPr>
              <w:adjustRightInd w:val="0"/>
              <w:snapToGrid w:val="0"/>
              <w:spacing w:line="276" w:lineRule="auto"/>
              <w:jc w:val="center"/>
              <w:rPr>
                <w:rFonts w:hint="eastAsia" w:ascii="宋体" w:hAnsi="宋体"/>
                <w:color w:val="000000" w:themeColor="text1"/>
                <w:sz w:val="18"/>
                <w:szCs w:val="18"/>
              </w:rPr>
            </w:pPr>
          </w:p>
        </w:tc>
        <w:tc>
          <w:tcPr>
            <w:tcW w:w="1065" w:type="pct"/>
            <w:tcBorders>
              <w:bottom w:val="single" w:color="auto" w:sz="4" w:space="0"/>
            </w:tcBorders>
            <w:vAlign w:val="center"/>
          </w:tcPr>
          <w:p w14:paraId="3040E0D3">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落叶阔叶林</w:t>
            </w:r>
          </w:p>
        </w:tc>
        <w:tc>
          <w:tcPr>
            <w:tcW w:w="532" w:type="pct"/>
            <w:tcBorders>
              <w:bottom w:val="single" w:color="auto" w:sz="4" w:space="0"/>
            </w:tcBorders>
            <w:vAlign w:val="center"/>
          </w:tcPr>
          <w:p w14:paraId="43FDCC47">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30%</w:t>
            </w:r>
          </w:p>
        </w:tc>
        <w:tc>
          <w:tcPr>
            <w:tcW w:w="2052" w:type="pct"/>
            <w:vMerge w:val="restart"/>
            <w:tcBorders>
              <w:top w:val="single" w:color="000000" w:sz="4" w:space="0"/>
            </w:tcBorders>
            <w:vAlign w:val="center"/>
          </w:tcPr>
          <w:p w14:paraId="7A92A086">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清理林内可燃物、加快生态系统能量流动</w:t>
            </w:r>
          </w:p>
        </w:tc>
      </w:tr>
      <w:tr w14:paraId="69165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351" w:type="pct"/>
            <w:vMerge w:val="continue"/>
            <w:vAlign w:val="center"/>
          </w:tcPr>
          <w:p w14:paraId="7963B7C1">
            <w:pPr>
              <w:adjustRightInd w:val="0"/>
              <w:snapToGrid w:val="0"/>
              <w:spacing w:line="276" w:lineRule="auto"/>
              <w:jc w:val="center"/>
              <w:rPr>
                <w:color w:val="000000" w:themeColor="text1"/>
                <w:sz w:val="18"/>
                <w:szCs w:val="18"/>
              </w:rPr>
            </w:pPr>
          </w:p>
        </w:tc>
        <w:tc>
          <w:tcPr>
            <w:tcW w:w="1065" w:type="pct"/>
            <w:tcBorders>
              <w:bottom w:val="single" w:color="auto" w:sz="4" w:space="0"/>
            </w:tcBorders>
            <w:vAlign w:val="center"/>
          </w:tcPr>
          <w:p w14:paraId="24D34D70">
            <w:pPr>
              <w:adjustRightInd w:val="0"/>
              <w:snapToGrid w:val="0"/>
              <w:spacing w:line="276" w:lineRule="auto"/>
              <w:jc w:val="center"/>
              <w:rPr>
                <w:color w:val="000000" w:themeColor="text1"/>
                <w:sz w:val="18"/>
                <w:szCs w:val="18"/>
              </w:rPr>
            </w:pPr>
            <w:r>
              <w:rPr>
                <w:color w:val="000000" w:themeColor="text1"/>
                <w:sz w:val="18"/>
                <w:szCs w:val="18"/>
              </w:rPr>
              <w:t>针阔混交林</w:t>
            </w:r>
          </w:p>
        </w:tc>
        <w:tc>
          <w:tcPr>
            <w:tcW w:w="532" w:type="pct"/>
            <w:tcBorders>
              <w:bottom w:val="single" w:color="auto" w:sz="4" w:space="0"/>
            </w:tcBorders>
            <w:vAlign w:val="center"/>
          </w:tcPr>
          <w:p w14:paraId="594E929C">
            <w:pPr>
              <w:adjustRightInd w:val="0"/>
              <w:snapToGrid w:val="0"/>
              <w:spacing w:line="276" w:lineRule="auto"/>
              <w:jc w:val="center"/>
              <w:rPr>
                <w:color w:val="000000" w:themeColor="text1"/>
                <w:sz w:val="18"/>
                <w:szCs w:val="18"/>
              </w:rPr>
            </w:pPr>
            <w:r>
              <w:rPr>
                <w:color w:val="000000" w:themeColor="text1"/>
                <w:sz w:val="18"/>
                <w:szCs w:val="18"/>
              </w:rPr>
              <w:t>20%</w:t>
            </w:r>
          </w:p>
        </w:tc>
        <w:tc>
          <w:tcPr>
            <w:tcW w:w="2052" w:type="pct"/>
            <w:vMerge w:val="continue"/>
            <w:vAlign w:val="center"/>
          </w:tcPr>
          <w:p w14:paraId="365B569B">
            <w:pPr>
              <w:adjustRightInd w:val="0"/>
              <w:snapToGrid w:val="0"/>
              <w:spacing w:line="276" w:lineRule="auto"/>
              <w:jc w:val="center"/>
              <w:rPr>
                <w:color w:val="000000" w:themeColor="text1"/>
                <w:sz w:val="18"/>
                <w:szCs w:val="18"/>
              </w:rPr>
            </w:pPr>
          </w:p>
        </w:tc>
      </w:tr>
      <w:tr w14:paraId="2C187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351" w:type="pct"/>
            <w:vMerge w:val="continue"/>
            <w:vAlign w:val="center"/>
          </w:tcPr>
          <w:p w14:paraId="3CA9F318">
            <w:pPr>
              <w:adjustRightInd w:val="0"/>
              <w:snapToGrid w:val="0"/>
              <w:spacing w:line="276" w:lineRule="auto"/>
              <w:jc w:val="center"/>
              <w:rPr>
                <w:color w:val="000000" w:themeColor="text1"/>
                <w:sz w:val="18"/>
                <w:szCs w:val="18"/>
              </w:rPr>
            </w:pPr>
          </w:p>
        </w:tc>
        <w:tc>
          <w:tcPr>
            <w:tcW w:w="1065" w:type="pct"/>
            <w:tcBorders>
              <w:bottom w:val="single" w:color="auto" w:sz="4" w:space="0"/>
            </w:tcBorders>
            <w:vAlign w:val="center"/>
          </w:tcPr>
          <w:p w14:paraId="46DEA022">
            <w:pPr>
              <w:adjustRightInd w:val="0"/>
              <w:snapToGrid w:val="0"/>
              <w:spacing w:line="276" w:lineRule="auto"/>
              <w:jc w:val="center"/>
              <w:rPr>
                <w:color w:val="000000" w:themeColor="text1"/>
                <w:sz w:val="18"/>
                <w:szCs w:val="18"/>
              </w:rPr>
            </w:pPr>
            <w:r>
              <w:rPr>
                <w:color w:val="000000" w:themeColor="text1"/>
                <w:sz w:val="18"/>
                <w:szCs w:val="18"/>
              </w:rPr>
              <w:t>针叶林</w:t>
            </w:r>
          </w:p>
        </w:tc>
        <w:tc>
          <w:tcPr>
            <w:tcW w:w="532" w:type="pct"/>
            <w:tcBorders>
              <w:bottom w:val="single" w:color="auto" w:sz="4" w:space="0"/>
            </w:tcBorders>
            <w:vAlign w:val="center"/>
          </w:tcPr>
          <w:p w14:paraId="65B200E1">
            <w:pPr>
              <w:adjustRightInd w:val="0"/>
              <w:snapToGrid w:val="0"/>
              <w:spacing w:line="276" w:lineRule="auto"/>
              <w:jc w:val="center"/>
              <w:rPr>
                <w:color w:val="000000" w:themeColor="text1"/>
                <w:sz w:val="18"/>
                <w:szCs w:val="18"/>
              </w:rPr>
            </w:pPr>
            <w:r>
              <w:rPr>
                <w:color w:val="000000" w:themeColor="text1"/>
                <w:sz w:val="18"/>
                <w:szCs w:val="18"/>
              </w:rPr>
              <w:t>20%</w:t>
            </w:r>
          </w:p>
        </w:tc>
        <w:tc>
          <w:tcPr>
            <w:tcW w:w="2052" w:type="pct"/>
            <w:vMerge w:val="continue"/>
            <w:tcBorders>
              <w:bottom w:val="single" w:color="auto" w:sz="4" w:space="0"/>
            </w:tcBorders>
            <w:vAlign w:val="center"/>
          </w:tcPr>
          <w:p w14:paraId="78D8B158">
            <w:pPr>
              <w:adjustRightInd w:val="0"/>
              <w:snapToGrid w:val="0"/>
              <w:spacing w:line="276" w:lineRule="auto"/>
              <w:jc w:val="center"/>
              <w:rPr>
                <w:color w:val="000000" w:themeColor="text1"/>
                <w:sz w:val="18"/>
                <w:szCs w:val="18"/>
              </w:rPr>
            </w:pPr>
          </w:p>
        </w:tc>
      </w:tr>
      <w:tr w14:paraId="3BC3B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351" w:type="pct"/>
            <w:vMerge w:val="restart"/>
            <w:vAlign w:val="center"/>
          </w:tcPr>
          <w:p w14:paraId="275E357F">
            <w:pPr>
              <w:adjustRightInd w:val="0"/>
              <w:snapToGrid w:val="0"/>
              <w:spacing w:line="276" w:lineRule="auto"/>
              <w:jc w:val="center"/>
              <w:rPr>
                <w:color w:val="000000" w:themeColor="text1"/>
                <w:sz w:val="18"/>
                <w:szCs w:val="18"/>
              </w:rPr>
            </w:pPr>
            <w:r>
              <w:rPr>
                <w:color w:val="000000" w:themeColor="text1"/>
                <w:sz w:val="18"/>
                <w:szCs w:val="18"/>
              </w:rPr>
              <w:t>中强度（500～2000 kW/m）</w:t>
            </w:r>
          </w:p>
        </w:tc>
        <w:tc>
          <w:tcPr>
            <w:tcW w:w="1065" w:type="pct"/>
            <w:tcBorders>
              <w:bottom w:val="single" w:color="auto" w:sz="4" w:space="0"/>
            </w:tcBorders>
            <w:vAlign w:val="center"/>
          </w:tcPr>
          <w:p w14:paraId="31C16871">
            <w:pPr>
              <w:adjustRightInd w:val="0"/>
              <w:snapToGrid w:val="0"/>
              <w:spacing w:line="276" w:lineRule="auto"/>
              <w:jc w:val="center"/>
              <w:rPr>
                <w:color w:val="000000" w:themeColor="text1"/>
                <w:sz w:val="18"/>
                <w:szCs w:val="18"/>
              </w:rPr>
            </w:pPr>
            <w:r>
              <w:rPr>
                <w:color w:val="000000" w:themeColor="text1"/>
                <w:sz w:val="18"/>
                <w:szCs w:val="18"/>
              </w:rPr>
              <w:t>灌木</w:t>
            </w:r>
          </w:p>
        </w:tc>
        <w:tc>
          <w:tcPr>
            <w:tcW w:w="532" w:type="pct"/>
            <w:tcBorders>
              <w:bottom w:val="single" w:color="auto" w:sz="4" w:space="0"/>
            </w:tcBorders>
            <w:vAlign w:val="center"/>
          </w:tcPr>
          <w:p w14:paraId="63D08E31">
            <w:pPr>
              <w:adjustRightInd w:val="0"/>
              <w:snapToGrid w:val="0"/>
              <w:spacing w:line="276" w:lineRule="auto"/>
              <w:jc w:val="center"/>
              <w:rPr>
                <w:color w:val="000000" w:themeColor="text1"/>
                <w:sz w:val="18"/>
                <w:szCs w:val="18"/>
              </w:rPr>
            </w:pPr>
            <w:r>
              <w:rPr>
                <w:color w:val="000000" w:themeColor="text1"/>
                <w:sz w:val="18"/>
                <w:szCs w:val="18"/>
              </w:rPr>
              <w:t>-70%</w:t>
            </w:r>
          </w:p>
        </w:tc>
        <w:tc>
          <w:tcPr>
            <w:tcW w:w="2052" w:type="pct"/>
            <w:vMerge w:val="restart"/>
            <w:vAlign w:val="center"/>
          </w:tcPr>
          <w:p w14:paraId="52EBD128">
            <w:pPr>
              <w:adjustRightInd w:val="0"/>
              <w:snapToGrid w:val="0"/>
              <w:spacing w:line="276" w:lineRule="auto"/>
              <w:jc w:val="center"/>
              <w:rPr>
                <w:color w:val="000000" w:themeColor="text1"/>
                <w:sz w:val="18"/>
                <w:szCs w:val="18"/>
              </w:rPr>
            </w:pPr>
            <w:r>
              <w:rPr>
                <w:color w:val="000000" w:themeColor="text1"/>
                <w:sz w:val="18"/>
                <w:szCs w:val="18"/>
              </w:rPr>
              <w:t>释放能量导致植被受损或死亡</w:t>
            </w:r>
          </w:p>
        </w:tc>
      </w:tr>
      <w:tr w14:paraId="1371A8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351" w:type="pct"/>
            <w:vMerge w:val="continue"/>
            <w:vAlign w:val="center"/>
          </w:tcPr>
          <w:p w14:paraId="4706AA38">
            <w:pPr>
              <w:adjustRightInd w:val="0"/>
              <w:snapToGrid w:val="0"/>
              <w:spacing w:line="276" w:lineRule="auto"/>
              <w:jc w:val="center"/>
              <w:rPr>
                <w:color w:val="000000" w:themeColor="text1"/>
                <w:sz w:val="18"/>
                <w:szCs w:val="18"/>
              </w:rPr>
            </w:pPr>
          </w:p>
        </w:tc>
        <w:tc>
          <w:tcPr>
            <w:tcW w:w="1065" w:type="pct"/>
            <w:tcBorders>
              <w:bottom w:val="single" w:color="auto" w:sz="4" w:space="0"/>
            </w:tcBorders>
            <w:vAlign w:val="center"/>
          </w:tcPr>
          <w:p w14:paraId="21439FA6">
            <w:pPr>
              <w:adjustRightInd w:val="0"/>
              <w:snapToGrid w:val="0"/>
              <w:spacing w:line="276" w:lineRule="auto"/>
              <w:jc w:val="center"/>
              <w:rPr>
                <w:color w:val="000000" w:themeColor="text1"/>
                <w:sz w:val="18"/>
                <w:szCs w:val="18"/>
              </w:rPr>
            </w:pPr>
            <w:r>
              <w:rPr>
                <w:color w:val="000000" w:themeColor="text1"/>
                <w:sz w:val="18"/>
                <w:szCs w:val="18"/>
              </w:rPr>
              <w:t>落叶阔叶林</w:t>
            </w:r>
          </w:p>
        </w:tc>
        <w:tc>
          <w:tcPr>
            <w:tcW w:w="532" w:type="pct"/>
            <w:tcBorders>
              <w:bottom w:val="single" w:color="auto" w:sz="4" w:space="0"/>
            </w:tcBorders>
            <w:vAlign w:val="center"/>
          </w:tcPr>
          <w:p w14:paraId="3A50762D">
            <w:pPr>
              <w:adjustRightInd w:val="0"/>
              <w:snapToGrid w:val="0"/>
              <w:spacing w:line="276" w:lineRule="auto"/>
              <w:jc w:val="center"/>
              <w:rPr>
                <w:color w:val="000000" w:themeColor="text1"/>
                <w:sz w:val="18"/>
                <w:szCs w:val="18"/>
              </w:rPr>
            </w:pPr>
            <w:r>
              <w:rPr>
                <w:color w:val="000000" w:themeColor="text1"/>
                <w:sz w:val="18"/>
                <w:szCs w:val="18"/>
              </w:rPr>
              <w:t>-20%</w:t>
            </w:r>
          </w:p>
        </w:tc>
        <w:tc>
          <w:tcPr>
            <w:tcW w:w="2052" w:type="pct"/>
            <w:vMerge w:val="continue"/>
            <w:vAlign w:val="center"/>
          </w:tcPr>
          <w:p w14:paraId="3BD27224">
            <w:pPr>
              <w:adjustRightInd w:val="0"/>
              <w:snapToGrid w:val="0"/>
              <w:spacing w:line="276" w:lineRule="auto"/>
              <w:jc w:val="center"/>
              <w:rPr>
                <w:color w:val="000000" w:themeColor="text1"/>
                <w:sz w:val="18"/>
                <w:szCs w:val="18"/>
              </w:rPr>
            </w:pPr>
          </w:p>
        </w:tc>
      </w:tr>
      <w:tr w14:paraId="72CE7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351" w:type="pct"/>
            <w:vMerge w:val="continue"/>
            <w:vAlign w:val="center"/>
          </w:tcPr>
          <w:p w14:paraId="3987D529">
            <w:pPr>
              <w:adjustRightInd w:val="0"/>
              <w:snapToGrid w:val="0"/>
              <w:spacing w:line="276" w:lineRule="auto"/>
              <w:jc w:val="center"/>
              <w:rPr>
                <w:rFonts w:hint="eastAsia" w:ascii="宋体" w:hAnsi="宋体"/>
                <w:color w:val="000000" w:themeColor="text1"/>
                <w:sz w:val="18"/>
                <w:szCs w:val="18"/>
              </w:rPr>
            </w:pPr>
          </w:p>
        </w:tc>
        <w:tc>
          <w:tcPr>
            <w:tcW w:w="1065" w:type="pct"/>
            <w:tcBorders>
              <w:bottom w:val="single" w:color="auto" w:sz="4" w:space="0"/>
            </w:tcBorders>
            <w:vAlign w:val="center"/>
          </w:tcPr>
          <w:p w14:paraId="216E23B0">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针阔混交林</w:t>
            </w:r>
          </w:p>
        </w:tc>
        <w:tc>
          <w:tcPr>
            <w:tcW w:w="532" w:type="pct"/>
            <w:tcBorders>
              <w:bottom w:val="single" w:color="auto" w:sz="4" w:space="0"/>
            </w:tcBorders>
            <w:vAlign w:val="center"/>
          </w:tcPr>
          <w:p w14:paraId="195BD3C8">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-30%</w:t>
            </w:r>
          </w:p>
        </w:tc>
        <w:tc>
          <w:tcPr>
            <w:tcW w:w="2052" w:type="pct"/>
            <w:vMerge w:val="continue"/>
            <w:vAlign w:val="center"/>
          </w:tcPr>
          <w:p w14:paraId="72D86603">
            <w:pPr>
              <w:adjustRightInd w:val="0"/>
              <w:snapToGrid w:val="0"/>
              <w:spacing w:line="276" w:lineRule="auto"/>
              <w:jc w:val="center"/>
              <w:rPr>
                <w:rFonts w:hint="eastAsia" w:ascii="宋体" w:hAnsi="宋体"/>
                <w:color w:val="000000" w:themeColor="text1"/>
                <w:sz w:val="18"/>
                <w:szCs w:val="18"/>
              </w:rPr>
            </w:pPr>
          </w:p>
        </w:tc>
      </w:tr>
      <w:tr w14:paraId="76C7AC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351" w:type="pct"/>
            <w:vMerge w:val="continue"/>
            <w:tcBorders>
              <w:bottom w:val="single" w:color="auto" w:sz="4" w:space="0"/>
            </w:tcBorders>
            <w:vAlign w:val="center"/>
          </w:tcPr>
          <w:p w14:paraId="74BC292A">
            <w:pPr>
              <w:adjustRightInd w:val="0"/>
              <w:snapToGrid w:val="0"/>
              <w:spacing w:line="276" w:lineRule="auto"/>
              <w:jc w:val="center"/>
              <w:rPr>
                <w:rFonts w:hint="eastAsia" w:ascii="宋体" w:hAnsi="宋体"/>
                <w:color w:val="000000" w:themeColor="text1"/>
                <w:sz w:val="18"/>
                <w:szCs w:val="18"/>
              </w:rPr>
            </w:pPr>
          </w:p>
        </w:tc>
        <w:tc>
          <w:tcPr>
            <w:tcW w:w="1065" w:type="pct"/>
            <w:tcBorders>
              <w:bottom w:val="single" w:color="auto" w:sz="4" w:space="0"/>
            </w:tcBorders>
            <w:vAlign w:val="center"/>
          </w:tcPr>
          <w:p w14:paraId="7486902B">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针叶林</w:t>
            </w:r>
          </w:p>
        </w:tc>
        <w:tc>
          <w:tcPr>
            <w:tcW w:w="532" w:type="pct"/>
            <w:tcBorders>
              <w:bottom w:val="single" w:color="auto" w:sz="4" w:space="0"/>
            </w:tcBorders>
            <w:vAlign w:val="center"/>
          </w:tcPr>
          <w:p w14:paraId="6955AA25">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-50%</w:t>
            </w:r>
          </w:p>
        </w:tc>
        <w:tc>
          <w:tcPr>
            <w:tcW w:w="2052" w:type="pct"/>
            <w:vMerge w:val="continue"/>
            <w:tcBorders>
              <w:bottom w:val="single" w:color="auto" w:sz="4" w:space="0"/>
            </w:tcBorders>
            <w:vAlign w:val="center"/>
          </w:tcPr>
          <w:p w14:paraId="166D3645">
            <w:pPr>
              <w:adjustRightInd w:val="0"/>
              <w:snapToGrid w:val="0"/>
              <w:spacing w:line="276" w:lineRule="auto"/>
              <w:jc w:val="center"/>
              <w:rPr>
                <w:rFonts w:hint="eastAsia" w:ascii="宋体" w:hAnsi="宋体"/>
                <w:color w:val="000000" w:themeColor="text1"/>
                <w:sz w:val="18"/>
                <w:szCs w:val="18"/>
              </w:rPr>
            </w:pPr>
          </w:p>
        </w:tc>
      </w:tr>
      <w:tr w14:paraId="2E0115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351" w:type="pct"/>
            <w:vMerge w:val="restart"/>
            <w:vAlign w:val="center"/>
          </w:tcPr>
          <w:p w14:paraId="0C2642A2">
            <w:pPr>
              <w:adjustRightInd w:val="0"/>
              <w:snapToGrid w:val="0"/>
              <w:spacing w:line="276" w:lineRule="auto"/>
              <w:jc w:val="center"/>
              <w:rPr>
                <w:color w:val="000000" w:themeColor="text1"/>
                <w:sz w:val="18"/>
                <w:szCs w:val="18"/>
              </w:rPr>
            </w:pPr>
            <w:r>
              <w:rPr>
                <w:color w:val="000000" w:themeColor="text1"/>
                <w:sz w:val="18"/>
                <w:szCs w:val="18"/>
              </w:rPr>
              <w:t>高强度（&gt;2000 kW/m）</w:t>
            </w:r>
          </w:p>
        </w:tc>
        <w:tc>
          <w:tcPr>
            <w:tcW w:w="1065" w:type="pct"/>
            <w:tcBorders>
              <w:bottom w:val="single" w:color="auto" w:sz="4" w:space="0"/>
            </w:tcBorders>
            <w:vAlign w:val="center"/>
          </w:tcPr>
          <w:p w14:paraId="797272C0">
            <w:pPr>
              <w:adjustRightInd w:val="0"/>
              <w:snapToGrid w:val="0"/>
              <w:spacing w:line="276" w:lineRule="auto"/>
              <w:jc w:val="center"/>
              <w:rPr>
                <w:color w:val="000000" w:themeColor="text1"/>
                <w:sz w:val="18"/>
                <w:szCs w:val="18"/>
              </w:rPr>
            </w:pPr>
            <w:r>
              <w:rPr>
                <w:color w:val="000000" w:themeColor="text1"/>
                <w:sz w:val="18"/>
                <w:szCs w:val="18"/>
              </w:rPr>
              <w:t>灌木</w:t>
            </w:r>
          </w:p>
        </w:tc>
        <w:tc>
          <w:tcPr>
            <w:tcW w:w="532" w:type="pct"/>
            <w:tcBorders>
              <w:bottom w:val="single" w:color="auto" w:sz="4" w:space="0"/>
            </w:tcBorders>
            <w:vAlign w:val="center"/>
          </w:tcPr>
          <w:p w14:paraId="36A938E8">
            <w:pPr>
              <w:adjustRightInd w:val="0"/>
              <w:snapToGrid w:val="0"/>
              <w:spacing w:line="276" w:lineRule="auto"/>
              <w:jc w:val="center"/>
              <w:rPr>
                <w:color w:val="000000" w:themeColor="text1"/>
                <w:sz w:val="18"/>
                <w:szCs w:val="18"/>
              </w:rPr>
            </w:pPr>
            <w:r>
              <w:rPr>
                <w:color w:val="000000" w:themeColor="text1"/>
                <w:sz w:val="18"/>
                <w:szCs w:val="18"/>
              </w:rPr>
              <w:t>-90%</w:t>
            </w:r>
          </w:p>
        </w:tc>
        <w:tc>
          <w:tcPr>
            <w:tcW w:w="2052" w:type="pct"/>
            <w:vMerge w:val="restart"/>
            <w:vAlign w:val="center"/>
          </w:tcPr>
          <w:p w14:paraId="14F8F5F9">
            <w:pPr>
              <w:adjustRightInd w:val="0"/>
              <w:snapToGrid w:val="0"/>
              <w:spacing w:line="276" w:lineRule="auto"/>
              <w:jc w:val="center"/>
              <w:rPr>
                <w:color w:val="000000" w:themeColor="text1"/>
                <w:sz w:val="18"/>
                <w:szCs w:val="18"/>
              </w:rPr>
            </w:pPr>
            <w:r>
              <w:rPr>
                <w:color w:val="000000" w:themeColor="text1"/>
                <w:sz w:val="18"/>
                <w:szCs w:val="18"/>
              </w:rPr>
              <w:t>破坏植被结构并导致大面积死亡</w:t>
            </w:r>
          </w:p>
        </w:tc>
      </w:tr>
      <w:tr w14:paraId="1BE7F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351" w:type="pct"/>
            <w:vMerge w:val="continue"/>
            <w:vAlign w:val="center"/>
          </w:tcPr>
          <w:p w14:paraId="02E53A2A">
            <w:pPr>
              <w:adjustRightInd w:val="0"/>
              <w:snapToGrid w:val="0"/>
              <w:spacing w:line="276" w:lineRule="auto"/>
              <w:jc w:val="center"/>
              <w:rPr>
                <w:color w:val="000000" w:themeColor="text1"/>
                <w:sz w:val="18"/>
                <w:szCs w:val="18"/>
              </w:rPr>
            </w:pPr>
          </w:p>
        </w:tc>
        <w:tc>
          <w:tcPr>
            <w:tcW w:w="1065" w:type="pct"/>
            <w:tcBorders>
              <w:bottom w:val="single" w:color="auto" w:sz="4" w:space="0"/>
            </w:tcBorders>
            <w:vAlign w:val="center"/>
          </w:tcPr>
          <w:p w14:paraId="0845685B">
            <w:pPr>
              <w:adjustRightInd w:val="0"/>
              <w:snapToGrid w:val="0"/>
              <w:spacing w:line="276" w:lineRule="auto"/>
              <w:jc w:val="center"/>
              <w:rPr>
                <w:color w:val="000000" w:themeColor="text1"/>
                <w:sz w:val="18"/>
                <w:szCs w:val="18"/>
              </w:rPr>
            </w:pPr>
            <w:r>
              <w:rPr>
                <w:color w:val="000000" w:themeColor="text1"/>
                <w:sz w:val="18"/>
                <w:szCs w:val="18"/>
              </w:rPr>
              <w:t>落叶阔叶林</w:t>
            </w:r>
          </w:p>
        </w:tc>
        <w:tc>
          <w:tcPr>
            <w:tcW w:w="532" w:type="pct"/>
            <w:tcBorders>
              <w:bottom w:val="single" w:color="auto" w:sz="4" w:space="0"/>
            </w:tcBorders>
            <w:vAlign w:val="center"/>
          </w:tcPr>
          <w:p w14:paraId="69C131CA">
            <w:pPr>
              <w:adjustRightInd w:val="0"/>
              <w:snapToGrid w:val="0"/>
              <w:spacing w:line="276" w:lineRule="auto"/>
              <w:jc w:val="center"/>
              <w:rPr>
                <w:color w:val="000000" w:themeColor="text1"/>
                <w:sz w:val="18"/>
                <w:szCs w:val="18"/>
              </w:rPr>
            </w:pPr>
            <w:r>
              <w:rPr>
                <w:color w:val="000000" w:themeColor="text1"/>
                <w:sz w:val="18"/>
                <w:szCs w:val="18"/>
              </w:rPr>
              <w:t>-60%</w:t>
            </w:r>
          </w:p>
        </w:tc>
        <w:tc>
          <w:tcPr>
            <w:tcW w:w="2052" w:type="pct"/>
            <w:vMerge w:val="continue"/>
            <w:vAlign w:val="center"/>
          </w:tcPr>
          <w:p w14:paraId="339FFE35">
            <w:pPr>
              <w:adjustRightInd w:val="0"/>
              <w:snapToGrid w:val="0"/>
              <w:spacing w:line="276" w:lineRule="auto"/>
              <w:jc w:val="center"/>
              <w:rPr>
                <w:color w:val="000000" w:themeColor="text1"/>
                <w:sz w:val="18"/>
                <w:szCs w:val="18"/>
              </w:rPr>
            </w:pPr>
          </w:p>
        </w:tc>
      </w:tr>
      <w:tr w14:paraId="36E38E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51" w:type="pct"/>
            <w:vMerge w:val="continue"/>
            <w:vAlign w:val="center"/>
          </w:tcPr>
          <w:p w14:paraId="65434689">
            <w:pPr>
              <w:adjustRightInd w:val="0"/>
              <w:snapToGrid w:val="0"/>
              <w:spacing w:line="276" w:lineRule="auto"/>
              <w:jc w:val="center"/>
              <w:rPr>
                <w:rFonts w:hint="eastAsia" w:ascii="宋体" w:hAnsi="宋体"/>
                <w:color w:val="000000" w:themeColor="text1"/>
                <w:sz w:val="18"/>
                <w:szCs w:val="18"/>
              </w:rPr>
            </w:pPr>
          </w:p>
        </w:tc>
        <w:tc>
          <w:tcPr>
            <w:tcW w:w="1065" w:type="pct"/>
            <w:tcBorders>
              <w:bottom w:val="single" w:color="auto" w:sz="4" w:space="0"/>
            </w:tcBorders>
            <w:vAlign w:val="center"/>
          </w:tcPr>
          <w:p w14:paraId="54EA7A26">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针阔混交林</w:t>
            </w:r>
          </w:p>
        </w:tc>
        <w:tc>
          <w:tcPr>
            <w:tcW w:w="532" w:type="pct"/>
            <w:tcBorders>
              <w:bottom w:val="single" w:color="auto" w:sz="4" w:space="0"/>
            </w:tcBorders>
            <w:vAlign w:val="center"/>
          </w:tcPr>
          <w:p w14:paraId="425CE1D7">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-70%</w:t>
            </w:r>
          </w:p>
        </w:tc>
        <w:tc>
          <w:tcPr>
            <w:tcW w:w="2052" w:type="pct"/>
            <w:vMerge w:val="continue"/>
            <w:vAlign w:val="center"/>
          </w:tcPr>
          <w:p w14:paraId="0050CD60">
            <w:pPr>
              <w:adjustRightInd w:val="0"/>
              <w:snapToGrid w:val="0"/>
              <w:spacing w:line="276" w:lineRule="auto"/>
              <w:jc w:val="center"/>
              <w:rPr>
                <w:rFonts w:hint="eastAsia" w:ascii="宋体" w:hAnsi="宋体"/>
                <w:color w:val="000000" w:themeColor="text1"/>
                <w:sz w:val="18"/>
                <w:szCs w:val="18"/>
              </w:rPr>
            </w:pPr>
          </w:p>
        </w:tc>
      </w:tr>
      <w:tr w14:paraId="5BC62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351" w:type="pct"/>
            <w:vMerge w:val="continue"/>
            <w:tcBorders>
              <w:bottom w:val="single" w:color="auto" w:sz="12" w:space="0"/>
            </w:tcBorders>
            <w:vAlign w:val="center"/>
          </w:tcPr>
          <w:p w14:paraId="52D7032E">
            <w:pPr>
              <w:adjustRightInd w:val="0"/>
              <w:snapToGrid w:val="0"/>
              <w:spacing w:line="276" w:lineRule="auto"/>
              <w:jc w:val="center"/>
              <w:rPr>
                <w:color w:val="000000" w:themeColor="text1"/>
                <w:sz w:val="18"/>
                <w:szCs w:val="18"/>
              </w:rPr>
            </w:pPr>
          </w:p>
        </w:tc>
        <w:tc>
          <w:tcPr>
            <w:tcW w:w="1065" w:type="pct"/>
            <w:tcBorders>
              <w:top w:val="single" w:color="auto" w:sz="4" w:space="0"/>
              <w:bottom w:val="single" w:color="auto" w:sz="12" w:space="0"/>
            </w:tcBorders>
            <w:vAlign w:val="center"/>
          </w:tcPr>
          <w:p w14:paraId="63C6DCB0">
            <w:pPr>
              <w:adjustRightInd w:val="0"/>
              <w:snapToGrid w:val="0"/>
              <w:spacing w:line="276" w:lineRule="auto"/>
              <w:jc w:val="center"/>
              <w:rPr>
                <w:rFonts w:hint="eastAsia" w:ascii="宋体" w:hAnsi="宋体"/>
                <w:color w:val="000000" w:themeColor="text1"/>
                <w:sz w:val="18"/>
                <w:szCs w:val="18"/>
              </w:rPr>
            </w:pPr>
            <w:r>
              <w:rPr>
                <w:color w:val="000000" w:themeColor="text1"/>
                <w:sz w:val="18"/>
                <w:szCs w:val="18"/>
              </w:rPr>
              <w:t>针叶林</w:t>
            </w:r>
          </w:p>
        </w:tc>
        <w:tc>
          <w:tcPr>
            <w:tcW w:w="532" w:type="pct"/>
            <w:tcBorders>
              <w:top w:val="single" w:color="auto" w:sz="4" w:space="0"/>
              <w:bottom w:val="single" w:color="auto" w:sz="12" w:space="0"/>
            </w:tcBorders>
            <w:vAlign w:val="center"/>
          </w:tcPr>
          <w:p w14:paraId="5F0D3104">
            <w:pPr>
              <w:adjustRightInd w:val="0"/>
              <w:snapToGrid w:val="0"/>
              <w:spacing w:line="276" w:lineRule="auto"/>
              <w:jc w:val="center"/>
              <w:rPr>
                <w:color w:val="000000" w:themeColor="text1"/>
                <w:sz w:val="18"/>
                <w:szCs w:val="18"/>
              </w:rPr>
            </w:pPr>
            <w:r>
              <w:rPr>
                <w:color w:val="000000" w:themeColor="text1"/>
                <w:sz w:val="18"/>
                <w:szCs w:val="18"/>
              </w:rPr>
              <w:t>-90%</w:t>
            </w:r>
          </w:p>
        </w:tc>
        <w:tc>
          <w:tcPr>
            <w:tcW w:w="2052" w:type="pct"/>
            <w:vMerge w:val="continue"/>
            <w:tcBorders>
              <w:bottom w:val="single" w:color="auto" w:sz="12" w:space="0"/>
            </w:tcBorders>
            <w:vAlign w:val="center"/>
          </w:tcPr>
          <w:p w14:paraId="181E4192">
            <w:pPr>
              <w:adjustRightInd w:val="0"/>
              <w:snapToGrid w:val="0"/>
              <w:spacing w:line="276" w:lineRule="auto"/>
              <w:jc w:val="center"/>
              <w:rPr>
                <w:rFonts w:hint="eastAsia" w:ascii="宋体" w:hAnsi="宋体"/>
                <w:color w:val="000000" w:themeColor="text1"/>
                <w:sz w:val="18"/>
                <w:szCs w:val="18"/>
              </w:rPr>
            </w:pPr>
          </w:p>
        </w:tc>
      </w:tr>
    </w:tbl>
    <w:p w14:paraId="47F1B317">
      <w:pPr>
        <w:pStyle w:val="42"/>
        <w:tabs>
          <w:tab w:val="center" w:pos="709"/>
        </w:tabs>
        <w:rPr>
          <w:rFonts w:hint="eastAsia" w:hAnsi="宋体"/>
          <w:color w:val="000000" w:themeColor="text1"/>
        </w:rPr>
      </w:pPr>
      <w:r>
        <w:rPr>
          <w:rFonts w:hAnsi="宋体"/>
          <w:color w:val="000000" w:themeColor="text1"/>
        </w:rPr>
        <w:t>火焰长度对植被影响值宜按表</w:t>
      </w:r>
      <w:r>
        <w:rPr>
          <w:rFonts w:hint="eastAsia" w:hAnsi="宋体"/>
          <w:color w:val="000000" w:themeColor="text1"/>
        </w:rPr>
        <w:t>4</w:t>
      </w:r>
      <w:r>
        <w:rPr>
          <w:rFonts w:hAnsi="宋体"/>
          <w:color w:val="000000" w:themeColor="text1"/>
        </w:rPr>
        <w:t>确定。</w:t>
      </w:r>
    </w:p>
    <w:p w14:paraId="1E704E07">
      <w:pPr>
        <w:pStyle w:val="7"/>
        <w:spacing w:before="156" w:beforeLines="50" w:after="156" w:afterLines="50"/>
        <w:jc w:val="center"/>
        <w:rPr>
          <w:rFonts w:hint="eastAsia" w:ascii="黑体" w:hAnsi="黑体"/>
          <w:color w:val="000000"/>
          <w:sz w:val="21"/>
          <w:szCs w:val="21"/>
        </w:rPr>
      </w:pPr>
      <w:r>
        <w:rPr>
          <w:rFonts w:ascii="黑体" w:hAnsi="黑体"/>
          <w:color w:val="000000"/>
          <w:sz w:val="21"/>
          <w:szCs w:val="21"/>
        </w:rPr>
        <w:t>表4 火焰长度对不同植被类型的影响赋值</w:t>
      </w:r>
    </w:p>
    <w:tbl>
      <w:tblPr>
        <w:tblStyle w:val="23"/>
        <w:tblW w:w="487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984"/>
        <w:gridCol w:w="1133"/>
        <w:gridCol w:w="4536"/>
      </w:tblGrid>
      <w:tr w14:paraId="47CE0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95" w:type="pct"/>
            <w:tcBorders>
              <w:top w:val="single" w:color="auto" w:sz="12" w:space="0"/>
              <w:bottom w:val="single" w:color="auto" w:sz="12" w:space="0"/>
            </w:tcBorders>
            <w:vAlign w:val="center"/>
          </w:tcPr>
          <w:p w14:paraId="66A4E3CD">
            <w:pPr>
              <w:adjustRightInd w:val="0"/>
              <w:snapToGrid w:val="0"/>
              <w:jc w:val="center"/>
              <w:rPr>
                <w:rFonts w:eastAsia="微软雅黑"/>
                <w:color w:val="000000" w:themeColor="text1"/>
                <w:sz w:val="18"/>
                <w:szCs w:val="18"/>
              </w:rPr>
            </w:pPr>
            <w:r>
              <w:rPr>
                <w:rFonts w:eastAsia="微软雅黑"/>
                <w:color w:val="000000" w:themeColor="text1"/>
                <w:sz w:val="18"/>
                <w:szCs w:val="18"/>
              </w:rPr>
              <w:t>火焰长度</w:t>
            </w:r>
          </w:p>
        </w:tc>
        <w:tc>
          <w:tcPr>
            <w:tcW w:w="1064" w:type="pct"/>
            <w:tcBorders>
              <w:top w:val="single" w:color="auto" w:sz="12" w:space="0"/>
              <w:bottom w:val="single" w:color="auto" w:sz="12" w:space="0"/>
            </w:tcBorders>
            <w:vAlign w:val="center"/>
          </w:tcPr>
          <w:p w14:paraId="5EC42961">
            <w:pPr>
              <w:adjustRightInd w:val="0"/>
              <w:snapToGrid w:val="0"/>
              <w:jc w:val="center"/>
              <w:rPr>
                <w:rFonts w:eastAsia="微软雅黑"/>
                <w:color w:val="000000" w:themeColor="text1"/>
                <w:sz w:val="18"/>
                <w:szCs w:val="18"/>
              </w:rPr>
            </w:pPr>
            <w:r>
              <w:rPr>
                <w:rFonts w:eastAsia="微软雅黑"/>
                <w:color w:val="000000" w:themeColor="text1"/>
                <w:sz w:val="18"/>
                <w:szCs w:val="18"/>
              </w:rPr>
              <w:t>植被类型</w:t>
            </w:r>
          </w:p>
        </w:tc>
        <w:tc>
          <w:tcPr>
            <w:tcW w:w="608" w:type="pct"/>
            <w:tcBorders>
              <w:top w:val="single" w:color="auto" w:sz="12" w:space="0"/>
              <w:bottom w:val="single" w:color="000000" w:sz="4" w:space="0"/>
            </w:tcBorders>
            <w:vAlign w:val="center"/>
          </w:tcPr>
          <w:p w14:paraId="26745C62">
            <w:pPr>
              <w:adjustRightInd w:val="0"/>
              <w:snapToGrid w:val="0"/>
              <w:jc w:val="center"/>
              <w:rPr>
                <w:rFonts w:eastAsia="微软雅黑"/>
                <w:color w:val="000000" w:themeColor="text1"/>
                <w:sz w:val="18"/>
                <w:szCs w:val="18"/>
              </w:rPr>
            </w:pPr>
            <w:r>
              <w:rPr>
                <w:rFonts w:eastAsia="微软雅黑"/>
                <w:color w:val="000000" w:themeColor="text1"/>
                <w:sz w:val="18"/>
                <w:szCs w:val="18"/>
              </w:rPr>
              <w:t>影响值</w:t>
            </w:r>
          </w:p>
        </w:tc>
        <w:tc>
          <w:tcPr>
            <w:tcW w:w="2433" w:type="pct"/>
            <w:tcBorders>
              <w:top w:val="single" w:color="auto" w:sz="12" w:space="0"/>
              <w:bottom w:val="single" w:color="000000" w:sz="4" w:space="0"/>
            </w:tcBorders>
            <w:vAlign w:val="center"/>
          </w:tcPr>
          <w:p w14:paraId="5908F5E4">
            <w:pPr>
              <w:adjustRightInd w:val="0"/>
              <w:snapToGrid w:val="0"/>
              <w:jc w:val="center"/>
              <w:rPr>
                <w:rFonts w:eastAsia="微软雅黑"/>
                <w:color w:val="000000" w:themeColor="text1"/>
                <w:sz w:val="18"/>
                <w:szCs w:val="18"/>
              </w:rPr>
            </w:pPr>
            <w:r>
              <w:rPr>
                <w:rFonts w:eastAsia="微软雅黑"/>
                <w:color w:val="000000" w:themeColor="text1"/>
                <w:sz w:val="18"/>
                <w:szCs w:val="18"/>
              </w:rPr>
              <w:t>影响说明</w:t>
            </w:r>
          </w:p>
        </w:tc>
      </w:tr>
      <w:tr w14:paraId="175051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895" w:type="pct"/>
            <w:vMerge w:val="restart"/>
            <w:tcBorders>
              <w:top w:val="single" w:color="auto" w:sz="12" w:space="0"/>
            </w:tcBorders>
            <w:vAlign w:val="center"/>
          </w:tcPr>
          <w:p w14:paraId="45072AF1">
            <w:pPr>
              <w:spacing w:before="156" w:after="156" w:line="360" w:lineRule="auto"/>
              <w:jc w:val="center"/>
              <w:rPr>
                <w:color w:val="000000" w:themeColor="text1"/>
                <w:sz w:val="18"/>
                <w:szCs w:val="18"/>
              </w:rPr>
            </w:pPr>
            <w:r>
              <w:rPr>
                <w:sz w:val="18"/>
                <w:szCs w:val="18"/>
              </w:rPr>
              <w:t>&lt;2 m</w:t>
            </w:r>
          </w:p>
        </w:tc>
        <w:tc>
          <w:tcPr>
            <w:tcW w:w="1064" w:type="pct"/>
            <w:tcBorders>
              <w:top w:val="single" w:color="auto" w:sz="12" w:space="0"/>
            </w:tcBorders>
            <w:vAlign w:val="center"/>
          </w:tcPr>
          <w:p w14:paraId="3F073006">
            <w:pPr>
              <w:adjustRightInd w:val="0"/>
              <w:snapToGrid w:val="0"/>
              <w:spacing w:line="276" w:lineRule="auto"/>
              <w:jc w:val="center"/>
              <w:rPr>
                <w:color w:val="000000" w:themeColor="text1"/>
                <w:sz w:val="18"/>
                <w:szCs w:val="18"/>
              </w:rPr>
            </w:pPr>
            <w:r>
              <w:rPr>
                <w:sz w:val="18"/>
                <w:szCs w:val="18"/>
              </w:rPr>
              <w:t>灌木</w:t>
            </w:r>
          </w:p>
        </w:tc>
        <w:tc>
          <w:tcPr>
            <w:tcW w:w="608" w:type="pct"/>
            <w:tcBorders>
              <w:top w:val="single" w:color="auto" w:sz="12" w:space="0"/>
            </w:tcBorders>
            <w:vAlign w:val="center"/>
          </w:tcPr>
          <w:p w14:paraId="11CA332B">
            <w:pPr>
              <w:adjustRightInd w:val="0"/>
              <w:snapToGrid w:val="0"/>
              <w:spacing w:line="276" w:lineRule="auto"/>
              <w:jc w:val="center"/>
              <w:rPr>
                <w:color w:val="000000" w:themeColor="text1"/>
                <w:sz w:val="18"/>
                <w:szCs w:val="18"/>
              </w:rPr>
            </w:pPr>
            <w:r>
              <w:rPr>
                <w:sz w:val="18"/>
                <w:szCs w:val="18"/>
              </w:rPr>
              <w:t>-40%</w:t>
            </w:r>
          </w:p>
        </w:tc>
        <w:tc>
          <w:tcPr>
            <w:tcW w:w="2433" w:type="pct"/>
            <w:tcBorders>
              <w:top w:val="single" w:color="auto" w:sz="12" w:space="0"/>
              <w:bottom w:val="single" w:color="000000" w:sz="4" w:space="0"/>
            </w:tcBorders>
            <w:vAlign w:val="center"/>
          </w:tcPr>
          <w:p w14:paraId="1519BC0F">
            <w:pPr>
              <w:adjustRightInd w:val="0"/>
              <w:snapToGrid w:val="0"/>
              <w:spacing w:line="276" w:lineRule="auto"/>
              <w:jc w:val="center"/>
              <w:rPr>
                <w:color w:val="000000" w:themeColor="text1"/>
                <w:sz w:val="18"/>
                <w:szCs w:val="18"/>
              </w:rPr>
            </w:pPr>
            <w:r>
              <w:rPr>
                <w:sz w:val="18"/>
                <w:szCs w:val="18"/>
              </w:rPr>
              <w:t>以地表火为主，对低矮灌丛干扰显著</w:t>
            </w:r>
          </w:p>
        </w:tc>
      </w:tr>
      <w:tr w14:paraId="42B0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95" w:type="pct"/>
            <w:vMerge w:val="continue"/>
            <w:vAlign w:val="center"/>
          </w:tcPr>
          <w:p w14:paraId="7F483C36">
            <w:pPr>
              <w:adjustRightInd w:val="0"/>
              <w:snapToGrid w:val="0"/>
              <w:spacing w:line="276" w:lineRule="auto"/>
              <w:jc w:val="center"/>
              <w:rPr>
                <w:rFonts w:hint="eastAsia" w:ascii="宋体" w:hAnsi="宋体"/>
                <w:color w:val="000000" w:themeColor="text1"/>
                <w:sz w:val="18"/>
                <w:szCs w:val="18"/>
              </w:rPr>
            </w:pPr>
          </w:p>
        </w:tc>
        <w:tc>
          <w:tcPr>
            <w:tcW w:w="1064" w:type="pct"/>
            <w:tcBorders>
              <w:bottom w:val="single" w:color="auto" w:sz="4" w:space="0"/>
            </w:tcBorders>
            <w:vAlign w:val="center"/>
          </w:tcPr>
          <w:p w14:paraId="113ADB48">
            <w:pPr>
              <w:adjustRightInd w:val="0"/>
              <w:snapToGrid w:val="0"/>
              <w:spacing w:line="276" w:lineRule="auto"/>
              <w:jc w:val="center"/>
              <w:rPr>
                <w:rFonts w:hint="eastAsia" w:ascii="宋体" w:hAnsi="宋体"/>
                <w:color w:val="000000" w:themeColor="text1"/>
                <w:sz w:val="18"/>
                <w:szCs w:val="18"/>
              </w:rPr>
            </w:pPr>
            <w:r>
              <w:rPr>
                <w:sz w:val="18"/>
                <w:szCs w:val="18"/>
              </w:rPr>
              <w:t>落叶阔叶林</w:t>
            </w:r>
          </w:p>
        </w:tc>
        <w:tc>
          <w:tcPr>
            <w:tcW w:w="608" w:type="pct"/>
            <w:tcBorders>
              <w:bottom w:val="single" w:color="auto" w:sz="4" w:space="0"/>
            </w:tcBorders>
            <w:vAlign w:val="center"/>
          </w:tcPr>
          <w:p w14:paraId="19FB0FC8">
            <w:pPr>
              <w:adjustRightInd w:val="0"/>
              <w:snapToGrid w:val="0"/>
              <w:spacing w:line="276" w:lineRule="auto"/>
              <w:jc w:val="center"/>
              <w:rPr>
                <w:rFonts w:hint="eastAsia" w:ascii="宋体" w:hAnsi="宋体"/>
                <w:color w:val="000000" w:themeColor="text1"/>
                <w:sz w:val="18"/>
                <w:szCs w:val="18"/>
              </w:rPr>
            </w:pPr>
            <w:r>
              <w:rPr>
                <w:sz w:val="18"/>
                <w:szCs w:val="18"/>
              </w:rPr>
              <w:t>20%</w:t>
            </w:r>
          </w:p>
        </w:tc>
        <w:tc>
          <w:tcPr>
            <w:tcW w:w="2433" w:type="pct"/>
            <w:vMerge w:val="restart"/>
            <w:tcBorders>
              <w:top w:val="single" w:color="000000" w:sz="4" w:space="0"/>
            </w:tcBorders>
            <w:vAlign w:val="center"/>
          </w:tcPr>
          <w:p w14:paraId="4F992F17">
            <w:pPr>
              <w:spacing w:before="156" w:after="156" w:line="360" w:lineRule="auto"/>
              <w:rPr>
                <w:rFonts w:hint="eastAsia" w:ascii="宋体" w:hAnsi="宋体"/>
                <w:color w:val="000000" w:themeColor="text1"/>
                <w:sz w:val="18"/>
                <w:szCs w:val="18"/>
              </w:rPr>
            </w:pPr>
            <w:r>
              <w:rPr>
                <w:sz w:val="18"/>
                <w:szCs w:val="18"/>
              </w:rPr>
              <w:t>火焰较低，难以形成树冠火，具有清理细小可燃物作用</w:t>
            </w:r>
          </w:p>
        </w:tc>
      </w:tr>
      <w:tr w14:paraId="080093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895" w:type="pct"/>
            <w:vMerge w:val="continue"/>
            <w:vAlign w:val="center"/>
          </w:tcPr>
          <w:p w14:paraId="05FE3349">
            <w:pPr>
              <w:adjustRightInd w:val="0"/>
              <w:snapToGrid w:val="0"/>
              <w:spacing w:line="276" w:lineRule="auto"/>
              <w:jc w:val="center"/>
              <w:rPr>
                <w:color w:val="000000" w:themeColor="text1"/>
                <w:sz w:val="18"/>
                <w:szCs w:val="18"/>
              </w:rPr>
            </w:pPr>
          </w:p>
        </w:tc>
        <w:tc>
          <w:tcPr>
            <w:tcW w:w="1064" w:type="pct"/>
            <w:tcBorders>
              <w:bottom w:val="single" w:color="auto" w:sz="4" w:space="0"/>
            </w:tcBorders>
            <w:vAlign w:val="center"/>
          </w:tcPr>
          <w:p w14:paraId="04022275">
            <w:pPr>
              <w:adjustRightInd w:val="0"/>
              <w:snapToGrid w:val="0"/>
              <w:spacing w:line="276" w:lineRule="auto"/>
              <w:jc w:val="center"/>
              <w:rPr>
                <w:color w:val="000000" w:themeColor="text1"/>
                <w:sz w:val="18"/>
                <w:szCs w:val="18"/>
              </w:rPr>
            </w:pPr>
            <w:r>
              <w:rPr>
                <w:sz w:val="18"/>
                <w:szCs w:val="18"/>
              </w:rPr>
              <w:t>针阔混交林</w:t>
            </w:r>
          </w:p>
        </w:tc>
        <w:tc>
          <w:tcPr>
            <w:tcW w:w="608" w:type="pct"/>
            <w:tcBorders>
              <w:bottom w:val="single" w:color="auto" w:sz="4" w:space="0"/>
            </w:tcBorders>
            <w:vAlign w:val="center"/>
          </w:tcPr>
          <w:p w14:paraId="60F0990D">
            <w:pPr>
              <w:adjustRightInd w:val="0"/>
              <w:snapToGrid w:val="0"/>
              <w:spacing w:line="276" w:lineRule="auto"/>
              <w:jc w:val="center"/>
              <w:rPr>
                <w:color w:val="000000" w:themeColor="text1"/>
                <w:sz w:val="18"/>
                <w:szCs w:val="18"/>
              </w:rPr>
            </w:pPr>
            <w:r>
              <w:rPr>
                <w:sz w:val="18"/>
                <w:szCs w:val="18"/>
              </w:rPr>
              <w:t>20%</w:t>
            </w:r>
          </w:p>
        </w:tc>
        <w:tc>
          <w:tcPr>
            <w:tcW w:w="2433" w:type="pct"/>
            <w:vMerge w:val="continue"/>
            <w:vAlign w:val="center"/>
          </w:tcPr>
          <w:p w14:paraId="092C6A8F">
            <w:pPr>
              <w:adjustRightInd w:val="0"/>
              <w:snapToGrid w:val="0"/>
              <w:spacing w:line="276" w:lineRule="auto"/>
              <w:jc w:val="center"/>
              <w:rPr>
                <w:color w:val="000000" w:themeColor="text1"/>
                <w:sz w:val="18"/>
                <w:szCs w:val="18"/>
              </w:rPr>
            </w:pPr>
          </w:p>
        </w:tc>
      </w:tr>
      <w:tr w14:paraId="41F7A1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895" w:type="pct"/>
            <w:vMerge w:val="continue"/>
            <w:vAlign w:val="center"/>
          </w:tcPr>
          <w:p w14:paraId="192619D2">
            <w:pPr>
              <w:adjustRightInd w:val="0"/>
              <w:snapToGrid w:val="0"/>
              <w:spacing w:line="276" w:lineRule="auto"/>
              <w:jc w:val="center"/>
              <w:rPr>
                <w:color w:val="000000" w:themeColor="text1"/>
                <w:sz w:val="18"/>
                <w:szCs w:val="18"/>
              </w:rPr>
            </w:pPr>
          </w:p>
        </w:tc>
        <w:tc>
          <w:tcPr>
            <w:tcW w:w="1064" w:type="pct"/>
            <w:tcBorders>
              <w:bottom w:val="single" w:color="auto" w:sz="4" w:space="0"/>
            </w:tcBorders>
            <w:vAlign w:val="center"/>
          </w:tcPr>
          <w:p w14:paraId="65B93BBE">
            <w:pPr>
              <w:adjustRightInd w:val="0"/>
              <w:snapToGrid w:val="0"/>
              <w:spacing w:line="276" w:lineRule="auto"/>
              <w:jc w:val="center"/>
              <w:rPr>
                <w:color w:val="000000" w:themeColor="text1"/>
                <w:sz w:val="18"/>
                <w:szCs w:val="18"/>
              </w:rPr>
            </w:pPr>
            <w:r>
              <w:rPr>
                <w:sz w:val="18"/>
                <w:szCs w:val="18"/>
              </w:rPr>
              <w:t>针叶林</w:t>
            </w:r>
          </w:p>
        </w:tc>
        <w:tc>
          <w:tcPr>
            <w:tcW w:w="608" w:type="pct"/>
            <w:tcBorders>
              <w:bottom w:val="single" w:color="000000" w:sz="4" w:space="0"/>
            </w:tcBorders>
            <w:vAlign w:val="center"/>
          </w:tcPr>
          <w:p w14:paraId="0E35D98B">
            <w:pPr>
              <w:adjustRightInd w:val="0"/>
              <w:snapToGrid w:val="0"/>
              <w:spacing w:line="276" w:lineRule="auto"/>
              <w:jc w:val="center"/>
              <w:rPr>
                <w:color w:val="000000" w:themeColor="text1"/>
                <w:sz w:val="18"/>
                <w:szCs w:val="18"/>
              </w:rPr>
            </w:pPr>
            <w:r>
              <w:rPr>
                <w:sz w:val="18"/>
                <w:szCs w:val="18"/>
              </w:rPr>
              <w:t>10%</w:t>
            </w:r>
          </w:p>
        </w:tc>
        <w:tc>
          <w:tcPr>
            <w:tcW w:w="2433" w:type="pct"/>
            <w:vMerge w:val="continue"/>
            <w:tcBorders>
              <w:bottom w:val="single" w:color="000000" w:sz="4" w:space="0"/>
            </w:tcBorders>
            <w:vAlign w:val="center"/>
          </w:tcPr>
          <w:p w14:paraId="42E76417">
            <w:pPr>
              <w:adjustRightInd w:val="0"/>
              <w:snapToGrid w:val="0"/>
              <w:spacing w:line="276" w:lineRule="auto"/>
              <w:jc w:val="center"/>
              <w:rPr>
                <w:color w:val="000000" w:themeColor="text1"/>
                <w:sz w:val="18"/>
                <w:szCs w:val="18"/>
              </w:rPr>
            </w:pPr>
          </w:p>
        </w:tc>
      </w:tr>
      <w:tr w14:paraId="74DC89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95" w:type="pct"/>
            <w:vMerge w:val="restart"/>
            <w:vAlign w:val="center"/>
          </w:tcPr>
          <w:p w14:paraId="51D32FC7">
            <w:pPr>
              <w:spacing w:before="156" w:after="156" w:line="360" w:lineRule="auto"/>
              <w:jc w:val="center"/>
              <w:rPr>
                <w:color w:val="000000" w:themeColor="text1"/>
                <w:sz w:val="18"/>
                <w:szCs w:val="18"/>
              </w:rPr>
            </w:pPr>
            <w:r>
              <w:rPr>
                <w:sz w:val="18"/>
                <w:szCs w:val="18"/>
              </w:rPr>
              <w:t>≥2 m</w:t>
            </w:r>
          </w:p>
        </w:tc>
        <w:tc>
          <w:tcPr>
            <w:tcW w:w="1064" w:type="pct"/>
            <w:tcBorders>
              <w:bottom w:val="single" w:color="auto" w:sz="4" w:space="0"/>
            </w:tcBorders>
            <w:vAlign w:val="center"/>
          </w:tcPr>
          <w:p w14:paraId="2DDCBA1D">
            <w:pPr>
              <w:adjustRightInd w:val="0"/>
              <w:snapToGrid w:val="0"/>
              <w:spacing w:line="276" w:lineRule="auto"/>
              <w:jc w:val="center"/>
              <w:rPr>
                <w:color w:val="000000" w:themeColor="text1"/>
                <w:sz w:val="18"/>
                <w:szCs w:val="18"/>
              </w:rPr>
            </w:pPr>
            <w:r>
              <w:rPr>
                <w:sz w:val="18"/>
                <w:szCs w:val="18"/>
              </w:rPr>
              <w:t>灌木</w:t>
            </w:r>
          </w:p>
        </w:tc>
        <w:tc>
          <w:tcPr>
            <w:tcW w:w="608" w:type="pct"/>
            <w:tcBorders>
              <w:bottom w:val="single" w:color="auto" w:sz="4" w:space="0"/>
            </w:tcBorders>
            <w:vAlign w:val="center"/>
          </w:tcPr>
          <w:p w14:paraId="07DCB5B1">
            <w:pPr>
              <w:adjustRightInd w:val="0"/>
              <w:snapToGrid w:val="0"/>
              <w:spacing w:line="276" w:lineRule="auto"/>
              <w:jc w:val="center"/>
              <w:rPr>
                <w:color w:val="000000" w:themeColor="text1"/>
                <w:sz w:val="18"/>
                <w:szCs w:val="18"/>
              </w:rPr>
            </w:pPr>
            <w:r>
              <w:rPr>
                <w:sz w:val="18"/>
                <w:szCs w:val="18"/>
              </w:rPr>
              <w:t>-80%</w:t>
            </w:r>
          </w:p>
        </w:tc>
        <w:tc>
          <w:tcPr>
            <w:tcW w:w="2433" w:type="pct"/>
            <w:tcBorders>
              <w:bottom w:val="single" w:color="000000" w:sz="4" w:space="0"/>
            </w:tcBorders>
            <w:vAlign w:val="center"/>
          </w:tcPr>
          <w:p w14:paraId="393301E5">
            <w:pPr>
              <w:adjustRightInd w:val="0"/>
              <w:snapToGrid w:val="0"/>
              <w:jc w:val="center"/>
              <w:rPr>
                <w:color w:val="000000" w:themeColor="text1"/>
                <w:sz w:val="18"/>
                <w:szCs w:val="18"/>
              </w:rPr>
            </w:pPr>
            <w:r>
              <w:rPr>
                <w:sz w:val="18"/>
                <w:szCs w:val="18"/>
              </w:rPr>
              <w:t>可燃物载量较大，燃烧持续时间长，破坏严重</w:t>
            </w:r>
          </w:p>
        </w:tc>
      </w:tr>
      <w:tr w14:paraId="37A584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95" w:type="pct"/>
            <w:vMerge w:val="continue"/>
            <w:vAlign w:val="center"/>
          </w:tcPr>
          <w:p w14:paraId="4B9AA9BC">
            <w:pPr>
              <w:adjustRightInd w:val="0"/>
              <w:snapToGrid w:val="0"/>
              <w:spacing w:line="276" w:lineRule="auto"/>
              <w:jc w:val="center"/>
              <w:rPr>
                <w:color w:val="000000" w:themeColor="text1"/>
                <w:sz w:val="18"/>
                <w:szCs w:val="18"/>
              </w:rPr>
            </w:pPr>
          </w:p>
        </w:tc>
        <w:tc>
          <w:tcPr>
            <w:tcW w:w="1064" w:type="pct"/>
            <w:tcBorders>
              <w:bottom w:val="single" w:color="auto" w:sz="4" w:space="0"/>
            </w:tcBorders>
            <w:vAlign w:val="center"/>
          </w:tcPr>
          <w:p w14:paraId="076E5CC1">
            <w:pPr>
              <w:adjustRightInd w:val="0"/>
              <w:snapToGrid w:val="0"/>
              <w:spacing w:line="276" w:lineRule="auto"/>
              <w:jc w:val="center"/>
              <w:rPr>
                <w:color w:val="000000" w:themeColor="text1"/>
                <w:sz w:val="18"/>
                <w:szCs w:val="18"/>
              </w:rPr>
            </w:pPr>
            <w:r>
              <w:rPr>
                <w:sz w:val="18"/>
                <w:szCs w:val="18"/>
              </w:rPr>
              <w:t>落叶阔叶林</w:t>
            </w:r>
          </w:p>
        </w:tc>
        <w:tc>
          <w:tcPr>
            <w:tcW w:w="608" w:type="pct"/>
            <w:tcBorders>
              <w:bottom w:val="single" w:color="auto" w:sz="4" w:space="0"/>
            </w:tcBorders>
            <w:vAlign w:val="center"/>
          </w:tcPr>
          <w:p w14:paraId="2FE90838">
            <w:pPr>
              <w:adjustRightInd w:val="0"/>
              <w:snapToGrid w:val="0"/>
              <w:spacing w:line="276" w:lineRule="auto"/>
              <w:jc w:val="center"/>
              <w:rPr>
                <w:color w:val="000000" w:themeColor="text1"/>
                <w:sz w:val="18"/>
                <w:szCs w:val="18"/>
              </w:rPr>
            </w:pPr>
            <w:r>
              <w:rPr>
                <w:sz w:val="18"/>
                <w:szCs w:val="18"/>
              </w:rPr>
              <w:t>-30%</w:t>
            </w:r>
          </w:p>
        </w:tc>
        <w:tc>
          <w:tcPr>
            <w:tcW w:w="2433" w:type="pct"/>
            <w:vMerge w:val="restart"/>
            <w:tcBorders>
              <w:top w:val="single" w:color="000000" w:sz="4" w:space="0"/>
            </w:tcBorders>
            <w:vAlign w:val="center"/>
          </w:tcPr>
          <w:p w14:paraId="19ED175A">
            <w:pPr>
              <w:adjustRightInd w:val="0"/>
              <w:snapToGrid w:val="0"/>
              <w:jc w:val="center"/>
              <w:rPr>
                <w:color w:val="000000" w:themeColor="text1"/>
                <w:sz w:val="18"/>
                <w:szCs w:val="18"/>
              </w:rPr>
            </w:pPr>
            <w:r>
              <w:rPr>
                <w:sz w:val="18"/>
                <w:szCs w:val="18"/>
              </w:rPr>
              <w:t>火焰高度高，易影响林冠层</w:t>
            </w:r>
          </w:p>
        </w:tc>
      </w:tr>
      <w:tr w14:paraId="7B6054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895" w:type="pct"/>
            <w:vMerge w:val="continue"/>
            <w:vAlign w:val="center"/>
          </w:tcPr>
          <w:p w14:paraId="63D3546C">
            <w:pPr>
              <w:adjustRightInd w:val="0"/>
              <w:snapToGrid w:val="0"/>
              <w:spacing w:line="276" w:lineRule="auto"/>
              <w:jc w:val="center"/>
              <w:rPr>
                <w:rFonts w:hint="eastAsia" w:ascii="宋体" w:hAnsi="宋体"/>
                <w:color w:val="000000" w:themeColor="text1"/>
                <w:sz w:val="18"/>
                <w:szCs w:val="18"/>
              </w:rPr>
            </w:pPr>
          </w:p>
        </w:tc>
        <w:tc>
          <w:tcPr>
            <w:tcW w:w="1064" w:type="pct"/>
            <w:tcBorders>
              <w:bottom w:val="single" w:color="auto" w:sz="4" w:space="0"/>
            </w:tcBorders>
            <w:vAlign w:val="center"/>
          </w:tcPr>
          <w:p w14:paraId="3D5AAA5F">
            <w:pPr>
              <w:adjustRightInd w:val="0"/>
              <w:snapToGrid w:val="0"/>
              <w:spacing w:line="276" w:lineRule="auto"/>
              <w:jc w:val="center"/>
              <w:rPr>
                <w:rFonts w:hint="eastAsia" w:ascii="宋体" w:hAnsi="宋体"/>
                <w:color w:val="000000" w:themeColor="text1"/>
                <w:sz w:val="18"/>
                <w:szCs w:val="18"/>
              </w:rPr>
            </w:pPr>
            <w:r>
              <w:rPr>
                <w:sz w:val="18"/>
                <w:szCs w:val="18"/>
              </w:rPr>
              <w:t>针阔混交林</w:t>
            </w:r>
          </w:p>
        </w:tc>
        <w:tc>
          <w:tcPr>
            <w:tcW w:w="608" w:type="pct"/>
            <w:tcBorders>
              <w:bottom w:val="single" w:color="auto" w:sz="4" w:space="0"/>
            </w:tcBorders>
            <w:vAlign w:val="center"/>
          </w:tcPr>
          <w:p w14:paraId="5A46D102">
            <w:pPr>
              <w:adjustRightInd w:val="0"/>
              <w:snapToGrid w:val="0"/>
              <w:spacing w:line="276" w:lineRule="auto"/>
              <w:jc w:val="center"/>
              <w:rPr>
                <w:rFonts w:hint="eastAsia" w:ascii="宋体" w:hAnsi="宋体"/>
                <w:color w:val="000000" w:themeColor="text1"/>
                <w:sz w:val="18"/>
                <w:szCs w:val="18"/>
              </w:rPr>
            </w:pPr>
            <w:r>
              <w:rPr>
                <w:sz w:val="18"/>
                <w:szCs w:val="18"/>
              </w:rPr>
              <w:t>-50%</w:t>
            </w:r>
          </w:p>
        </w:tc>
        <w:tc>
          <w:tcPr>
            <w:tcW w:w="2433" w:type="pct"/>
            <w:vMerge w:val="continue"/>
            <w:vAlign w:val="center"/>
          </w:tcPr>
          <w:p w14:paraId="69CD130A">
            <w:pPr>
              <w:adjustRightInd w:val="0"/>
              <w:snapToGrid w:val="0"/>
              <w:spacing w:line="276" w:lineRule="auto"/>
              <w:jc w:val="center"/>
              <w:rPr>
                <w:rFonts w:hint="eastAsia" w:ascii="宋体" w:hAnsi="宋体"/>
                <w:color w:val="000000" w:themeColor="text1"/>
                <w:sz w:val="18"/>
                <w:szCs w:val="18"/>
              </w:rPr>
            </w:pPr>
          </w:p>
        </w:tc>
      </w:tr>
      <w:tr w14:paraId="0021E0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895" w:type="pct"/>
            <w:vMerge w:val="continue"/>
            <w:tcBorders>
              <w:bottom w:val="single" w:color="auto" w:sz="12" w:space="0"/>
            </w:tcBorders>
            <w:vAlign w:val="center"/>
          </w:tcPr>
          <w:p w14:paraId="398D117D">
            <w:pPr>
              <w:adjustRightInd w:val="0"/>
              <w:snapToGrid w:val="0"/>
              <w:spacing w:line="276" w:lineRule="auto"/>
              <w:jc w:val="center"/>
              <w:rPr>
                <w:color w:val="000000" w:themeColor="text1"/>
                <w:sz w:val="18"/>
                <w:szCs w:val="18"/>
              </w:rPr>
            </w:pPr>
          </w:p>
        </w:tc>
        <w:tc>
          <w:tcPr>
            <w:tcW w:w="1064" w:type="pct"/>
            <w:tcBorders>
              <w:top w:val="single" w:color="auto" w:sz="4" w:space="0"/>
              <w:bottom w:val="single" w:color="auto" w:sz="12" w:space="0"/>
            </w:tcBorders>
            <w:vAlign w:val="center"/>
          </w:tcPr>
          <w:p w14:paraId="73E4B429">
            <w:pPr>
              <w:adjustRightInd w:val="0"/>
              <w:snapToGrid w:val="0"/>
              <w:spacing w:line="276" w:lineRule="auto"/>
              <w:jc w:val="center"/>
              <w:rPr>
                <w:rFonts w:hint="eastAsia" w:ascii="宋体" w:hAnsi="宋体"/>
                <w:color w:val="000000" w:themeColor="text1"/>
                <w:sz w:val="18"/>
                <w:szCs w:val="18"/>
              </w:rPr>
            </w:pPr>
            <w:r>
              <w:rPr>
                <w:sz w:val="18"/>
                <w:szCs w:val="18"/>
              </w:rPr>
              <w:t>针叶林</w:t>
            </w:r>
          </w:p>
        </w:tc>
        <w:tc>
          <w:tcPr>
            <w:tcW w:w="608" w:type="pct"/>
            <w:tcBorders>
              <w:top w:val="single" w:color="auto" w:sz="4" w:space="0"/>
              <w:bottom w:val="single" w:color="auto" w:sz="12" w:space="0"/>
            </w:tcBorders>
            <w:vAlign w:val="center"/>
          </w:tcPr>
          <w:p w14:paraId="27E07B3D">
            <w:pPr>
              <w:adjustRightInd w:val="0"/>
              <w:snapToGrid w:val="0"/>
              <w:spacing w:line="276" w:lineRule="auto"/>
              <w:jc w:val="center"/>
              <w:rPr>
                <w:color w:val="000000" w:themeColor="text1"/>
                <w:sz w:val="18"/>
                <w:szCs w:val="18"/>
              </w:rPr>
            </w:pPr>
            <w:r>
              <w:rPr>
                <w:sz w:val="18"/>
                <w:szCs w:val="18"/>
              </w:rPr>
              <w:t>-70%</w:t>
            </w:r>
          </w:p>
        </w:tc>
        <w:tc>
          <w:tcPr>
            <w:tcW w:w="2433" w:type="pct"/>
            <w:vMerge w:val="continue"/>
            <w:tcBorders>
              <w:bottom w:val="single" w:color="auto" w:sz="12" w:space="0"/>
            </w:tcBorders>
            <w:vAlign w:val="center"/>
          </w:tcPr>
          <w:p w14:paraId="69E48DD4">
            <w:pPr>
              <w:adjustRightInd w:val="0"/>
              <w:snapToGrid w:val="0"/>
              <w:spacing w:line="276" w:lineRule="auto"/>
              <w:jc w:val="center"/>
              <w:rPr>
                <w:rFonts w:hint="eastAsia" w:ascii="宋体" w:hAnsi="宋体"/>
                <w:color w:val="000000" w:themeColor="text1"/>
                <w:sz w:val="18"/>
                <w:szCs w:val="18"/>
              </w:rPr>
            </w:pPr>
          </w:p>
        </w:tc>
      </w:tr>
    </w:tbl>
    <w:p w14:paraId="77E0FFD9">
      <w:pPr>
        <w:pStyle w:val="42"/>
        <w:tabs>
          <w:tab w:val="center" w:pos="709"/>
        </w:tabs>
        <w:rPr>
          <w:rFonts w:hint="eastAsia" w:hAnsi="宋体"/>
          <w:color w:val="000000" w:themeColor="text1"/>
        </w:rPr>
      </w:pPr>
      <w:r>
        <w:rPr>
          <w:rFonts w:hAnsi="宋体"/>
          <w:color w:val="000000" w:themeColor="text1"/>
        </w:rPr>
        <w:t>居民点、水源地和基础设施的脆弱性应按距离和重要性综合确定。宜采用欧氏距离计算火发生位置与居民区、水源地、关键基础设施之间的距离。距离越近，负面影响越大。</w:t>
      </w:r>
    </w:p>
    <w:p w14:paraId="0DC40F9C">
      <w:pPr>
        <w:pStyle w:val="75"/>
        <w:spacing w:before="156" w:after="156"/>
        <w:ind w:left="0"/>
        <w:rPr>
          <w:rFonts w:ascii="Times New Roman" w:hAnsi="Times New Roman"/>
          <w:color w:val="000000" w:themeColor="text1"/>
        </w:rPr>
      </w:pPr>
      <w:bookmarkStart w:id="148" w:name="_Toc236687297"/>
      <w:r>
        <w:rPr>
          <w:rFonts w:ascii="Times New Roman" w:hAnsi="Times New Roman"/>
          <w:color w:val="000000" w:themeColor="text1"/>
        </w:rPr>
        <w:t>权重确定与一致性检验</w:t>
      </w:r>
      <w:bookmarkEnd w:id="148"/>
    </w:p>
    <w:p w14:paraId="35979D2D">
      <w:pPr>
        <w:pStyle w:val="42"/>
        <w:tabs>
          <w:tab w:val="center" w:pos="709"/>
        </w:tabs>
        <w:rPr>
          <w:rFonts w:hint="eastAsia" w:hAnsi="宋体"/>
          <w:color w:val="000000" w:themeColor="text1"/>
        </w:rPr>
      </w:pPr>
      <w:r>
        <w:rPr>
          <w:rFonts w:hAnsi="宋体"/>
          <w:color w:val="000000" w:themeColor="text1"/>
        </w:rPr>
        <w:t>采用层次分析法确定权重时，应构建判断矩阵，并计算最大特征根对应的特征向量作为权重。判断矩阵一致性应按公式（8）和公式（9）检验：</w:t>
      </w:r>
    </w:p>
    <w:p w14:paraId="6549D827">
      <w:pPr>
        <w:spacing w:line="378" w:lineRule="exact"/>
        <w:jc w:val="center"/>
      </w:pPr>
      <w:r>
        <w:rPr>
          <w:rFonts w:eastAsia="黑体"/>
          <w:color w:val="000000" w:themeColor="text1"/>
          <w:sz w:val="18"/>
          <w:szCs w:val="18"/>
        </w:rPr>
        <w:t xml:space="preserve">                          </w:t>
      </w:r>
      <m:oMath>
        <m:r>
          <m:rPr/>
          <w:rPr>
            <w:rFonts w:ascii="Cambria Math" w:hAnsi="Cambria Math"/>
            <w:color w:val="000000" w:themeColor="text1"/>
            <w:szCs w:val="21"/>
          </w:rPr>
          <m:t>CR</m:t>
        </m:r>
        <m:r>
          <m:rPr>
            <m:sty m:val="p"/>
          </m:rPr>
          <w:rPr>
            <w:rFonts w:ascii="Cambria Math" w:hAnsi="Cambria Math"/>
            <w:color w:val="000000" w:themeColor="text1"/>
            <w:szCs w:val="21"/>
          </w:rPr>
          <m:t>=</m:t>
        </m:r>
        <m:r>
          <m:rPr/>
          <w:rPr>
            <w:rFonts w:ascii="Cambria Math" w:hAnsi="Cambria Math"/>
            <w:color w:val="000000" w:themeColor="text1"/>
            <w:szCs w:val="21"/>
          </w:rPr>
          <m:t>CI</m:t>
        </m:r>
        <m:r>
          <m:rPr>
            <m:sty m:val="p"/>
          </m:rPr>
          <w:rPr>
            <w:rFonts w:ascii="Cambria Math" w:hAnsi="Cambria Math"/>
            <w:color w:val="000000" w:themeColor="text1"/>
            <w:szCs w:val="21"/>
          </w:rPr>
          <m:t>/</m:t>
        </m:r>
        <m:r>
          <m:rPr/>
          <w:rPr>
            <w:rFonts w:ascii="Cambria Math" w:hAnsi="Cambria Math"/>
            <w:color w:val="000000" w:themeColor="text1"/>
            <w:szCs w:val="21"/>
          </w:rPr>
          <m:t>RI</m:t>
        </m:r>
      </m:oMath>
      <w:r>
        <w:rPr>
          <w:szCs w:val="21"/>
        </w:rPr>
        <w:t>…………………………………………………………………</w:t>
      </w:r>
      <w:r>
        <w:t>（</w:t>
      </w:r>
      <w:r>
        <w:rPr>
          <w:rFonts w:hint="eastAsia"/>
        </w:rPr>
        <w:t>8</w:t>
      </w:r>
      <w:r>
        <w:t>）</w:t>
      </w:r>
    </w:p>
    <w:p w14:paraId="68E96C39">
      <w:pPr>
        <w:spacing w:line="378" w:lineRule="exact"/>
        <w:jc w:val="center"/>
      </w:pPr>
      <w:r>
        <w:rPr>
          <w:rFonts w:eastAsia="黑体"/>
          <w:color w:val="000000" w:themeColor="text1"/>
          <w:sz w:val="18"/>
          <w:szCs w:val="18"/>
        </w:rPr>
        <w:t xml:space="preserve">                         </w:t>
      </w:r>
      <m:oMath>
        <m:r>
          <m:rPr/>
          <w:rPr>
            <w:rFonts w:ascii="Cambria Math" w:hAnsi="Cambria Math"/>
            <w:color w:val="000000" w:themeColor="text1"/>
            <w:szCs w:val="21"/>
          </w:rPr>
          <m:t>CI</m:t>
        </m:r>
        <m:r>
          <m:rPr>
            <m:sty m:val="p"/>
          </m:rPr>
          <w:rPr>
            <w:rFonts w:ascii="Cambria Math" w:hAnsi="Cambria Math"/>
            <w:color w:val="000000" w:themeColor="text1"/>
            <w:szCs w:val="21"/>
          </w:rPr>
          <m:t>=(</m:t>
        </m:r>
        <m:sSub>
          <m:sSubPr>
            <m:ctrlPr>
              <w:rPr>
                <w:rFonts w:ascii="Cambria Math" w:hAnsi="Cambria Math"/>
                <w:i/>
                <w:iCs/>
                <w:color w:val="000000" w:themeColor="text1"/>
                <w:szCs w:val="21"/>
              </w:rPr>
            </m:ctrlPr>
          </m:sSubPr>
          <m:e>
            <m:r>
              <m:rPr/>
              <w:rPr>
                <w:rFonts w:ascii="Cambria Math" w:hAnsi="Cambria Math"/>
                <w:color w:val="000000" w:themeColor="text1"/>
                <w:szCs w:val="21"/>
              </w:rPr>
              <m:t>λ</m:t>
            </m:r>
            <m:ctrlPr>
              <w:rPr>
                <w:rFonts w:ascii="Cambria Math" w:hAnsi="Cambria Math"/>
                <w:i/>
                <w:iCs/>
                <w:color w:val="000000" w:themeColor="text1"/>
                <w:szCs w:val="21"/>
              </w:rPr>
            </m:ctrlPr>
          </m:e>
          <m:sub>
            <m:r>
              <m:rPr/>
              <w:rPr>
                <w:rFonts w:ascii="Cambria Math" w:hAnsi="Cambria Math"/>
                <w:color w:val="000000" w:themeColor="text1"/>
                <w:szCs w:val="21"/>
              </w:rPr>
              <m:t>max</m:t>
            </m:r>
            <m:ctrlPr>
              <w:rPr>
                <w:rFonts w:ascii="Cambria Math" w:hAnsi="Cambria Math"/>
                <w:i/>
                <w:iCs/>
                <w:color w:val="000000" w:themeColor="text1"/>
                <w:szCs w:val="21"/>
              </w:rPr>
            </m:ctrlPr>
          </m:sub>
        </m:sSub>
        <m:r>
          <m:rPr>
            <m:sty m:val="p"/>
          </m:rPr>
          <w:rPr>
            <w:rFonts w:ascii="Cambria Math" w:hAnsi="Cambria Math"/>
            <w:color w:val="000000" w:themeColor="text1"/>
            <w:szCs w:val="21"/>
          </w:rPr>
          <m:t>−</m:t>
        </m:r>
        <m:r>
          <m:rPr/>
          <w:rPr>
            <w:rFonts w:ascii="Cambria Math" w:hAnsi="Cambria Math"/>
            <w:color w:val="000000" w:themeColor="text1"/>
            <w:szCs w:val="21"/>
          </w:rPr>
          <m:t>n</m:t>
        </m:r>
        <m:r>
          <m:rPr>
            <m:sty m:val="p"/>
          </m:rPr>
          <w:rPr>
            <w:rFonts w:ascii="Cambria Math" w:hAnsi="Cambria Math"/>
            <w:color w:val="000000" w:themeColor="text1"/>
            <w:szCs w:val="21"/>
          </w:rPr>
          <m:t xml:space="preserve"> )/(</m:t>
        </m:r>
        <m:r>
          <m:rPr/>
          <w:rPr>
            <w:rFonts w:ascii="Cambria Math" w:hAnsi="Cambria Math"/>
            <w:color w:val="000000" w:themeColor="text1"/>
            <w:szCs w:val="21"/>
          </w:rPr>
          <m:t>n</m:t>
        </m:r>
        <m:r>
          <m:rPr>
            <m:sty m:val="p"/>
          </m:rPr>
          <w:rPr>
            <w:rFonts w:ascii="Cambria Math" w:hAnsi="Cambria Math"/>
            <w:color w:val="000000" w:themeColor="text1"/>
            <w:szCs w:val="21"/>
          </w:rPr>
          <m:t>−</m:t>
        </m:r>
        <m:r>
          <m:rPr/>
          <w:rPr>
            <w:rFonts w:ascii="Cambria Math" w:hAnsi="Cambria Math"/>
            <w:color w:val="000000" w:themeColor="text1"/>
            <w:szCs w:val="21"/>
          </w:rPr>
          <m:t>1</m:t>
        </m:r>
        <m:r>
          <m:rPr>
            <m:sty m:val="p"/>
          </m:rPr>
          <w:rPr>
            <w:rFonts w:ascii="Cambria Math" w:hAnsi="Cambria Math"/>
            <w:color w:val="000000" w:themeColor="text1"/>
            <w:szCs w:val="21"/>
          </w:rPr>
          <m:t xml:space="preserve"> )</m:t>
        </m:r>
      </m:oMath>
      <w:r>
        <w:rPr>
          <w:szCs w:val="21"/>
        </w:rPr>
        <w:t>……………………………………………………</w:t>
      </w:r>
      <w:r>
        <w:t>（</w:t>
      </w:r>
      <w:r>
        <w:rPr>
          <w:rFonts w:hint="eastAsia"/>
        </w:rPr>
        <w:t>9</w:t>
      </w:r>
      <w:r>
        <w:t>）</w:t>
      </w:r>
    </w:p>
    <w:p w14:paraId="3A50AB35">
      <w:pPr>
        <w:pStyle w:val="42"/>
        <w:tabs>
          <w:tab w:val="center" w:pos="709"/>
        </w:tabs>
        <w:rPr>
          <w:rFonts w:hint="eastAsia" w:hAnsi="宋体"/>
          <w:color w:val="000000" w:themeColor="text1"/>
        </w:rPr>
      </w:pPr>
      <w:r>
        <w:rPr>
          <w:rFonts w:hAnsi="宋体"/>
          <w:color w:val="000000" w:themeColor="text1"/>
        </w:rPr>
        <w:t>式中：</w:t>
      </w:r>
    </w:p>
    <w:p w14:paraId="7241A450">
      <w:pPr>
        <w:pStyle w:val="42"/>
        <w:tabs>
          <w:tab w:val="center" w:pos="709"/>
        </w:tabs>
        <w:rPr>
          <w:rFonts w:hint="eastAsia" w:hAnsi="宋体"/>
          <w:color w:val="000000" w:themeColor="text1"/>
        </w:rPr>
      </w:pPr>
      <w:r>
        <w:rPr>
          <w:rFonts w:hAnsi="宋体"/>
          <w:i/>
          <w:iCs/>
          <w:color w:val="000000" w:themeColor="text1"/>
        </w:rPr>
        <w:t>CR</w:t>
      </w:r>
      <w:r>
        <w:rPr>
          <w:rFonts w:hAnsi="宋体"/>
          <w:color w:val="000000" w:themeColor="text1"/>
        </w:rPr>
        <w:t xml:space="preserve"> </w:t>
      </w:r>
      <w:r>
        <w:rPr>
          <w:rFonts w:ascii="Times New Roman"/>
          <w:kern w:val="2"/>
          <w:szCs w:val="20"/>
        </w:rPr>
        <w:t>——</w:t>
      </w:r>
      <w:r>
        <w:rPr>
          <w:rFonts w:hAnsi="宋体"/>
          <w:color w:val="000000" w:themeColor="text1"/>
        </w:rPr>
        <w:t>一致性比例；</w:t>
      </w:r>
    </w:p>
    <w:p w14:paraId="2F8A988F">
      <w:pPr>
        <w:pStyle w:val="42"/>
        <w:tabs>
          <w:tab w:val="center" w:pos="709"/>
        </w:tabs>
        <w:rPr>
          <w:rFonts w:hint="eastAsia" w:hAnsi="宋体"/>
          <w:color w:val="000000" w:themeColor="text1"/>
        </w:rPr>
      </w:pPr>
      <w:r>
        <w:rPr>
          <w:rFonts w:hAnsi="宋体"/>
          <w:i/>
          <w:iCs/>
          <w:color w:val="000000" w:themeColor="text1"/>
        </w:rPr>
        <w:t xml:space="preserve">CI </w:t>
      </w:r>
      <w:r>
        <w:rPr>
          <w:rFonts w:ascii="Times New Roman"/>
          <w:kern w:val="2"/>
          <w:szCs w:val="20"/>
        </w:rPr>
        <w:t>——</w:t>
      </w:r>
      <w:r>
        <w:rPr>
          <w:rFonts w:hAnsi="宋体"/>
          <w:color w:val="000000" w:themeColor="text1"/>
        </w:rPr>
        <w:t>一致性指标；</w:t>
      </w:r>
    </w:p>
    <w:p w14:paraId="18FBF389">
      <w:pPr>
        <w:pStyle w:val="42"/>
        <w:tabs>
          <w:tab w:val="center" w:pos="709"/>
        </w:tabs>
        <w:rPr>
          <w:rFonts w:hint="eastAsia" w:hAnsi="宋体"/>
          <w:color w:val="000000" w:themeColor="text1"/>
        </w:rPr>
      </w:pPr>
      <w:r>
        <w:rPr>
          <w:rFonts w:hAnsi="宋体"/>
          <w:i/>
          <w:iCs/>
          <w:color w:val="000000" w:themeColor="text1"/>
        </w:rPr>
        <w:t>RI</w:t>
      </w:r>
      <w:r>
        <w:rPr>
          <w:rFonts w:hAnsi="宋体"/>
          <w:color w:val="000000" w:themeColor="text1"/>
        </w:rPr>
        <w:t xml:space="preserve"> </w:t>
      </w:r>
      <w:r>
        <w:rPr>
          <w:rFonts w:ascii="Times New Roman"/>
          <w:kern w:val="2"/>
          <w:szCs w:val="20"/>
        </w:rPr>
        <w:t>——</w:t>
      </w:r>
      <w:r>
        <w:rPr>
          <w:rFonts w:hAnsi="宋体"/>
          <w:color w:val="000000" w:themeColor="text1"/>
        </w:rPr>
        <w:t>随机一致性指标；</w:t>
      </w:r>
    </w:p>
    <w:p w14:paraId="5303B278">
      <w:pPr>
        <w:pStyle w:val="42"/>
        <w:tabs>
          <w:tab w:val="center" w:pos="709"/>
        </w:tabs>
        <w:rPr>
          <w:rFonts w:hint="eastAsia" w:hAnsi="宋体"/>
          <w:color w:val="000000" w:themeColor="text1"/>
        </w:rPr>
      </w:pPr>
      <m:oMath>
        <m:sSub>
          <m:sSubPr>
            <m:ctrlPr>
              <w:rPr>
                <w:rFonts w:ascii="Cambria Math" w:hAnsi="Cambria Math"/>
                <w:i/>
                <w:iCs/>
                <w:color w:val="000000" w:themeColor="text1"/>
                <w:kern w:val="2"/>
                <w:szCs w:val="21"/>
              </w:rPr>
            </m:ctrlPr>
          </m:sSubPr>
          <m:e>
            <m:r>
              <m:rPr/>
              <w:rPr>
                <w:rFonts w:ascii="Cambria Math" w:hAnsi="Cambria Math"/>
                <w:color w:val="000000" w:themeColor="text1"/>
                <w:szCs w:val="21"/>
              </w:rPr>
              <m:t>λ</m:t>
            </m:r>
            <m:ctrlPr>
              <w:rPr>
                <w:rFonts w:ascii="Cambria Math" w:hAnsi="Cambria Math"/>
                <w:i/>
                <w:iCs/>
                <w:color w:val="000000" w:themeColor="text1"/>
                <w:kern w:val="2"/>
                <w:szCs w:val="21"/>
              </w:rPr>
            </m:ctrlPr>
          </m:e>
          <m:sub>
            <m:r>
              <m:rPr/>
              <w:rPr>
                <w:rFonts w:ascii="Cambria Math" w:hAnsi="Cambria Math"/>
                <w:color w:val="000000" w:themeColor="text1"/>
                <w:szCs w:val="21"/>
              </w:rPr>
              <m:t>max</m:t>
            </m:r>
            <m:ctrlPr>
              <w:rPr>
                <w:rFonts w:ascii="Cambria Math" w:hAnsi="Cambria Math"/>
                <w:i/>
                <w:iCs/>
                <w:color w:val="000000" w:themeColor="text1"/>
                <w:kern w:val="2"/>
                <w:szCs w:val="21"/>
              </w:rPr>
            </m:ctrlPr>
          </m:sub>
        </m:sSub>
      </m:oMath>
      <w:r>
        <w:rPr>
          <w:rFonts w:hAnsi="宋体"/>
          <w:color w:val="000000" w:themeColor="text1"/>
        </w:rPr>
        <w:t xml:space="preserve"> </w:t>
      </w:r>
      <w:r>
        <w:rPr>
          <w:rFonts w:ascii="Times New Roman"/>
          <w:kern w:val="2"/>
          <w:szCs w:val="20"/>
        </w:rPr>
        <w:t>——</w:t>
      </w:r>
      <w:r>
        <w:rPr>
          <w:rFonts w:hAnsi="宋体"/>
          <w:color w:val="000000" w:themeColor="text1"/>
        </w:rPr>
        <w:t>判断矩阵最大特征值；</w:t>
      </w:r>
    </w:p>
    <w:p w14:paraId="42C06EA6">
      <w:pPr>
        <w:pStyle w:val="42"/>
        <w:tabs>
          <w:tab w:val="center" w:pos="709"/>
        </w:tabs>
        <w:rPr>
          <w:rFonts w:hint="eastAsia" w:hAnsi="宋体"/>
          <w:color w:val="000000" w:themeColor="text1"/>
        </w:rPr>
      </w:pPr>
      <w:r>
        <w:rPr>
          <w:rFonts w:hAnsi="宋体"/>
          <w:i/>
          <w:iCs/>
          <w:color w:val="000000" w:themeColor="text1"/>
        </w:rPr>
        <w:t xml:space="preserve">n </w:t>
      </w:r>
      <w:r>
        <w:rPr>
          <w:rFonts w:ascii="Times New Roman"/>
          <w:kern w:val="2"/>
          <w:szCs w:val="20"/>
        </w:rPr>
        <w:t>——</w:t>
      </w:r>
      <w:r>
        <w:rPr>
          <w:rFonts w:hAnsi="宋体"/>
          <w:color w:val="000000" w:themeColor="text1"/>
        </w:rPr>
        <w:t>判断矩阵阶数。</w:t>
      </w:r>
    </w:p>
    <w:p w14:paraId="39AEAAF5">
      <w:pPr>
        <w:pStyle w:val="42"/>
        <w:tabs>
          <w:tab w:val="center" w:pos="709"/>
        </w:tabs>
        <w:rPr>
          <w:rFonts w:hint="eastAsia" w:hAnsi="宋体"/>
          <w:color w:val="000000" w:themeColor="text1"/>
        </w:rPr>
      </w:pPr>
      <w:r>
        <w:rPr>
          <w:rFonts w:hAnsi="宋体"/>
          <w:color w:val="000000" w:themeColor="text1"/>
        </w:rPr>
        <w:t xml:space="preserve">当 </w:t>
      </w:r>
      <w:r>
        <w:rPr>
          <w:rFonts w:hAnsi="宋体"/>
          <w:i/>
          <w:iCs/>
          <w:color w:val="000000" w:themeColor="text1"/>
        </w:rPr>
        <w:t>CR</w:t>
      </w:r>
      <w:r>
        <w:rPr>
          <w:rFonts w:hAnsi="宋体"/>
          <w:color w:val="000000" w:themeColor="text1"/>
        </w:rPr>
        <w:t>＜0.1 时，判断矩阵可接受；否则应调整判断矩阵。</w:t>
      </w:r>
    </w:p>
    <w:p w14:paraId="7CE14534">
      <w:pPr>
        <w:pStyle w:val="75"/>
        <w:spacing w:before="156" w:after="156"/>
        <w:ind w:left="0"/>
        <w:rPr>
          <w:rFonts w:ascii="Times New Roman" w:hAnsi="Times New Roman"/>
          <w:color w:val="000000" w:themeColor="text1"/>
        </w:rPr>
      </w:pPr>
      <w:bookmarkStart w:id="149" w:name="_Toc236687298"/>
      <w:r>
        <w:rPr>
          <w:rFonts w:ascii="Times New Roman" w:hAnsi="Times New Roman"/>
          <w:color w:val="000000" w:themeColor="text1"/>
        </w:rPr>
        <w:t>风险等级划分</w:t>
      </w:r>
      <w:bookmarkEnd w:id="149"/>
    </w:p>
    <w:p w14:paraId="6928DD24">
      <w:pPr>
        <w:pStyle w:val="42"/>
        <w:tabs>
          <w:tab w:val="center" w:pos="709"/>
        </w:tabs>
        <w:rPr>
          <w:rFonts w:hint="eastAsia" w:hAnsi="宋体"/>
          <w:color w:val="000000" w:themeColor="text1"/>
        </w:rPr>
      </w:pPr>
      <w:r>
        <w:rPr>
          <w:rFonts w:hAnsi="宋体"/>
          <w:color w:val="000000" w:themeColor="text1"/>
        </w:rPr>
        <w:t>综合风险指数 R 计算完成后，应进行风险等级划分。风险等级宜划分为很低、低、中、高和很高五级。等级划分宜采用自然间断法、分位数法或基于历史火灾验证的阈值法。</w:t>
      </w:r>
      <w:r>
        <w:rPr>
          <w:rFonts w:hint="eastAsia" w:hAnsi="宋体"/>
          <w:color w:val="000000" w:themeColor="text1"/>
        </w:rPr>
        <w:t>各等级风险区需要采取的管理建议见表5.</w:t>
      </w:r>
    </w:p>
    <w:p w14:paraId="5FB894A7">
      <w:pPr>
        <w:pStyle w:val="7"/>
        <w:spacing w:before="156" w:beforeLines="50" w:after="156" w:afterLines="50"/>
        <w:jc w:val="center"/>
        <w:rPr>
          <w:rFonts w:hint="eastAsia" w:ascii="黑体" w:hAnsi="黑体"/>
          <w:color w:val="000000"/>
          <w:sz w:val="21"/>
          <w:szCs w:val="21"/>
        </w:rPr>
      </w:pPr>
      <w:r>
        <w:rPr>
          <w:rFonts w:ascii="黑体" w:hAnsi="黑体"/>
          <w:color w:val="000000"/>
          <w:sz w:val="21"/>
          <w:szCs w:val="21"/>
        </w:rPr>
        <w:t>表5 森林火灾风险等级划分及管理建议</w:t>
      </w:r>
    </w:p>
    <w:tbl>
      <w:tblPr>
        <w:tblStyle w:val="23"/>
        <w:tblW w:w="487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4396"/>
        <w:gridCol w:w="3684"/>
      </w:tblGrid>
      <w:tr w14:paraId="1FBB2B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66" w:type="pct"/>
            <w:tcBorders>
              <w:top w:val="single" w:color="auto" w:sz="12" w:space="0"/>
              <w:bottom w:val="single" w:color="auto" w:sz="12" w:space="0"/>
            </w:tcBorders>
            <w:vAlign w:val="center"/>
          </w:tcPr>
          <w:p w14:paraId="316696A1">
            <w:pPr>
              <w:adjustRightInd w:val="0"/>
              <w:snapToGrid w:val="0"/>
              <w:jc w:val="center"/>
              <w:rPr>
                <w:rFonts w:eastAsia="微软雅黑"/>
                <w:color w:val="000000" w:themeColor="text1"/>
                <w:sz w:val="18"/>
                <w:szCs w:val="18"/>
              </w:rPr>
            </w:pPr>
            <w:r>
              <w:rPr>
                <w:rFonts w:eastAsia="微软雅黑"/>
                <w:color w:val="000000" w:themeColor="text1"/>
                <w:sz w:val="18"/>
                <w:szCs w:val="18"/>
              </w:rPr>
              <w:t>风险等级</w:t>
            </w:r>
          </w:p>
        </w:tc>
        <w:tc>
          <w:tcPr>
            <w:tcW w:w="2358" w:type="pct"/>
            <w:tcBorders>
              <w:top w:val="single" w:color="auto" w:sz="12" w:space="0"/>
              <w:bottom w:val="single" w:color="000000" w:sz="4" w:space="0"/>
            </w:tcBorders>
            <w:vAlign w:val="center"/>
          </w:tcPr>
          <w:p w14:paraId="47AD6CF0">
            <w:pPr>
              <w:adjustRightInd w:val="0"/>
              <w:snapToGrid w:val="0"/>
              <w:jc w:val="center"/>
              <w:rPr>
                <w:rFonts w:eastAsia="微软雅黑"/>
                <w:color w:val="000000" w:themeColor="text1"/>
                <w:sz w:val="18"/>
                <w:szCs w:val="18"/>
              </w:rPr>
            </w:pPr>
            <w:r>
              <w:rPr>
                <w:rFonts w:eastAsia="微软雅黑"/>
                <w:color w:val="000000" w:themeColor="text1"/>
                <w:sz w:val="18"/>
                <w:szCs w:val="18"/>
              </w:rPr>
              <w:t>等级含义</w:t>
            </w:r>
          </w:p>
        </w:tc>
        <w:tc>
          <w:tcPr>
            <w:tcW w:w="1976" w:type="pct"/>
            <w:tcBorders>
              <w:top w:val="single" w:color="auto" w:sz="12" w:space="0"/>
              <w:bottom w:val="single" w:color="000000" w:sz="4" w:space="0"/>
            </w:tcBorders>
            <w:vAlign w:val="center"/>
          </w:tcPr>
          <w:p w14:paraId="530F864B">
            <w:pPr>
              <w:adjustRightInd w:val="0"/>
              <w:snapToGrid w:val="0"/>
              <w:jc w:val="center"/>
              <w:rPr>
                <w:rFonts w:eastAsia="微软雅黑"/>
                <w:color w:val="000000" w:themeColor="text1"/>
                <w:sz w:val="18"/>
                <w:szCs w:val="18"/>
              </w:rPr>
            </w:pPr>
            <w:r>
              <w:rPr>
                <w:rFonts w:eastAsia="微软雅黑"/>
                <w:color w:val="000000" w:themeColor="text1"/>
                <w:sz w:val="18"/>
                <w:szCs w:val="18"/>
              </w:rPr>
              <w:t>管理建议</w:t>
            </w:r>
          </w:p>
        </w:tc>
      </w:tr>
      <w:tr w14:paraId="4FFE4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666" w:type="pct"/>
            <w:tcBorders>
              <w:top w:val="single" w:color="auto" w:sz="12" w:space="0"/>
            </w:tcBorders>
            <w:vAlign w:val="center"/>
          </w:tcPr>
          <w:p w14:paraId="155D7731">
            <w:pPr>
              <w:adjustRightInd w:val="0"/>
              <w:snapToGrid w:val="0"/>
              <w:spacing w:line="276" w:lineRule="auto"/>
              <w:jc w:val="center"/>
              <w:rPr>
                <w:color w:val="000000" w:themeColor="text1"/>
                <w:sz w:val="18"/>
                <w:szCs w:val="18"/>
              </w:rPr>
            </w:pPr>
            <w:r>
              <w:rPr>
                <w:sz w:val="18"/>
                <w:szCs w:val="18"/>
              </w:rPr>
              <w:t>很低</w:t>
            </w:r>
          </w:p>
        </w:tc>
        <w:tc>
          <w:tcPr>
            <w:tcW w:w="2358" w:type="pct"/>
            <w:tcBorders>
              <w:top w:val="single" w:color="auto" w:sz="12" w:space="0"/>
            </w:tcBorders>
            <w:vAlign w:val="center"/>
          </w:tcPr>
          <w:p w14:paraId="3DB250FE">
            <w:pPr>
              <w:adjustRightInd w:val="0"/>
              <w:snapToGrid w:val="0"/>
              <w:spacing w:line="276" w:lineRule="auto"/>
              <w:jc w:val="left"/>
              <w:rPr>
                <w:color w:val="000000" w:themeColor="text1"/>
                <w:sz w:val="18"/>
                <w:szCs w:val="18"/>
              </w:rPr>
            </w:pPr>
            <w:r>
              <w:rPr>
                <w:sz w:val="18"/>
                <w:szCs w:val="18"/>
              </w:rPr>
              <w:t>火发生和蔓延可能性低，潜在影响较小</w:t>
            </w:r>
          </w:p>
        </w:tc>
        <w:tc>
          <w:tcPr>
            <w:tcW w:w="1976" w:type="pct"/>
            <w:tcBorders>
              <w:top w:val="single" w:color="auto" w:sz="12" w:space="0"/>
            </w:tcBorders>
            <w:vAlign w:val="center"/>
          </w:tcPr>
          <w:p w14:paraId="310A641E">
            <w:pPr>
              <w:adjustRightInd w:val="0"/>
              <w:snapToGrid w:val="0"/>
              <w:spacing w:line="276" w:lineRule="auto"/>
              <w:jc w:val="left"/>
              <w:rPr>
                <w:sz w:val="18"/>
                <w:szCs w:val="18"/>
              </w:rPr>
            </w:pPr>
            <w:r>
              <w:rPr>
                <w:sz w:val="18"/>
                <w:szCs w:val="18"/>
              </w:rPr>
              <w:t>常规巡护和宣传</w:t>
            </w:r>
          </w:p>
        </w:tc>
      </w:tr>
      <w:tr w14:paraId="3A1E99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666" w:type="pct"/>
            <w:tcBorders>
              <w:bottom w:val="single" w:color="auto" w:sz="4" w:space="0"/>
            </w:tcBorders>
            <w:vAlign w:val="center"/>
          </w:tcPr>
          <w:p w14:paraId="5832F37A">
            <w:pPr>
              <w:adjustRightInd w:val="0"/>
              <w:snapToGrid w:val="0"/>
              <w:spacing w:line="276" w:lineRule="auto"/>
              <w:jc w:val="center"/>
              <w:rPr>
                <w:color w:val="000000" w:themeColor="text1"/>
                <w:sz w:val="18"/>
                <w:szCs w:val="18"/>
              </w:rPr>
            </w:pPr>
            <w:r>
              <w:rPr>
                <w:sz w:val="18"/>
                <w:szCs w:val="18"/>
              </w:rPr>
              <w:t>低</w:t>
            </w:r>
          </w:p>
        </w:tc>
        <w:tc>
          <w:tcPr>
            <w:tcW w:w="2358" w:type="pct"/>
            <w:tcBorders>
              <w:bottom w:val="single" w:color="auto" w:sz="4" w:space="0"/>
            </w:tcBorders>
            <w:vAlign w:val="center"/>
          </w:tcPr>
          <w:p w14:paraId="35B386E8">
            <w:pPr>
              <w:adjustRightInd w:val="0"/>
              <w:snapToGrid w:val="0"/>
              <w:spacing w:line="276" w:lineRule="auto"/>
              <w:jc w:val="left"/>
              <w:rPr>
                <w:color w:val="000000" w:themeColor="text1"/>
                <w:sz w:val="18"/>
                <w:szCs w:val="18"/>
              </w:rPr>
            </w:pPr>
            <w:r>
              <w:rPr>
                <w:sz w:val="18"/>
                <w:szCs w:val="18"/>
              </w:rPr>
              <w:t>存在一定火发生可能，局地可形成低强度火</w:t>
            </w:r>
          </w:p>
        </w:tc>
        <w:tc>
          <w:tcPr>
            <w:tcW w:w="1976" w:type="pct"/>
            <w:vAlign w:val="center"/>
          </w:tcPr>
          <w:p w14:paraId="4D646E76">
            <w:pPr>
              <w:adjustRightInd w:val="0"/>
              <w:snapToGrid w:val="0"/>
              <w:spacing w:line="276" w:lineRule="auto"/>
              <w:jc w:val="left"/>
              <w:rPr>
                <w:color w:val="000000" w:themeColor="text1"/>
                <w:sz w:val="18"/>
                <w:szCs w:val="18"/>
              </w:rPr>
            </w:pPr>
            <w:r>
              <w:rPr>
                <w:sz w:val="18"/>
                <w:szCs w:val="18"/>
              </w:rPr>
              <w:t>保持监测，开展一般性可燃物管理</w:t>
            </w:r>
          </w:p>
        </w:tc>
      </w:tr>
      <w:tr w14:paraId="2BEAAD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666" w:type="pct"/>
            <w:tcBorders>
              <w:bottom w:val="single" w:color="auto" w:sz="4" w:space="0"/>
            </w:tcBorders>
            <w:vAlign w:val="center"/>
          </w:tcPr>
          <w:p w14:paraId="002AA5AA">
            <w:pPr>
              <w:adjustRightInd w:val="0"/>
              <w:snapToGrid w:val="0"/>
              <w:spacing w:line="276" w:lineRule="auto"/>
              <w:jc w:val="center"/>
              <w:rPr>
                <w:color w:val="000000" w:themeColor="text1"/>
                <w:sz w:val="18"/>
                <w:szCs w:val="18"/>
              </w:rPr>
            </w:pPr>
            <w:r>
              <w:rPr>
                <w:sz w:val="18"/>
                <w:szCs w:val="18"/>
              </w:rPr>
              <w:t>中</w:t>
            </w:r>
          </w:p>
        </w:tc>
        <w:tc>
          <w:tcPr>
            <w:tcW w:w="2358" w:type="pct"/>
            <w:tcBorders>
              <w:bottom w:val="single" w:color="000000" w:sz="4" w:space="0"/>
            </w:tcBorders>
            <w:vAlign w:val="center"/>
          </w:tcPr>
          <w:p w14:paraId="7F222DD1">
            <w:pPr>
              <w:adjustRightInd w:val="0"/>
              <w:snapToGrid w:val="0"/>
              <w:spacing w:line="276" w:lineRule="auto"/>
              <w:jc w:val="left"/>
              <w:rPr>
                <w:color w:val="000000" w:themeColor="text1"/>
                <w:sz w:val="18"/>
                <w:szCs w:val="18"/>
              </w:rPr>
            </w:pPr>
            <w:r>
              <w:rPr>
                <w:sz w:val="18"/>
                <w:szCs w:val="18"/>
              </w:rPr>
              <w:t>火发生或蔓延可能性较明显，可能影响资源和资产</w:t>
            </w:r>
          </w:p>
        </w:tc>
        <w:tc>
          <w:tcPr>
            <w:tcW w:w="1976" w:type="pct"/>
            <w:tcBorders>
              <w:bottom w:val="single" w:color="000000" w:sz="4" w:space="0"/>
            </w:tcBorders>
            <w:vAlign w:val="center"/>
          </w:tcPr>
          <w:p w14:paraId="794EAE1C">
            <w:pPr>
              <w:adjustRightInd w:val="0"/>
              <w:snapToGrid w:val="0"/>
              <w:spacing w:line="276" w:lineRule="auto"/>
              <w:jc w:val="left"/>
              <w:rPr>
                <w:color w:val="000000" w:themeColor="text1"/>
                <w:sz w:val="18"/>
                <w:szCs w:val="18"/>
              </w:rPr>
            </w:pPr>
            <w:r>
              <w:rPr>
                <w:sz w:val="18"/>
                <w:szCs w:val="18"/>
              </w:rPr>
              <w:t>加强巡护，完善阻隔和应急准备</w:t>
            </w:r>
          </w:p>
        </w:tc>
      </w:tr>
      <w:tr w14:paraId="5D1BE8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666" w:type="pct"/>
            <w:tcBorders>
              <w:bottom w:val="single" w:color="auto" w:sz="4" w:space="0"/>
            </w:tcBorders>
            <w:vAlign w:val="center"/>
          </w:tcPr>
          <w:p w14:paraId="1B881F17">
            <w:pPr>
              <w:adjustRightInd w:val="0"/>
              <w:snapToGrid w:val="0"/>
              <w:spacing w:line="276" w:lineRule="auto"/>
              <w:jc w:val="center"/>
              <w:rPr>
                <w:rFonts w:hint="eastAsia" w:ascii="宋体" w:hAnsi="宋体"/>
                <w:color w:val="000000" w:themeColor="text1"/>
                <w:sz w:val="18"/>
                <w:szCs w:val="18"/>
              </w:rPr>
            </w:pPr>
            <w:r>
              <w:rPr>
                <w:sz w:val="18"/>
                <w:szCs w:val="18"/>
              </w:rPr>
              <w:t>高</w:t>
            </w:r>
          </w:p>
        </w:tc>
        <w:tc>
          <w:tcPr>
            <w:tcW w:w="2358" w:type="pct"/>
            <w:tcBorders>
              <w:bottom w:val="single" w:color="auto" w:sz="4" w:space="0"/>
            </w:tcBorders>
            <w:vAlign w:val="center"/>
          </w:tcPr>
          <w:p w14:paraId="501D67B5">
            <w:pPr>
              <w:adjustRightInd w:val="0"/>
              <w:snapToGrid w:val="0"/>
              <w:spacing w:line="276" w:lineRule="auto"/>
              <w:jc w:val="left"/>
              <w:rPr>
                <w:rFonts w:hint="eastAsia" w:ascii="宋体" w:hAnsi="宋体"/>
                <w:color w:val="000000" w:themeColor="text1"/>
                <w:sz w:val="18"/>
                <w:szCs w:val="18"/>
              </w:rPr>
            </w:pPr>
            <w:r>
              <w:rPr>
                <w:sz w:val="18"/>
                <w:szCs w:val="18"/>
              </w:rPr>
              <w:t>火发生可能性、火行为强度或负面影响较高</w:t>
            </w:r>
          </w:p>
        </w:tc>
        <w:tc>
          <w:tcPr>
            <w:tcW w:w="1976" w:type="pct"/>
            <w:vAlign w:val="center"/>
          </w:tcPr>
          <w:p w14:paraId="2126C6F5">
            <w:pPr>
              <w:adjustRightInd w:val="0"/>
              <w:snapToGrid w:val="0"/>
              <w:spacing w:line="276" w:lineRule="auto"/>
              <w:jc w:val="left"/>
              <w:rPr>
                <w:rFonts w:hint="eastAsia" w:ascii="宋体" w:hAnsi="宋体"/>
                <w:color w:val="000000" w:themeColor="text1"/>
                <w:sz w:val="18"/>
                <w:szCs w:val="18"/>
              </w:rPr>
            </w:pPr>
            <w:r>
              <w:rPr>
                <w:sz w:val="18"/>
                <w:szCs w:val="18"/>
              </w:rPr>
              <w:t>优先开展可燃物处理和重点设施保护</w:t>
            </w:r>
          </w:p>
        </w:tc>
      </w:tr>
      <w:tr w14:paraId="214B3F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666" w:type="pct"/>
            <w:tcBorders>
              <w:top w:val="single" w:color="auto" w:sz="4" w:space="0"/>
              <w:bottom w:val="single" w:color="auto" w:sz="12" w:space="0"/>
            </w:tcBorders>
            <w:vAlign w:val="center"/>
          </w:tcPr>
          <w:p w14:paraId="7737F90E">
            <w:pPr>
              <w:adjustRightInd w:val="0"/>
              <w:snapToGrid w:val="0"/>
              <w:spacing w:line="276" w:lineRule="auto"/>
              <w:jc w:val="center"/>
              <w:rPr>
                <w:rFonts w:hint="eastAsia" w:ascii="宋体" w:hAnsi="宋体"/>
                <w:color w:val="000000" w:themeColor="text1"/>
                <w:sz w:val="18"/>
                <w:szCs w:val="18"/>
              </w:rPr>
            </w:pPr>
            <w:r>
              <w:rPr>
                <w:sz w:val="18"/>
                <w:szCs w:val="18"/>
              </w:rPr>
              <w:t>很高</w:t>
            </w:r>
          </w:p>
        </w:tc>
        <w:tc>
          <w:tcPr>
            <w:tcW w:w="2358" w:type="pct"/>
            <w:tcBorders>
              <w:top w:val="single" w:color="auto" w:sz="4" w:space="0"/>
              <w:bottom w:val="single" w:color="auto" w:sz="12" w:space="0"/>
            </w:tcBorders>
            <w:vAlign w:val="center"/>
          </w:tcPr>
          <w:p w14:paraId="395A829A">
            <w:pPr>
              <w:adjustRightInd w:val="0"/>
              <w:snapToGrid w:val="0"/>
              <w:spacing w:line="276" w:lineRule="auto"/>
              <w:jc w:val="left"/>
              <w:rPr>
                <w:color w:val="000000" w:themeColor="text1"/>
                <w:sz w:val="18"/>
                <w:szCs w:val="18"/>
              </w:rPr>
            </w:pPr>
            <w:r>
              <w:rPr>
                <w:sz w:val="18"/>
                <w:szCs w:val="18"/>
              </w:rPr>
              <w:t>极易形成高强度火或对人员、居民点、重要资源造成严重威胁</w:t>
            </w:r>
          </w:p>
        </w:tc>
        <w:tc>
          <w:tcPr>
            <w:tcW w:w="1976" w:type="pct"/>
            <w:tcBorders>
              <w:bottom w:val="single" w:color="auto" w:sz="12" w:space="0"/>
            </w:tcBorders>
            <w:vAlign w:val="center"/>
          </w:tcPr>
          <w:p w14:paraId="38873DA4">
            <w:pPr>
              <w:adjustRightInd w:val="0"/>
              <w:snapToGrid w:val="0"/>
              <w:spacing w:line="276" w:lineRule="auto"/>
              <w:jc w:val="left"/>
              <w:rPr>
                <w:rFonts w:hint="eastAsia" w:ascii="宋体" w:hAnsi="宋体"/>
                <w:color w:val="000000" w:themeColor="text1"/>
                <w:sz w:val="18"/>
                <w:szCs w:val="18"/>
              </w:rPr>
            </w:pPr>
            <w:r>
              <w:rPr>
                <w:sz w:val="18"/>
                <w:szCs w:val="18"/>
              </w:rPr>
              <w:t>列为重点治理区，制定专项减缓和疏散方案</w:t>
            </w:r>
          </w:p>
        </w:tc>
      </w:tr>
    </w:tbl>
    <w:p w14:paraId="17EBD761">
      <w:pPr>
        <w:pStyle w:val="73"/>
        <w:numPr>
          <w:ilvl w:val="1"/>
          <w:numId w:val="1"/>
        </w:numPr>
        <w:spacing w:before="312" w:after="312"/>
        <w:ind w:left="0"/>
        <w:rPr>
          <w:rFonts w:ascii="Times New Roman" w:hAnsi="Times New Roman"/>
          <w:color w:val="000000" w:themeColor="text1"/>
        </w:rPr>
      </w:pPr>
      <w:bookmarkStart w:id="150" w:name="_Toc236687299"/>
      <w:r>
        <w:rPr>
          <w:rFonts w:ascii="Times New Roman" w:hAnsi="Times New Roman"/>
          <w:color w:val="000000" w:themeColor="text1"/>
        </w:rPr>
        <w:t>成果表达</w:t>
      </w:r>
      <w:bookmarkEnd w:id="150"/>
    </w:p>
    <w:p w14:paraId="333965B9">
      <w:pPr>
        <w:pStyle w:val="75"/>
        <w:spacing w:beforeLines="0" w:afterLines="0"/>
        <w:ind w:left="0"/>
        <w:rPr>
          <w:rFonts w:ascii="Times New Roman" w:hAnsi="Times New Roman" w:eastAsia="宋体"/>
          <w:color w:val="000000" w:themeColor="text1"/>
        </w:rPr>
      </w:pPr>
      <w:bookmarkStart w:id="151" w:name="_Toc236687300"/>
      <w:r>
        <w:rPr>
          <w:rFonts w:ascii="Times New Roman" w:hAnsi="Times New Roman" w:eastAsia="宋体"/>
          <w:color w:val="000000" w:themeColor="text1"/>
        </w:rPr>
        <w:t>评估成果应包括但不限于：</w:t>
      </w:r>
      <w:bookmarkEnd w:id="151"/>
    </w:p>
    <w:p w14:paraId="113697D7">
      <w:pPr>
        <w:pStyle w:val="42"/>
        <w:numPr>
          <w:ilvl w:val="0"/>
          <w:numId w:val="6"/>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评估技术报告；</w:t>
      </w:r>
    </w:p>
    <w:p w14:paraId="2196B87A">
      <w:pPr>
        <w:pStyle w:val="42"/>
        <w:numPr>
          <w:ilvl w:val="0"/>
          <w:numId w:val="6"/>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综合风险等级图；</w:t>
      </w:r>
    </w:p>
    <w:p w14:paraId="7E750CE7">
      <w:pPr>
        <w:pStyle w:val="42"/>
        <w:numPr>
          <w:ilvl w:val="0"/>
          <w:numId w:val="6"/>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可能性、暴露性、脆弱性分项图；</w:t>
      </w:r>
    </w:p>
    <w:p w14:paraId="35941D6D">
      <w:pPr>
        <w:pStyle w:val="42"/>
        <w:numPr>
          <w:ilvl w:val="0"/>
          <w:numId w:val="6"/>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高风险区域清单；</w:t>
      </w:r>
    </w:p>
    <w:p w14:paraId="541E181F">
      <w:pPr>
        <w:pStyle w:val="42"/>
        <w:numPr>
          <w:ilvl w:val="0"/>
          <w:numId w:val="6"/>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风险减缓建议；</w:t>
      </w:r>
    </w:p>
    <w:p w14:paraId="36A9DA95">
      <w:pPr>
        <w:pStyle w:val="42"/>
        <w:numPr>
          <w:ilvl w:val="0"/>
          <w:numId w:val="6"/>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数据来源、模型参数和不确定性说明；</w:t>
      </w:r>
    </w:p>
    <w:p w14:paraId="4DB26547">
      <w:pPr>
        <w:pStyle w:val="42"/>
        <w:numPr>
          <w:ilvl w:val="0"/>
          <w:numId w:val="6"/>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结果证实记录。</w:t>
      </w:r>
    </w:p>
    <w:p w14:paraId="4FE421BE">
      <w:pPr>
        <w:pStyle w:val="75"/>
        <w:spacing w:beforeLines="0" w:afterLines="0"/>
        <w:ind w:left="0"/>
        <w:rPr>
          <w:rFonts w:ascii="Times New Roman" w:hAnsi="Times New Roman" w:eastAsia="宋体"/>
          <w:color w:val="000000" w:themeColor="text1"/>
        </w:rPr>
      </w:pPr>
      <w:bookmarkStart w:id="152" w:name="_Toc236687301"/>
      <w:r>
        <w:rPr>
          <w:rFonts w:ascii="Times New Roman" w:hAnsi="Times New Roman" w:eastAsia="宋体"/>
          <w:color w:val="000000" w:themeColor="text1"/>
        </w:rPr>
        <w:t>专题图应标明图名、比例尺、坐标系统、图例、数据来源、制图时间和编制单位。图式符号宜符合 GB/T 20257.1、GB/T 20257.2 和 GB/T 24354 的有关要求。</w:t>
      </w:r>
      <w:bookmarkEnd w:id="152"/>
    </w:p>
    <w:p w14:paraId="7DEF64C4">
      <w:pPr>
        <w:pStyle w:val="75"/>
        <w:spacing w:beforeLines="0" w:afterLines="0"/>
        <w:ind w:left="0"/>
        <w:rPr>
          <w:rFonts w:ascii="Times New Roman" w:hAnsi="Times New Roman" w:eastAsia="宋体"/>
          <w:color w:val="000000" w:themeColor="text1"/>
        </w:rPr>
      </w:pPr>
      <w:bookmarkStart w:id="153" w:name="_Toc236687302"/>
      <w:r>
        <w:rPr>
          <w:rFonts w:ascii="Times New Roman" w:hAnsi="Times New Roman" w:eastAsia="宋体"/>
          <w:color w:val="000000" w:themeColor="text1"/>
        </w:rPr>
        <w:t>风险评估结果与实际情况存在明显偏差时，应分析数据质量、参数设置、模型适用性或等级阈值等方面的原因，并根据分析结果进行修正；修正过程和结果应形成记录。</w:t>
      </w:r>
      <w:bookmarkEnd w:id="153"/>
    </w:p>
    <w:p w14:paraId="63F99EE0">
      <w:pPr>
        <w:pStyle w:val="73"/>
        <w:numPr>
          <w:ilvl w:val="1"/>
          <w:numId w:val="1"/>
        </w:numPr>
        <w:spacing w:before="312" w:after="312"/>
        <w:ind w:left="0"/>
        <w:rPr>
          <w:rFonts w:ascii="Times New Roman" w:hAnsi="Times New Roman"/>
          <w:color w:val="000000" w:themeColor="text1"/>
        </w:rPr>
      </w:pPr>
      <w:bookmarkStart w:id="154" w:name="_Toc236687303"/>
      <w:r>
        <w:rPr>
          <w:rFonts w:ascii="Times New Roman" w:hAnsi="Times New Roman"/>
          <w:color w:val="000000" w:themeColor="text1"/>
        </w:rPr>
        <w:t>证实方法</w:t>
      </w:r>
      <w:bookmarkEnd w:id="154"/>
    </w:p>
    <w:p w14:paraId="7A50D1F6">
      <w:pPr>
        <w:pStyle w:val="75"/>
        <w:spacing w:beforeLines="0" w:afterLines="0"/>
        <w:ind w:left="0"/>
        <w:rPr>
          <w:rFonts w:ascii="Times New Roman" w:hAnsi="Times New Roman" w:eastAsia="宋体"/>
          <w:color w:val="000000" w:themeColor="text1"/>
        </w:rPr>
      </w:pPr>
      <w:bookmarkStart w:id="155" w:name="_Toc236687304"/>
      <w:r>
        <w:rPr>
          <w:rFonts w:ascii="Times New Roman" w:hAnsi="Times New Roman" w:eastAsia="宋体"/>
          <w:color w:val="000000" w:themeColor="text1"/>
        </w:rPr>
        <w:t>森林火灾风险评估结果应进行证实。证实内容宜包括风险等级空间分布、重点风险区域识别结果以及主要模型输出或指标计算结果。</w:t>
      </w:r>
      <w:bookmarkEnd w:id="155"/>
    </w:p>
    <w:p w14:paraId="0993BB5D">
      <w:pPr>
        <w:pStyle w:val="75"/>
        <w:spacing w:beforeLines="0" w:afterLines="0"/>
        <w:ind w:left="0"/>
        <w:rPr>
          <w:rFonts w:ascii="Times New Roman" w:hAnsi="Times New Roman" w:eastAsia="宋体"/>
          <w:color w:val="000000" w:themeColor="text1"/>
        </w:rPr>
      </w:pPr>
      <w:bookmarkStart w:id="156" w:name="_Toc236687305"/>
      <w:r>
        <w:rPr>
          <w:rFonts w:ascii="Times New Roman" w:hAnsi="Times New Roman" w:eastAsia="宋体"/>
          <w:color w:val="000000" w:themeColor="text1"/>
        </w:rPr>
        <w:t>应根据评估区域的数据条件，采用下列一种或多种方法进行证实：</w:t>
      </w:r>
      <w:bookmarkEnd w:id="156"/>
    </w:p>
    <w:p w14:paraId="03878EF8">
      <w:pPr>
        <w:pStyle w:val="42"/>
        <w:numPr>
          <w:ilvl w:val="0"/>
          <w:numId w:val="7"/>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将综合风险等级图与历史火点、过火范围、火灾规模、火烈度等历史火灾资料进行对比；</w:t>
      </w:r>
    </w:p>
    <w:p w14:paraId="02846BB5">
      <w:pPr>
        <w:pStyle w:val="42"/>
        <w:numPr>
          <w:ilvl w:val="0"/>
          <w:numId w:val="7"/>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采用遥感影像、无人机调查、过火区调查或现场抽查结果，对风险区域空间分布进行核查；</w:t>
      </w:r>
    </w:p>
    <w:p w14:paraId="2D24A74B">
      <w:pPr>
        <w:pStyle w:val="42"/>
        <w:numPr>
          <w:ilvl w:val="0"/>
          <w:numId w:val="7"/>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将燃烧概率、蔓延速度、火强度、火焰长度等模型输出结果与区域历史火灾特征和实际火环境条件进行合理性比对。</w:t>
      </w:r>
    </w:p>
    <w:p w14:paraId="7232A5FD">
      <w:pPr>
        <w:pStyle w:val="75"/>
        <w:spacing w:beforeLines="0" w:afterLines="0"/>
        <w:ind w:left="0"/>
        <w:rPr>
          <w:rFonts w:ascii="Times New Roman" w:hAnsi="Times New Roman" w:eastAsia="宋体"/>
          <w:color w:val="000000" w:themeColor="text1"/>
        </w:rPr>
      </w:pPr>
      <w:bookmarkStart w:id="157" w:name="_Toc236687306"/>
      <w:r>
        <w:rPr>
          <w:rFonts w:ascii="Times New Roman" w:hAnsi="Times New Roman" w:eastAsia="宋体"/>
          <w:color w:val="000000" w:themeColor="text1"/>
        </w:rPr>
        <w:t>证实结果与实际情况存在明显偏差时，应分析基础数据、模型参数、指标权重、等级阈值或模型适用性等方面的原因，并根据分析结果进行修正。证实所采用的数据、方法、过程、结论及修正情况应形成记录，并纳入评估报告。</w:t>
      </w:r>
      <w:bookmarkEnd w:id="157"/>
    </w:p>
    <w:p w14:paraId="1C16BF2B">
      <w:pPr>
        <w:pStyle w:val="73"/>
        <w:numPr>
          <w:ilvl w:val="1"/>
          <w:numId w:val="1"/>
        </w:numPr>
        <w:spacing w:before="312" w:after="312"/>
        <w:ind w:left="0"/>
        <w:rPr>
          <w:rFonts w:ascii="Times New Roman" w:hAnsi="Times New Roman"/>
          <w:color w:val="000000" w:themeColor="text1"/>
        </w:rPr>
      </w:pPr>
      <w:bookmarkStart w:id="158" w:name="_Toc236687307"/>
      <w:r>
        <w:rPr>
          <w:rFonts w:ascii="Times New Roman" w:hAnsi="Times New Roman"/>
          <w:color w:val="000000" w:themeColor="text1"/>
        </w:rPr>
        <w:t>动态更新与重新评估</w:t>
      </w:r>
      <w:bookmarkEnd w:id="158"/>
    </w:p>
    <w:p w14:paraId="2FB08999">
      <w:pPr>
        <w:pStyle w:val="75"/>
        <w:spacing w:beforeLines="0" w:afterLines="0"/>
        <w:ind w:left="0"/>
        <w:rPr>
          <w:rFonts w:ascii="Times New Roman" w:hAnsi="Times New Roman" w:eastAsia="宋体"/>
          <w:color w:val="000000" w:themeColor="text1"/>
        </w:rPr>
      </w:pPr>
      <w:bookmarkStart w:id="159" w:name="_Toc236687308"/>
      <w:r>
        <w:rPr>
          <w:rFonts w:ascii="Times New Roman" w:hAnsi="Times New Roman" w:eastAsia="宋体"/>
          <w:color w:val="000000" w:themeColor="text1"/>
        </w:rPr>
        <w:t>出现以下情形之一时，应开展重新评估或局部更新：</w:t>
      </w:r>
      <w:bookmarkEnd w:id="159"/>
    </w:p>
    <w:p w14:paraId="229B762B">
      <w:pPr>
        <w:pStyle w:val="42"/>
        <w:numPr>
          <w:ilvl w:val="0"/>
          <w:numId w:val="8"/>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发生重大森林火灾或</w:t>
      </w:r>
      <w:r>
        <w:rPr>
          <w:rFonts w:hint="eastAsia" w:hAnsi="宋体"/>
          <w:color w:val="000000" w:themeColor="text1"/>
        </w:rPr>
        <w:t>火动态</w:t>
      </w:r>
      <w:r>
        <w:rPr>
          <w:rFonts w:hAnsi="宋体"/>
          <w:color w:val="000000" w:themeColor="text1"/>
        </w:rPr>
        <w:t>发生明显变化；</w:t>
      </w:r>
    </w:p>
    <w:p w14:paraId="41112351">
      <w:pPr>
        <w:pStyle w:val="42"/>
        <w:numPr>
          <w:ilvl w:val="0"/>
          <w:numId w:val="8"/>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可燃物、植被恢复、采伐、造林或可燃物处理导致景观结构明显变化；</w:t>
      </w:r>
    </w:p>
    <w:p w14:paraId="4984B025">
      <w:pPr>
        <w:pStyle w:val="42"/>
        <w:numPr>
          <w:ilvl w:val="0"/>
          <w:numId w:val="8"/>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居民点、交通、电力、通信等资产布局发生变化；</w:t>
      </w:r>
    </w:p>
    <w:p w14:paraId="02664D7E">
      <w:pPr>
        <w:pStyle w:val="42"/>
        <w:numPr>
          <w:ilvl w:val="0"/>
          <w:numId w:val="8"/>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气象气候条件或火险期特征发生明显变化；</w:t>
      </w:r>
    </w:p>
    <w:p w14:paraId="29B78A48">
      <w:pPr>
        <w:pStyle w:val="42"/>
        <w:numPr>
          <w:ilvl w:val="0"/>
          <w:numId w:val="8"/>
        </w:numPr>
        <w:tabs>
          <w:tab w:val="right" w:leader="dot" w:pos="426"/>
          <w:tab w:val="clear" w:pos="4201"/>
          <w:tab w:val="clear" w:pos="9298"/>
        </w:tabs>
        <w:ind w:firstLineChars="0"/>
        <w:rPr>
          <w:rFonts w:hint="eastAsia" w:hAnsi="宋体"/>
          <w:color w:val="000000" w:themeColor="text1"/>
        </w:rPr>
      </w:pPr>
      <w:r>
        <w:rPr>
          <w:rFonts w:hAnsi="宋体"/>
          <w:color w:val="000000" w:themeColor="text1"/>
        </w:rPr>
        <w:t>管理目标、评估尺度或风险沟通需求发生变化。</w:t>
      </w:r>
    </w:p>
    <w:p w14:paraId="0140A5C8">
      <w:pPr>
        <w:pStyle w:val="75"/>
        <w:spacing w:beforeLines="0" w:afterLines="0"/>
        <w:ind w:left="0"/>
        <w:rPr>
          <w:rFonts w:ascii="Times New Roman" w:hAnsi="Times New Roman" w:eastAsia="宋体"/>
          <w:color w:val="000000" w:themeColor="text1"/>
        </w:rPr>
      </w:pPr>
      <w:bookmarkStart w:id="160" w:name="_Toc236687309"/>
      <w:r>
        <w:rPr>
          <w:rFonts w:ascii="Times New Roman" w:hAnsi="Times New Roman" w:eastAsia="宋体"/>
          <w:color w:val="000000" w:themeColor="text1"/>
        </w:rPr>
        <w:t>常规评估更新周期宜为 3 年～5 年；重点区域、重点保护区和高风险区域宜每年更新关键数据。</w:t>
      </w:r>
      <w:bookmarkEnd w:id="160"/>
    </w:p>
    <w:p w14:paraId="1DD5958F">
      <w:pPr>
        <w:widowControl/>
        <w:jc w:val="left"/>
        <w:rPr>
          <w:color w:val="000000" w:themeColor="text1"/>
        </w:rPr>
      </w:pPr>
      <w:bookmarkStart w:id="161" w:name="_Hlk72914202"/>
    </w:p>
    <w:p w14:paraId="530168E2">
      <w:pPr>
        <w:widowControl/>
        <w:jc w:val="left"/>
        <w:rPr>
          <w:color w:val="000000" w:themeColor="text1"/>
        </w:rPr>
      </w:pPr>
    </w:p>
    <w:p w14:paraId="40DD4816">
      <w:pPr>
        <w:widowControl/>
        <w:jc w:val="left"/>
        <w:rPr>
          <w:color w:val="000000" w:themeColor="text1"/>
        </w:rPr>
      </w:pPr>
      <w:r>
        <w:rPr>
          <w:color w:val="000000" w:themeColor="text1"/>
        </w:rPr>
        <w:pict>
          <v:line id="直接连接符 1" o:spid="_x0000_s2050" o:spt="20" style="position:absolute;left:0pt;margin-left:147.55pt;margin-top:9.8pt;height:0pt;width:169.3pt;z-index:25167052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9BYpgEAADIDAAAOAAAAZHJzL2Uyb0RvYy54bWysUk1v2zAMvQ/YfxB0X+xkcJEZcXpI0V26&#10;LUDbH8DIsi1MFgVSiZ1/P0lNsq/bMB8EUySf3nvk5n4erThpYoOukctFKYV2Clvj+ka+vjx+WEvB&#10;AVwLFp1u5FmzvN++f7eZfK1XOKBtNYkI4riefCOHEHxdFKwGPQIv0GsXkx3SCCGG1BctwRTRR1us&#10;yvKumJBaT6g0c7x9eEvKbcbvOq3Ct65jHYRtZOQW8kn5PKSz2G6g7gn8YNSFBvwDixGMi4/eoB4g&#10;gDiS+QtqNIqQsQsLhWOBXWeUzhqimmX5h5rnAbzOWqI57G828f+DVV9PO7enRF3N7tk/ofrOwuFu&#10;ANfrTODl7OPglsmqYvJc31pSwH5P4jB9wTbWwDFgdmHuaEyQUZ+Ys9nnm9l6DkLFy1VVrtfrSgoV&#10;c3cfq4wP9bXVE4fPGkeRfhppjUtOQA2nJw6JCtTXknTt8NFYm6dpnZga+alaVbmB0Zo2JVMZU3/Y&#10;WRInSPuQv8u7v5URHl379oh1F9lJaVorrg/Ynvd0tSMOJrO5LFGa/K9x7v656tsfAAAA//8DAFBL&#10;AwQUAAYACAAAACEAvG9jFt4AAAAJAQAADwAAAGRycy9kb3ducmV2LnhtbEyPQU+DQBCF7yb+h82Y&#10;eGnaRUhoRZbGqNy8WDW9TmEEIjtL2W2L/nqnp3qazLyXN9/L15Pt1ZFG3zk2cLeIQBFXru64MfDx&#10;Xs5XoHxArrF3TAZ+yMO6uL7KMavdid/ouAmNkhD2GRpoQxgyrX3VkkW/cAOxaF9utBhkHRtdj3iS&#10;cNvrOIpSbbFj+dDiQE8tVd+bgzXgy0/al7+zahZtk8ZRvH9+fUFjbm+mxwdQgaZwMcMZX9ChEKad&#10;O3DtVW8gTpJUrCLcyxRDGq+WoHbnwxJ0kev/DYo/AAAA//8DAFBLAQItABQABgAIAAAAIQC2gziS&#10;/gAAAOEBAAATAAAAAAAAAAAAAAAAAAAAAABbQ29udGVudF9UeXBlc10ueG1sUEsBAi0AFAAGAAgA&#10;AAAhADj9If/WAAAAlAEAAAsAAAAAAAAAAAAAAAAALwEAAF9yZWxzLy5yZWxzUEsBAi0AFAAGAAgA&#10;AAAhALJ70FimAQAAMgMAAA4AAAAAAAAAAAAAAAAALgIAAGRycy9lMm9Eb2MueG1sUEsBAi0AFAAG&#10;AAgAAAAhALxvYxbeAAAACQEAAA8AAAAAAAAAAAAAAAAAAAQAAGRycy9kb3ducmV2LnhtbFBLBQYA&#10;AAAABAAEAPMAAAALBQAAAAA=&#10;">
            <v:path arrowok="t"/>
            <v:fill focussize="0,0"/>
            <v:stroke/>
            <v:imagedata o:title=""/>
            <o:lock v:ext="edit"/>
          </v:line>
        </w:pict>
      </w:r>
      <w:bookmarkEnd w:id="161"/>
    </w:p>
    <w:sectPr>
      <w:pgSz w:w="11906" w:h="16838"/>
      <w:pgMar w:top="1418" w:right="1134" w:bottom="1134" w:left="1418" w:header="1418" w:footer="1134" w:gutter="0"/>
      <w:pgNumType w:start="1"/>
      <w:cols w:space="720" w:num="1"/>
      <w:formProt w:val="0"/>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等线">
    <w:panose1 w:val="02010600030101010101"/>
    <w:charset w:val="86"/>
    <w:family w:val="auto"/>
    <w:pitch w:val="default"/>
    <w:sig w:usb0="A00002BF" w:usb1="38CF7CFA" w:usb2="00000016" w:usb3="00000000" w:csb0="0004000F" w:csb1="00000000"/>
  </w:font>
  <w:font w:name="Cambria Math">
    <w:altName w:val="DejaVu Math TeX Gyre"/>
    <w:panose1 w:val="02040503050406030204"/>
    <w:charset w:val="00"/>
    <w:family w:val="roman"/>
    <w:pitch w:val="default"/>
    <w:sig w:usb0="00000000" w:usb1="00000000" w:usb2="02000000" w:usb3="00000000" w:csb0="0000019F"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A1026">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25755"/>
      <w:docPartObj>
        <w:docPartGallery w:val="autotext"/>
      </w:docPartObj>
    </w:sdtPr>
    <w:sdtContent>
      <w:p w14:paraId="7B013C46">
        <w:pPr>
          <w:pStyle w:val="13"/>
        </w:pP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lang w:val="zh-CN"/>
          </w:rPr>
          <w:t>4</w:t>
        </w:r>
        <w:r>
          <w:rPr>
            <w:rFonts w:ascii="宋体" w:hAnsi="宋体"/>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25753"/>
      <w:docPartObj>
        <w:docPartGallery w:val="autotext"/>
      </w:docPartObj>
    </w:sdtPr>
    <w:sdtEndPr>
      <w:rPr>
        <w:rFonts w:ascii="宋体" w:hAnsi="宋体"/>
      </w:rPr>
    </w:sdtEndPr>
    <w:sdtContent>
      <w:p w14:paraId="6211904E">
        <w:pPr>
          <w:pStyle w:val="13"/>
          <w:jc w:val="right"/>
        </w:pP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4DE14">
    <w:pPr>
      <w:pStyle w:val="13"/>
      <w:jc w:val="right"/>
      <w:rPr>
        <w:rFonts w:hint="eastAsia" w:ascii="宋体" w:hAnsi="宋体"/>
      </w:rPr>
    </w:pP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lang w:val="zh-CN"/>
      </w:rPr>
      <w:t>3</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00125">
    <w:pPr>
      <w:pStyle w:val="14"/>
      <w:pBdr>
        <w:bottom w:val="none" w:color="auto" w:sz="0" w:space="0"/>
      </w:pBdr>
      <w:spacing w:after="120" w:afterLines="50"/>
      <w:jc w:val="right"/>
      <w:rPr>
        <w:sz w:val="21"/>
        <w:szCs w:val="21"/>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D5EA8">
    <w:pPr>
      <w:pStyle w:val="14"/>
      <w:pBdr>
        <w:bottom w:val="none" w:color="auto" w:sz="0" w:space="0"/>
      </w:pBdr>
      <w:jc w:val="left"/>
      <w:rPr>
        <w:rFonts w:ascii="黑体" w:hAnsi="Times New Roman" w:eastAsia="黑体"/>
        <w:sz w:val="21"/>
        <w:szCs w:val="21"/>
      </w:rPr>
    </w:pPr>
    <w:bookmarkStart w:id="162" w:name="OLE_LINK28"/>
    <w:bookmarkStart w:id="163" w:name="OLE_LINK27"/>
    <w:r>
      <w:rPr>
        <w:rFonts w:ascii="黑体" w:hAnsi="Times New Roman" w:eastAsia="黑体"/>
        <w:sz w:val="21"/>
        <w:szCs w:val="21"/>
      </w:rPr>
      <w:t xml:space="preserve">T/CSF </w:t>
    </w:r>
    <w:r>
      <w:rPr>
        <w:rFonts w:hint="eastAsia" w:ascii="黑体" w:hAnsi="Times New Roman" w:eastAsia="黑体"/>
        <w:sz w:val="21"/>
        <w:szCs w:val="21"/>
      </w:rPr>
      <w:t>xxxx—</w:t>
    </w:r>
    <w:r>
      <w:rPr>
        <w:rFonts w:ascii="黑体" w:hAnsi="Times New Roman" w:eastAsia="黑体"/>
        <w:sz w:val="21"/>
        <w:szCs w:val="21"/>
      </w:rPr>
      <w:t>202</w:t>
    </w:r>
    <w:bookmarkEnd w:id="162"/>
    <w:bookmarkEnd w:id="163"/>
    <w:r>
      <w:rPr>
        <w:rFonts w:hint="eastAsia" w:ascii="黑体" w:hAnsi="Times New Roman" w:eastAsia="黑体"/>
        <w:sz w:val="21"/>
        <w:szCs w:val="21"/>
      </w:rPr>
      <w:t>6</w:t>
    </w:r>
  </w:p>
  <w:p w14:paraId="78652CCB">
    <w:pPr>
      <w:pStyle w:val="14"/>
      <w:pBdr>
        <w:bottom w:val="none" w:color="auto" w:sz="0" w:space="0"/>
      </w:pBdr>
      <w:jc w:val="left"/>
      <w:rPr>
        <w:rFonts w:ascii="黑体" w:hAnsi="Times New Roman" w:eastAsia="黑体"/>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0B163">
    <w:pPr>
      <w:pStyle w:val="14"/>
      <w:pBdr>
        <w:bottom w:val="none" w:color="auto" w:sz="0" w:space="0"/>
      </w:pBdr>
      <w:jc w:val="right"/>
      <w:rPr>
        <w:rFonts w:hint="eastAsia" w:ascii="黑体" w:hAnsi="黑体" w:eastAsia="黑体"/>
        <w:sz w:val="21"/>
        <w:szCs w:val="21"/>
      </w:rPr>
    </w:pPr>
    <w:r>
      <w:rPr>
        <w:rFonts w:hint="eastAsia" w:ascii="黑体" w:hAnsi="Times New Roman" w:eastAsia="黑体"/>
        <w:sz w:val="21"/>
        <w:szCs w:val="21"/>
      </w:rPr>
      <w:t>T/CSF xxxx—2026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A84ED">
    <w:pPr>
      <w:pStyle w:val="14"/>
      <w:pBdr>
        <w:bottom w:val="none" w:color="auto" w:sz="0" w:space="0"/>
      </w:pBdr>
      <w:jc w:val="right"/>
      <w:rPr>
        <w:rFonts w:ascii="黑体" w:hAnsi="Times New Roman" w:eastAsia="黑体"/>
        <w:sz w:val="21"/>
        <w:szCs w:val="21"/>
      </w:rPr>
    </w:pPr>
    <w:r>
      <w:rPr>
        <w:rFonts w:ascii="黑体" w:hAnsi="Times New Roman" w:eastAsia="黑体"/>
        <w:sz w:val="21"/>
        <w:szCs w:val="21"/>
      </w:rPr>
      <w:t xml:space="preserve">T/CSF </w:t>
    </w:r>
    <w:r>
      <w:rPr>
        <w:rFonts w:hint="eastAsia" w:ascii="黑体" w:hAnsi="Times New Roman" w:eastAsia="黑体"/>
        <w:sz w:val="21"/>
        <w:szCs w:val="21"/>
      </w:rPr>
      <w:t>xxxx</w:t>
    </w:r>
    <w:r>
      <w:rPr>
        <w:rFonts w:ascii="黑体" w:hAnsi="Times New Roman" w:eastAsia="黑体"/>
        <w:sz w:val="21"/>
        <w:szCs w:val="21"/>
      </w:rPr>
      <w:t>—202</w:t>
    </w:r>
    <w:r>
      <w:rPr>
        <w:rFonts w:hint="eastAsia" w:ascii="黑体" w:hAnsi="Times New Roman" w:eastAsia="黑体"/>
        <w:sz w:val="21"/>
        <w:szCs w:val="21"/>
      </w:rPr>
      <w:t>6</w:t>
    </w:r>
  </w:p>
  <w:p w14:paraId="716A249A">
    <w:pPr>
      <w:pStyle w:val="14"/>
      <w:pBdr>
        <w:bottom w:val="none" w:color="auto" w:sz="0" w:space="0"/>
      </w:pBdr>
      <w:jc w:val="right"/>
      <w:rPr>
        <w:sz w:val="21"/>
        <w:szCs w:val="21"/>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B84EEA"/>
    <w:multiLevelType w:val="multilevel"/>
    <w:tmpl w:val="03B84EEA"/>
    <w:lvl w:ilvl="0" w:tentative="0">
      <w:start w:val="1"/>
      <w:numFmt w:val="lowerLetter"/>
      <w:lvlText w:val="%1)"/>
      <w:lvlJc w:val="left"/>
      <w:pPr>
        <w:ind w:left="860" w:hanging="440"/>
      </w:pPr>
      <w:rPr>
        <w:rFonts w:hint="eastAsia" w:ascii="宋体" w:hAnsi="宋体" w:eastAsia="宋体"/>
      </w:rPr>
    </w:lvl>
    <w:lvl w:ilvl="1" w:tentative="0">
      <w:start w:val="1"/>
      <w:numFmt w:val="lowerLetter"/>
      <w:lvlText w:val="%2)"/>
      <w:lvlJc w:val="left"/>
      <w:pPr>
        <w:ind w:left="1300" w:hanging="440"/>
      </w:pPr>
      <w:rPr>
        <w:rFonts w:hint="eastAsia"/>
      </w:rPr>
    </w:lvl>
    <w:lvl w:ilvl="2" w:tentative="0">
      <w:start w:val="1"/>
      <w:numFmt w:val="lowerRoman"/>
      <w:lvlText w:val="%3."/>
      <w:lvlJc w:val="right"/>
      <w:pPr>
        <w:ind w:left="1740" w:hanging="440"/>
      </w:pPr>
      <w:rPr>
        <w:rFonts w:hint="eastAsia"/>
      </w:rPr>
    </w:lvl>
    <w:lvl w:ilvl="3" w:tentative="0">
      <w:start w:val="1"/>
      <w:numFmt w:val="decimal"/>
      <w:lvlText w:val="%4."/>
      <w:lvlJc w:val="left"/>
      <w:pPr>
        <w:ind w:left="2180" w:hanging="440"/>
      </w:pPr>
      <w:rPr>
        <w:rFonts w:hint="eastAsia"/>
      </w:rPr>
    </w:lvl>
    <w:lvl w:ilvl="4" w:tentative="0">
      <w:start w:val="1"/>
      <w:numFmt w:val="lowerLetter"/>
      <w:lvlText w:val="%5)"/>
      <w:lvlJc w:val="left"/>
      <w:pPr>
        <w:ind w:left="2620" w:hanging="440"/>
      </w:pPr>
      <w:rPr>
        <w:rFonts w:hint="eastAsia"/>
      </w:rPr>
    </w:lvl>
    <w:lvl w:ilvl="5" w:tentative="0">
      <w:start w:val="1"/>
      <w:numFmt w:val="lowerRoman"/>
      <w:lvlText w:val="%6."/>
      <w:lvlJc w:val="right"/>
      <w:pPr>
        <w:ind w:left="3060" w:hanging="440"/>
      </w:pPr>
      <w:rPr>
        <w:rFonts w:hint="eastAsia"/>
      </w:rPr>
    </w:lvl>
    <w:lvl w:ilvl="6" w:tentative="0">
      <w:start w:val="1"/>
      <w:numFmt w:val="decimal"/>
      <w:lvlText w:val="%7."/>
      <w:lvlJc w:val="left"/>
      <w:pPr>
        <w:ind w:left="3500" w:hanging="440"/>
      </w:pPr>
      <w:rPr>
        <w:rFonts w:hint="eastAsia"/>
      </w:rPr>
    </w:lvl>
    <w:lvl w:ilvl="7" w:tentative="0">
      <w:start w:val="1"/>
      <w:numFmt w:val="lowerLetter"/>
      <w:lvlText w:val="%8)"/>
      <w:lvlJc w:val="left"/>
      <w:pPr>
        <w:ind w:left="3940" w:hanging="440"/>
      </w:pPr>
      <w:rPr>
        <w:rFonts w:hint="eastAsia"/>
      </w:rPr>
    </w:lvl>
    <w:lvl w:ilvl="8" w:tentative="0">
      <w:start w:val="1"/>
      <w:numFmt w:val="lowerRoman"/>
      <w:lvlText w:val="%9."/>
      <w:lvlJc w:val="right"/>
      <w:pPr>
        <w:ind w:left="4380" w:hanging="440"/>
      </w:pPr>
      <w:rPr>
        <w:rFonts w:hint="eastAsia"/>
      </w:rPr>
    </w:lvl>
  </w:abstractNum>
  <w:abstractNum w:abstractNumId="1">
    <w:nsid w:val="29D05245"/>
    <w:multiLevelType w:val="multilevel"/>
    <w:tmpl w:val="29D05245"/>
    <w:lvl w:ilvl="0" w:tentative="0">
      <w:start w:val="1"/>
      <w:numFmt w:val="lowerLetter"/>
      <w:lvlText w:val="%1)"/>
      <w:lvlJc w:val="left"/>
      <w:pPr>
        <w:ind w:left="860" w:hanging="440"/>
      </w:pPr>
      <w:rPr>
        <w:rFonts w:hint="eastAsia" w:ascii="宋体" w:hAnsi="宋体" w:eastAsia="宋体"/>
      </w:rPr>
    </w:lvl>
    <w:lvl w:ilvl="1" w:tentative="0">
      <w:start w:val="1"/>
      <w:numFmt w:val="lowerLetter"/>
      <w:lvlText w:val="%2)"/>
      <w:lvlJc w:val="left"/>
      <w:pPr>
        <w:ind w:left="1300" w:hanging="440"/>
      </w:pPr>
      <w:rPr>
        <w:rFonts w:hint="eastAsia"/>
      </w:rPr>
    </w:lvl>
    <w:lvl w:ilvl="2" w:tentative="0">
      <w:start w:val="1"/>
      <w:numFmt w:val="lowerRoman"/>
      <w:lvlText w:val="%3."/>
      <w:lvlJc w:val="right"/>
      <w:pPr>
        <w:ind w:left="1740" w:hanging="440"/>
      </w:pPr>
      <w:rPr>
        <w:rFonts w:hint="eastAsia"/>
      </w:rPr>
    </w:lvl>
    <w:lvl w:ilvl="3" w:tentative="0">
      <w:start w:val="1"/>
      <w:numFmt w:val="decimal"/>
      <w:lvlText w:val="%4."/>
      <w:lvlJc w:val="left"/>
      <w:pPr>
        <w:ind w:left="2180" w:hanging="440"/>
      </w:pPr>
      <w:rPr>
        <w:rFonts w:hint="eastAsia"/>
      </w:rPr>
    </w:lvl>
    <w:lvl w:ilvl="4" w:tentative="0">
      <w:start w:val="1"/>
      <w:numFmt w:val="lowerLetter"/>
      <w:lvlText w:val="%5)"/>
      <w:lvlJc w:val="left"/>
      <w:pPr>
        <w:ind w:left="2620" w:hanging="440"/>
      </w:pPr>
      <w:rPr>
        <w:rFonts w:hint="eastAsia"/>
      </w:rPr>
    </w:lvl>
    <w:lvl w:ilvl="5" w:tentative="0">
      <w:start w:val="1"/>
      <w:numFmt w:val="lowerRoman"/>
      <w:lvlText w:val="%6."/>
      <w:lvlJc w:val="right"/>
      <w:pPr>
        <w:ind w:left="3060" w:hanging="440"/>
      </w:pPr>
      <w:rPr>
        <w:rFonts w:hint="eastAsia"/>
      </w:rPr>
    </w:lvl>
    <w:lvl w:ilvl="6" w:tentative="0">
      <w:start w:val="1"/>
      <w:numFmt w:val="decimal"/>
      <w:lvlText w:val="%7."/>
      <w:lvlJc w:val="left"/>
      <w:pPr>
        <w:ind w:left="3500" w:hanging="440"/>
      </w:pPr>
      <w:rPr>
        <w:rFonts w:hint="eastAsia"/>
      </w:rPr>
    </w:lvl>
    <w:lvl w:ilvl="7" w:tentative="0">
      <w:start w:val="1"/>
      <w:numFmt w:val="lowerLetter"/>
      <w:lvlText w:val="%8)"/>
      <w:lvlJc w:val="left"/>
      <w:pPr>
        <w:ind w:left="3940" w:hanging="440"/>
      </w:pPr>
      <w:rPr>
        <w:rFonts w:hint="eastAsia"/>
      </w:rPr>
    </w:lvl>
    <w:lvl w:ilvl="8" w:tentative="0">
      <w:start w:val="1"/>
      <w:numFmt w:val="lowerRoman"/>
      <w:lvlText w:val="%9."/>
      <w:lvlJc w:val="right"/>
      <w:pPr>
        <w:ind w:left="4380" w:hanging="440"/>
      </w:pPr>
      <w:rPr>
        <w:rFonts w:hint="eastAsia"/>
      </w:rPr>
    </w:lvl>
  </w:abstractNum>
  <w:abstractNum w:abstractNumId="2">
    <w:nsid w:val="2A8F7113"/>
    <w:multiLevelType w:val="multilevel"/>
    <w:tmpl w:val="2A8F7113"/>
    <w:lvl w:ilvl="0" w:tentative="0">
      <w:start w:val="1"/>
      <w:numFmt w:val="upperLetter"/>
      <w:suff w:val="space"/>
      <w:lvlText w:val="%1"/>
      <w:lvlJc w:val="left"/>
      <w:pPr>
        <w:ind w:left="623" w:hanging="425"/>
      </w:pPr>
      <w:rPr>
        <w:rFonts w:hint="eastAsia"/>
      </w:rPr>
    </w:lvl>
    <w:lvl w:ilvl="1" w:tentative="0">
      <w:start w:val="1"/>
      <w:numFmt w:val="decimal"/>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pStyle w:val="76"/>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pStyle w:val="68"/>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4B733A5F"/>
    <w:multiLevelType w:val="multilevel"/>
    <w:tmpl w:val="4B733A5F"/>
    <w:lvl w:ilvl="0" w:tentative="0">
      <w:start w:val="1"/>
      <w:numFmt w:val="decimal"/>
      <w:pStyle w:val="71"/>
      <w:suff w:val="nothing"/>
      <w:lvlText w:val="示例%1："/>
      <w:lvlJc w:val="left"/>
      <w:pPr>
        <w:ind w:left="477"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477" w:firstLine="0"/>
      </w:pPr>
      <w:rPr>
        <w:rFonts w:hint="eastAsia"/>
        <w:vertAlign w:val="baseline"/>
      </w:rPr>
    </w:lvl>
    <w:lvl w:ilvl="2" w:tentative="0">
      <w:start w:val="1"/>
      <w:numFmt w:val="decimal"/>
      <w:suff w:val="space"/>
      <w:lvlText w:val="2.2.%3"/>
      <w:lvlJc w:val="left"/>
      <w:pPr>
        <w:ind w:left="477" w:firstLine="0"/>
      </w:pPr>
      <w:rPr>
        <w:rFonts w:hint="eastAsia"/>
        <w:vertAlign w:val="baseline"/>
      </w:rPr>
    </w:lvl>
    <w:lvl w:ilvl="3" w:tentative="0">
      <w:start w:val="1"/>
      <w:numFmt w:val="decimal"/>
      <w:lvlText w:val="%4."/>
      <w:lvlJc w:val="left"/>
      <w:pPr>
        <w:tabs>
          <w:tab w:val="left" w:pos="477"/>
        </w:tabs>
        <w:ind w:left="1469" w:hanging="629"/>
      </w:pPr>
      <w:rPr>
        <w:rFonts w:hint="eastAsia"/>
        <w:vertAlign w:val="baseline"/>
      </w:rPr>
    </w:lvl>
    <w:lvl w:ilvl="4" w:tentative="0">
      <w:start w:val="1"/>
      <w:numFmt w:val="lowerLetter"/>
      <w:lvlText w:val="%5)"/>
      <w:lvlJc w:val="left"/>
      <w:pPr>
        <w:tabs>
          <w:tab w:val="left" w:pos="477"/>
        </w:tabs>
        <w:ind w:left="1469" w:hanging="629"/>
      </w:pPr>
      <w:rPr>
        <w:rFonts w:hint="eastAsia"/>
        <w:vertAlign w:val="baseline"/>
      </w:rPr>
    </w:lvl>
    <w:lvl w:ilvl="5" w:tentative="0">
      <w:start w:val="1"/>
      <w:numFmt w:val="lowerRoman"/>
      <w:lvlText w:val="%6."/>
      <w:lvlJc w:val="right"/>
      <w:pPr>
        <w:tabs>
          <w:tab w:val="left" w:pos="477"/>
        </w:tabs>
        <w:ind w:left="1469" w:hanging="629"/>
      </w:pPr>
      <w:rPr>
        <w:rFonts w:hint="eastAsia"/>
        <w:vertAlign w:val="baseline"/>
      </w:rPr>
    </w:lvl>
    <w:lvl w:ilvl="6" w:tentative="0">
      <w:start w:val="1"/>
      <w:numFmt w:val="decimal"/>
      <w:lvlText w:val="%7."/>
      <w:lvlJc w:val="left"/>
      <w:pPr>
        <w:tabs>
          <w:tab w:val="left" w:pos="477"/>
        </w:tabs>
        <w:ind w:left="1469" w:hanging="629"/>
      </w:pPr>
      <w:rPr>
        <w:rFonts w:hint="eastAsia"/>
        <w:vertAlign w:val="baseline"/>
      </w:rPr>
    </w:lvl>
    <w:lvl w:ilvl="7" w:tentative="0">
      <w:start w:val="1"/>
      <w:numFmt w:val="lowerLetter"/>
      <w:lvlText w:val="%8)"/>
      <w:lvlJc w:val="left"/>
      <w:pPr>
        <w:tabs>
          <w:tab w:val="left" w:pos="477"/>
        </w:tabs>
        <w:ind w:left="1469" w:hanging="629"/>
      </w:pPr>
      <w:rPr>
        <w:rFonts w:hint="eastAsia"/>
        <w:vertAlign w:val="baseline"/>
      </w:rPr>
    </w:lvl>
    <w:lvl w:ilvl="8" w:tentative="0">
      <w:start w:val="1"/>
      <w:numFmt w:val="lowerRoman"/>
      <w:lvlText w:val="%9."/>
      <w:lvlJc w:val="right"/>
      <w:pPr>
        <w:tabs>
          <w:tab w:val="left" w:pos="477"/>
        </w:tabs>
        <w:ind w:left="1469" w:hanging="629"/>
      </w:pPr>
      <w:rPr>
        <w:rFonts w:hint="eastAsia"/>
        <w:vertAlign w:val="baseline"/>
      </w:rPr>
    </w:lvl>
  </w:abstractNum>
  <w:abstractNum w:abstractNumId="4">
    <w:nsid w:val="50133E45"/>
    <w:multiLevelType w:val="multilevel"/>
    <w:tmpl w:val="50133E45"/>
    <w:lvl w:ilvl="0" w:tentative="0">
      <w:start w:val="1"/>
      <w:numFmt w:val="lowerLetter"/>
      <w:lvlText w:val="%1)"/>
      <w:lvlJc w:val="left"/>
      <w:pPr>
        <w:ind w:left="860" w:hanging="440"/>
      </w:pPr>
      <w:rPr>
        <w:rFonts w:hint="eastAsia" w:ascii="宋体" w:hAnsi="宋体" w:eastAsia="宋体"/>
      </w:rPr>
    </w:lvl>
    <w:lvl w:ilvl="1" w:tentative="0">
      <w:start w:val="1"/>
      <w:numFmt w:val="lowerLetter"/>
      <w:lvlText w:val="%2)"/>
      <w:lvlJc w:val="left"/>
      <w:pPr>
        <w:ind w:left="1300" w:hanging="440"/>
      </w:pPr>
      <w:rPr>
        <w:rFonts w:hint="eastAsia"/>
      </w:rPr>
    </w:lvl>
    <w:lvl w:ilvl="2" w:tentative="0">
      <w:start w:val="1"/>
      <w:numFmt w:val="lowerRoman"/>
      <w:lvlText w:val="%3."/>
      <w:lvlJc w:val="right"/>
      <w:pPr>
        <w:ind w:left="1740" w:hanging="440"/>
      </w:pPr>
      <w:rPr>
        <w:rFonts w:hint="eastAsia"/>
      </w:rPr>
    </w:lvl>
    <w:lvl w:ilvl="3" w:tentative="0">
      <w:start w:val="1"/>
      <w:numFmt w:val="decimal"/>
      <w:lvlText w:val="%4."/>
      <w:lvlJc w:val="left"/>
      <w:pPr>
        <w:ind w:left="2180" w:hanging="440"/>
      </w:pPr>
      <w:rPr>
        <w:rFonts w:hint="eastAsia"/>
      </w:rPr>
    </w:lvl>
    <w:lvl w:ilvl="4" w:tentative="0">
      <w:start w:val="1"/>
      <w:numFmt w:val="lowerLetter"/>
      <w:lvlText w:val="%5)"/>
      <w:lvlJc w:val="left"/>
      <w:pPr>
        <w:ind w:left="2620" w:hanging="440"/>
      </w:pPr>
      <w:rPr>
        <w:rFonts w:hint="eastAsia"/>
      </w:rPr>
    </w:lvl>
    <w:lvl w:ilvl="5" w:tentative="0">
      <w:start w:val="1"/>
      <w:numFmt w:val="lowerRoman"/>
      <w:lvlText w:val="%6."/>
      <w:lvlJc w:val="right"/>
      <w:pPr>
        <w:ind w:left="3060" w:hanging="440"/>
      </w:pPr>
      <w:rPr>
        <w:rFonts w:hint="eastAsia"/>
      </w:rPr>
    </w:lvl>
    <w:lvl w:ilvl="6" w:tentative="0">
      <w:start w:val="1"/>
      <w:numFmt w:val="decimal"/>
      <w:lvlText w:val="%7."/>
      <w:lvlJc w:val="left"/>
      <w:pPr>
        <w:ind w:left="3500" w:hanging="440"/>
      </w:pPr>
      <w:rPr>
        <w:rFonts w:hint="eastAsia"/>
      </w:rPr>
    </w:lvl>
    <w:lvl w:ilvl="7" w:tentative="0">
      <w:start w:val="1"/>
      <w:numFmt w:val="lowerLetter"/>
      <w:lvlText w:val="%8)"/>
      <w:lvlJc w:val="left"/>
      <w:pPr>
        <w:ind w:left="3940" w:hanging="440"/>
      </w:pPr>
      <w:rPr>
        <w:rFonts w:hint="eastAsia"/>
      </w:rPr>
    </w:lvl>
    <w:lvl w:ilvl="8" w:tentative="0">
      <w:start w:val="1"/>
      <w:numFmt w:val="lowerRoman"/>
      <w:lvlText w:val="%9."/>
      <w:lvlJc w:val="right"/>
      <w:pPr>
        <w:ind w:left="4380" w:hanging="440"/>
      </w:pPr>
      <w:rPr>
        <w:rFonts w:hint="eastAsia"/>
      </w:rPr>
    </w:lvl>
  </w:abstractNum>
  <w:abstractNum w:abstractNumId="5">
    <w:nsid w:val="5E315321"/>
    <w:multiLevelType w:val="multilevel"/>
    <w:tmpl w:val="5E315321"/>
    <w:lvl w:ilvl="0" w:tentative="0">
      <w:start w:val="1"/>
      <w:numFmt w:val="lowerLetter"/>
      <w:lvlText w:val="%1)"/>
      <w:lvlJc w:val="left"/>
      <w:pPr>
        <w:ind w:left="860" w:hanging="440"/>
      </w:pPr>
      <w:rPr>
        <w:rFonts w:hint="eastAsia" w:ascii="宋体" w:hAnsi="宋体" w:eastAsia="宋体"/>
      </w:rPr>
    </w:lvl>
    <w:lvl w:ilvl="1" w:tentative="0">
      <w:start w:val="1"/>
      <w:numFmt w:val="lowerLetter"/>
      <w:lvlText w:val="%2)"/>
      <w:lvlJc w:val="left"/>
      <w:pPr>
        <w:ind w:left="1300" w:hanging="440"/>
      </w:pPr>
      <w:rPr>
        <w:rFonts w:hint="eastAsia"/>
      </w:rPr>
    </w:lvl>
    <w:lvl w:ilvl="2" w:tentative="0">
      <w:start w:val="1"/>
      <w:numFmt w:val="lowerRoman"/>
      <w:lvlText w:val="%3."/>
      <w:lvlJc w:val="right"/>
      <w:pPr>
        <w:ind w:left="1740" w:hanging="440"/>
      </w:pPr>
      <w:rPr>
        <w:rFonts w:hint="eastAsia"/>
      </w:rPr>
    </w:lvl>
    <w:lvl w:ilvl="3" w:tentative="0">
      <w:start w:val="1"/>
      <w:numFmt w:val="decimal"/>
      <w:lvlText w:val="%4."/>
      <w:lvlJc w:val="left"/>
      <w:pPr>
        <w:ind w:left="2180" w:hanging="440"/>
      </w:pPr>
      <w:rPr>
        <w:rFonts w:hint="eastAsia"/>
      </w:rPr>
    </w:lvl>
    <w:lvl w:ilvl="4" w:tentative="0">
      <w:start w:val="1"/>
      <w:numFmt w:val="lowerLetter"/>
      <w:lvlText w:val="%5)"/>
      <w:lvlJc w:val="left"/>
      <w:pPr>
        <w:ind w:left="2620" w:hanging="440"/>
      </w:pPr>
      <w:rPr>
        <w:rFonts w:hint="eastAsia"/>
      </w:rPr>
    </w:lvl>
    <w:lvl w:ilvl="5" w:tentative="0">
      <w:start w:val="1"/>
      <w:numFmt w:val="lowerRoman"/>
      <w:lvlText w:val="%6."/>
      <w:lvlJc w:val="right"/>
      <w:pPr>
        <w:ind w:left="3060" w:hanging="440"/>
      </w:pPr>
      <w:rPr>
        <w:rFonts w:hint="eastAsia"/>
      </w:rPr>
    </w:lvl>
    <w:lvl w:ilvl="6" w:tentative="0">
      <w:start w:val="1"/>
      <w:numFmt w:val="decimal"/>
      <w:lvlText w:val="%7."/>
      <w:lvlJc w:val="left"/>
      <w:pPr>
        <w:ind w:left="3500" w:hanging="440"/>
      </w:pPr>
      <w:rPr>
        <w:rFonts w:hint="eastAsia"/>
      </w:rPr>
    </w:lvl>
    <w:lvl w:ilvl="7" w:tentative="0">
      <w:start w:val="1"/>
      <w:numFmt w:val="lowerLetter"/>
      <w:lvlText w:val="%8)"/>
      <w:lvlJc w:val="left"/>
      <w:pPr>
        <w:ind w:left="3940" w:hanging="440"/>
      </w:pPr>
      <w:rPr>
        <w:rFonts w:hint="eastAsia"/>
      </w:rPr>
    </w:lvl>
    <w:lvl w:ilvl="8" w:tentative="0">
      <w:start w:val="1"/>
      <w:numFmt w:val="lowerRoman"/>
      <w:lvlText w:val="%9."/>
      <w:lvlJc w:val="right"/>
      <w:pPr>
        <w:ind w:left="4380" w:hanging="440"/>
      </w:pPr>
      <w:rPr>
        <w:rFonts w:hint="eastAsia"/>
      </w:rPr>
    </w:lvl>
  </w:abstractNum>
  <w:abstractNum w:abstractNumId="6">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2269" w:firstLine="0"/>
      </w:pPr>
      <w:rPr>
        <w:rFonts w:hint="eastAsia" w:ascii="黑体" w:eastAsia="黑体"/>
        <w:b w:val="0"/>
        <w:i w:val="0"/>
        <w:sz w:val="21"/>
      </w:rPr>
    </w:lvl>
    <w:lvl w:ilvl="2" w:tentative="0">
      <w:start w:val="1"/>
      <w:numFmt w:val="decimal"/>
      <w:pStyle w:val="75"/>
      <w:suff w:val="nothing"/>
      <w:lvlText w:val="%1%2.%3　"/>
      <w:lvlJc w:val="left"/>
      <w:pPr>
        <w:ind w:left="426"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70"/>
      <w:suff w:val="nothing"/>
      <w:lvlText w:val="%1%2.%3.%4.%5　"/>
      <w:lvlJc w:val="left"/>
      <w:pPr>
        <w:ind w:left="851" w:firstLine="0"/>
      </w:pPr>
      <w:rPr>
        <w:rFonts w:hint="eastAsia" w:ascii="黑体" w:eastAsia="黑体"/>
        <w:b w:val="0"/>
        <w:i w:val="0"/>
        <w:sz w:val="21"/>
      </w:rPr>
    </w:lvl>
    <w:lvl w:ilvl="5" w:tentative="0">
      <w:start w:val="1"/>
      <w:numFmt w:val="decimal"/>
      <w:pStyle w:val="6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7C812BF9"/>
    <w:multiLevelType w:val="multilevel"/>
    <w:tmpl w:val="7C812BF9"/>
    <w:lvl w:ilvl="0" w:tentative="0">
      <w:start w:val="1"/>
      <w:numFmt w:val="lowerLetter"/>
      <w:lvlText w:val="%1)"/>
      <w:lvlJc w:val="left"/>
      <w:pPr>
        <w:ind w:left="860" w:hanging="440"/>
      </w:pPr>
      <w:rPr>
        <w:rFonts w:hint="eastAsia" w:ascii="宋体" w:hAnsi="宋体" w:eastAsia="宋体"/>
      </w:rPr>
    </w:lvl>
    <w:lvl w:ilvl="1" w:tentative="0">
      <w:start w:val="1"/>
      <w:numFmt w:val="lowerLetter"/>
      <w:lvlText w:val="%2)"/>
      <w:lvlJc w:val="left"/>
      <w:pPr>
        <w:ind w:left="1300" w:hanging="440"/>
      </w:pPr>
      <w:rPr>
        <w:rFonts w:hint="eastAsia"/>
      </w:rPr>
    </w:lvl>
    <w:lvl w:ilvl="2" w:tentative="0">
      <w:start w:val="1"/>
      <w:numFmt w:val="lowerRoman"/>
      <w:lvlText w:val="%3."/>
      <w:lvlJc w:val="right"/>
      <w:pPr>
        <w:ind w:left="1740" w:hanging="440"/>
      </w:pPr>
      <w:rPr>
        <w:rFonts w:hint="eastAsia"/>
      </w:rPr>
    </w:lvl>
    <w:lvl w:ilvl="3" w:tentative="0">
      <w:start w:val="1"/>
      <w:numFmt w:val="decimal"/>
      <w:lvlText w:val="%4."/>
      <w:lvlJc w:val="left"/>
      <w:pPr>
        <w:ind w:left="2180" w:hanging="440"/>
      </w:pPr>
      <w:rPr>
        <w:rFonts w:hint="eastAsia"/>
      </w:rPr>
    </w:lvl>
    <w:lvl w:ilvl="4" w:tentative="0">
      <w:start w:val="1"/>
      <w:numFmt w:val="lowerLetter"/>
      <w:lvlText w:val="%5)"/>
      <w:lvlJc w:val="left"/>
      <w:pPr>
        <w:ind w:left="2620" w:hanging="440"/>
      </w:pPr>
      <w:rPr>
        <w:rFonts w:hint="eastAsia"/>
      </w:rPr>
    </w:lvl>
    <w:lvl w:ilvl="5" w:tentative="0">
      <w:start w:val="1"/>
      <w:numFmt w:val="lowerRoman"/>
      <w:lvlText w:val="%6."/>
      <w:lvlJc w:val="right"/>
      <w:pPr>
        <w:ind w:left="3060" w:hanging="440"/>
      </w:pPr>
      <w:rPr>
        <w:rFonts w:hint="eastAsia"/>
      </w:rPr>
    </w:lvl>
    <w:lvl w:ilvl="6" w:tentative="0">
      <w:start w:val="1"/>
      <w:numFmt w:val="decimal"/>
      <w:lvlText w:val="%7."/>
      <w:lvlJc w:val="left"/>
      <w:pPr>
        <w:ind w:left="3500" w:hanging="440"/>
      </w:pPr>
      <w:rPr>
        <w:rFonts w:hint="eastAsia"/>
      </w:rPr>
    </w:lvl>
    <w:lvl w:ilvl="7" w:tentative="0">
      <w:start w:val="1"/>
      <w:numFmt w:val="lowerLetter"/>
      <w:lvlText w:val="%8)"/>
      <w:lvlJc w:val="left"/>
      <w:pPr>
        <w:ind w:left="3940" w:hanging="440"/>
      </w:pPr>
      <w:rPr>
        <w:rFonts w:hint="eastAsia"/>
      </w:rPr>
    </w:lvl>
    <w:lvl w:ilvl="8" w:tentative="0">
      <w:start w:val="1"/>
      <w:numFmt w:val="lowerRoman"/>
      <w:lvlText w:val="%9."/>
      <w:lvlJc w:val="right"/>
      <w:pPr>
        <w:ind w:left="4380" w:hanging="440"/>
      </w:pPr>
      <w:rPr>
        <w:rFonts w:hint="eastAsia"/>
      </w:rPr>
    </w:lvl>
  </w:abstractNum>
  <w:num w:numId="1">
    <w:abstractNumId w:val="6"/>
  </w:num>
  <w:num w:numId="2">
    <w:abstractNumId w:val="2"/>
  </w:num>
  <w:num w:numId="3">
    <w:abstractNumId w:val="3"/>
  </w:num>
  <w:num w:numId="4">
    <w:abstractNumId w:val="7"/>
  </w:num>
  <w:num w:numId="5">
    <w:abstractNumId w:val="1"/>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IwMDk5ODYwYzU2MjRiMTMyNzc5NzdhZTkyZmU1MWUifQ=="/>
  </w:docVars>
  <w:rsids>
    <w:rsidRoot w:val="00050BF3"/>
    <w:rsid w:val="0000177E"/>
    <w:rsid w:val="0000309E"/>
    <w:rsid w:val="00005201"/>
    <w:rsid w:val="00007584"/>
    <w:rsid w:val="000075A5"/>
    <w:rsid w:val="000148C8"/>
    <w:rsid w:val="000155AB"/>
    <w:rsid w:val="00015638"/>
    <w:rsid w:val="00016FDA"/>
    <w:rsid w:val="000221E2"/>
    <w:rsid w:val="000227FC"/>
    <w:rsid w:val="000311D8"/>
    <w:rsid w:val="00031B4B"/>
    <w:rsid w:val="00040F68"/>
    <w:rsid w:val="000421F4"/>
    <w:rsid w:val="0004740F"/>
    <w:rsid w:val="00050BF3"/>
    <w:rsid w:val="00060AB4"/>
    <w:rsid w:val="00063791"/>
    <w:rsid w:val="00066E8C"/>
    <w:rsid w:val="00070CC2"/>
    <w:rsid w:val="0007197E"/>
    <w:rsid w:val="000726D2"/>
    <w:rsid w:val="0007430A"/>
    <w:rsid w:val="0007578D"/>
    <w:rsid w:val="00075D8B"/>
    <w:rsid w:val="00076459"/>
    <w:rsid w:val="00081380"/>
    <w:rsid w:val="000875E7"/>
    <w:rsid w:val="000A29E2"/>
    <w:rsid w:val="000A4523"/>
    <w:rsid w:val="000A581D"/>
    <w:rsid w:val="000A6247"/>
    <w:rsid w:val="000A698C"/>
    <w:rsid w:val="000A7779"/>
    <w:rsid w:val="000B0618"/>
    <w:rsid w:val="000B196C"/>
    <w:rsid w:val="000B443C"/>
    <w:rsid w:val="000B593A"/>
    <w:rsid w:val="000B7181"/>
    <w:rsid w:val="000B7476"/>
    <w:rsid w:val="000C2B08"/>
    <w:rsid w:val="000C2D29"/>
    <w:rsid w:val="000C35FE"/>
    <w:rsid w:val="000C614D"/>
    <w:rsid w:val="000D0493"/>
    <w:rsid w:val="000D13FB"/>
    <w:rsid w:val="000D1D7B"/>
    <w:rsid w:val="000D350A"/>
    <w:rsid w:val="000D3A60"/>
    <w:rsid w:val="000D4C77"/>
    <w:rsid w:val="000D73AA"/>
    <w:rsid w:val="000E0220"/>
    <w:rsid w:val="000E03D4"/>
    <w:rsid w:val="000E2288"/>
    <w:rsid w:val="000E50E7"/>
    <w:rsid w:val="000E6CB3"/>
    <w:rsid w:val="000E7158"/>
    <w:rsid w:val="000F3B20"/>
    <w:rsid w:val="000F42EA"/>
    <w:rsid w:val="000F48EE"/>
    <w:rsid w:val="000F4AAA"/>
    <w:rsid w:val="000F5113"/>
    <w:rsid w:val="000F5BED"/>
    <w:rsid w:val="00100574"/>
    <w:rsid w:val="001079CA"/>
    <w:rsid w:val="00110766"/>
    <w:rsid w:val="00112CCD"/>
    <w:rsid w:val="00121076"/>
    <w:rsid w:val="0012677A"/>
    <w:rsid w:val="001273B4"/>
    <w:rsid w:val="001340DD"/>
    <w:rsid w:val="0013425C"/>
    <w:rsid w:val="001348F3"/>
    <w:rsid w:val="00135E0F"/>
    <w:rsid w:val="00144230"/>
    <w:rsid w:val="00144C30"/>
    <w:rsid w:val="00145219"/>
    <w:rsid w:val="00145790"/>
    <w:rsid w:val="00146A3B"/>
    <w:rsid w:val="00147407"/>
    <w:rsid w:val="0014750F"/>
    <w:rsid w:val="00150FDA"/>
    <w:rsid w:val="00151E64"/>
    <w:rsid w:val="00154447"/>
    <w:rsid w:val="00157281"/>
    <w:rsid w:val="00157E82"/>
    <w:rsid w:val="00163548"/>
    <w:rsid w:val="00163DD9"/>
    <w:rsid w:val="00164D39"/>
    <w:rsid w:val="001673DB"/>
    <w:rsid w:val="00170A05"/>
    <w:rsid w:val="001747E9"/>
    <w:rsid w:val="00176609"/>
    <w:rsid w:val="00180271"/>
    <w:rsid w:val="0018037E"/>
    <w:rsid w:val="00180476"/>
    <w:rsid w:val="00185810"/>
    <w:rsid w:val="00187235"/>
    <w:rsid w:val="00187379"/>
    <w:rsid w:val="00187B3B"/>
    <w:rsid w:val="00191421"/>
    <w:rsid w:val="00194D41"/>
    <w:rsid w:val="001A0C83"/>
    <w:rsid w:val="001A0FA7"/>
    <w:rsid w:val="001A2049"/>
    <w:rsid w:val="001A292A"/>
    <w:rsid w:val="001A4995"/>
    <w:rsid w:val="001A49DD"/>
    <w:rsid w:val="001B0CB0"/>
    <w:rsid w:val="001B1154"/>
    <w:rsid w:val="001B1AF7"/>
    <w:rsid w:val="001B1E08"/>
    <w:rsid w:val="001B498C"/>
    <w:rsid w:val="001B4AB4"/>
    <w:rsid w:val="001B68DA"/>
    <w:rsid w:val="001C0437"/>
    <w:rsid w:val="001C32EF"/>
    <w:rsid w:val="001C3C3E"/>
    <w:rsid w:val="001C529B"/>
    <w:rsid w:val="001C5F8B"/>
    <w:rsid w:val="001C6683"/>
    <w:rsid w:val="001C7E5E"/>
    <w:rsid w:val="001D3CCB"/>
    <w:rsid w:val="001D4958"/>
    <w:rsid w:val="001D6D40"/>
    <w:rsid w:val="001D7F88"/>
    <w:rsid w:val="001E42B7"/>
    <w:rsid w:val="001E5087"/>
    <w:rsid w:val="001E7BB5"/>
    <w:rsid w:val="001E7D11"/>
    <w:rsid w:val="001F0654"/>
    <w:rsid w:val="001F6878"/>
    <w:rsid w:val="001F7784"/>
    <w:rsid w:val="002006EF"/>
    <w:rsid w:val="00203A06"/>
    <w:rsid w:val="00204676"/>
    <w:rsid w:val="00205893"/>
    <w:rsid w:val="00207040"/>
    <w:rsid w:val="0020798C"/>
    <w:rsid w:val="00212682"/>
    <w:rsid w:val="00214A1E"/>
    <w:rsid w:val="00215E98"/>
    <w:rsid w:val="00221B8A"/>
    <w:rsid w:val="00235EEF"/>
    <w:rsid w:val="0023756F"/>
    <w:rsid w:val="00242C70"/>
    <w:rsid w:val="00244385"/>
    <w:rsid w:val="00244FF8"/>
    <w:rsid w:val="00250037"/>
    <w:rsid w:val="002514A4"/>
    <w:rsid w:val="00254926"/>
    <w:rsid w:val="00260BF4"/>
    <w:rsid w:val="0026258B"/>
    <w:rsid w:val="002625D8"/>
    <w:rsid w:val="0026274A"/>
    <w:rsid w:val="00262A70"/>
    <w:rsid w:val="002673F1"/>
    <w:rsid w:val="00270465"/>
    <w:rsid w:val="00271338"/>
    <w:rsid w:val="0027272C"/>
    <w:rsid w:val="002808A5"/>
    <w:rsid w:val="00290A41"/>
    <w:rsid w:val="00292556"/>
    <w:rsid w:val="002A10E7"/>
    <w:rsid w:val="002A38E7"/>
    <w:rsid w:val="002A4BF7"/>
    <w:rsid w:val="002A528F"/>
    <w:rsid w:val="002A571F"/>
    <w:rsid w:val="002A6017"/>
    <w:rsid w:val="002A68F3"/>
    <w:rsid w:val="002B19A2"/>
    <w:rsid w:val="002C31AA"/>
    <w:rsid w:val="002C49A0"/>
    <w:rsid w:val="002C6672"/>
    <w:rsid w:val="002C6FBF"/>
    <w:rsid w:val="002D2CDF"/>
    <w:rsid w:val="002D35F7"/>
    <w:rsid w:val="002D5F75"/>
    <w:rsid w:val="002D683D"/>
    <w:rsid w:val="002E17EF"/>
    <w:rsid w:val="002E25E5"/>
    <w:rsid w:val="002E2B2E"/>
    <w:rsid w:val="002E4BE0"/>
    <w:rsid w:val="002E5BF2"/>
    <w:rsid w:val="002F1321"/>
    <w:rsid w:val="002F292E"/>
    <w:rsid w:val="002F3668"/>
    <w:rsid w:val="002F3E6B"/>
    <w:rsid w:val="00300D78"/>
    <w:rsid w:val="00302670"/>
    <w:rsid w:val="0030384E"/>
    <w:rsid w:val="003059F2"/>
    <w:rsid w:val="00307060"/>
    <w:rsid w:val="003118F1"/>
    <w:rsid w:val="003203DB"/>
    <w:rsid w:val="0032046D"/>
    <w:rsid w:val="0032047D"/>
    <w:rsid w:val="00322039"/>
    <w:rsid w:val="00322301"/>
    <w:rsid w:val="003249F8"/>
    <w:rsid w:val="00324A0F"/>
    <w:rsid w:val="003270DD"/>
    <w:rsid w:val="003306DF"/>
    <w:rsid w:val="003324DE"/>
    <w:rsid w:val="00334BEE"/>
    <w:rsid w:val="0033777B"/>
    <w:rsid w:val="0034107A"/>
    <w:rsid w:val="00341E3A"/>
    <w:rsid w:val="0034503C"/>
    <w:rsid w:val="00346A5E"/>
    <w:rsid w:val="00356226"/>
    <w:rsid w:val="00360143"/>
    <w:rsid w:val="00361859"/>
    <w:rsid w:val="003618C7"/>
    <w:rsid w:val="003712E1"/>
    <w:rsid w:val="003717AD"/>
    <w:rsid w:val="00375B87"/>
    <w:rsid w:val="00376EDC"/>
    <w:rsid w:val="00377DFE"/>
    <w:rsid w:val="00383200"/>
    <w:rsid w:val="003834F8"/>
    <w:rsid w:val="00384E2B"/>
    <w:rsid w:val="00390547"/>
    <w:rsid w:val="00394AA5"/>
    <w:rsid w:val="003A0662"/>
    <w:rsid w:val="003A1E91"/>
    <w:rsid w:val="003A6BA0"/>
    <w:rsid w:val="003A74A2"/>
    <w:rsid w:val="003A7E77"/>
    <w:rsid w:val="003B0A58"/>
    <w:rsid w:val="003B2009"/>
    <w:rsid w:val="003B22ED"/>
    <w:rsid w:val="003B26C4"/>
    <w:rsid w:val="003B3822"/>
    <w:rsid w:val="003B7410"/>
    <w:rsid w:val="003C05E4"/>
    <w:rsid w:val="003C168E"/>
    <w:rsid w:val="003C48CC"/>
    <w:rsid w:val="003C7634"/>
    <w:rsid w:val="003D0B4F"/>
    <w:rsid w:val="003D139C"/>
    <w:rsid w:val="003D2D19"/>
    <w:rsid w:val="003E5DDC"/>
    <w:rsid w:val="003F0D4E"/>
    <w:rsid w:val="003F1C30"/>
    <w:rsid w:val="004005B9"/>
    <w:rsid w:val="00402CCB"/>
    <w:rsid w:val="00403AE5"/>
    <w:rsid w:val="0040624F"/>
    <w:rsid w:val="00411206"/>
    <w:rsid w:val="004175AD"/>
    <w:rsid w:val="0042128C"/>
    <w:rsid w:val="004213C9"/>
    <w:rsid w:val="00421437"/>
    <w:rsid w:val="00422F1B"/>
    <w:rsid w:val="00434001"/>
    <w:rsid w:val="00437080"/>
    <w:rsid w:val="00442EDE"/>
    <w:rsid w:val="0044453F"/>
    <w:rsid w:val="00445E1E"/>
    <w:rsid w:val="00445F39"/>
    <w:rsid w:val="004567A7"/>
    <w:rsid w:val="0046025E"/>
    <w:rsid w:val="00460634"/>
    <w:rsid w:val="0046170D"/>
    <w:rsid w:val="00467181"/>
    <w:rsid w:val="00467665"/>
    <w:rsid w:val="00467C73"/>
    <w:rsid w:val="00477627"/>
    <w:rsid w:val="00477E21"/>
    <w:rsid w:val="00477E23"/>
    <w:rsid w:val="0048045A"/>
    <w:rsid w:val="0048490A"/>
    <w:rsid w:val="00484BEF"/>
    <w:rsid w:val="00490779"/>
    <w:rsid w:val="004A0646"/>
    <w:rsid w:val="004A212F"/>
    <w:rsid w:val="004A4A56"/>
    <w:rsid w:val="004A4C3E"/>
    <w:rsid w:val="004A6788"/>
    <w:rsid w:val="004A6B01"/>
    <w:rsid w:val="004B30B3"/>
    <w:rsid w:val="004C1986"/>
    <w:rsid w:val="004C3A2A"/>
    <w:rsid w:val="004C3C1A"/>
    <w:rsid w:val="004C4753"/>
    <w:rsid w:val="004C52AB"/>
    <w:rsid w:val="004C5C5C"/>
    <w:rsid w:val="004C6B81"/>
    <w:rsid w:val="004C6FB2"/>
    <w:rsid w:val="004D39BB"/>
    <w:rsid w:val="004D3D31"/>
    <w:rsid w:val="004D6E3A"/>
    <w:rsid w:val="004D7B75"/>
    <w:rsid w:val="004E2E1D"/>
    <w:rsid w:val="004E339D"/>
    <w:rsid w:val="004E3F5D"/>
    <w:rsid w:val="004E4BCC"/>
    <w:rsid w:val="004E75FC"/>
    <w:rsid w:val="004F62BB"/>
    <w:rsid w:val="004F6411"/>
    <w:rsid w:val="004F6AC4"/>
    <w:rsid w:val="00504001"/>
    <w:rsid w:val="00507BE6"/>
    <w:rsid w:val="005116F4"/>
    <w:rsid w:val="00513D2D"/>
    <w:rsid w:val="00516564"/>
    <w:rsid w:val="00517DBA"/>
    <w:rsid w:val="005225D2"/>
    <w:rsid w:val="005232A6"/>
    <w:rsid w:val="00523796"/>
    <w:rsid w:val="00524A01"/>
    <w:rsid w:val="00536114"/>
    <w:rsid w:val="00537A4B"/>
    <w:rsid w:val="005429D0"/>
    <w:rsid w:val="00547629"/>
    <w:rsid w:val="00554078"/>
    <w:rsid w:val="00556DFB"/>
    <w:rsid w:val="00561BB0"/>
    <w:rsid w:val="00562410"/>
    <w:rsid w:val="00562D71"/>
    <w:rsid w:val="005706F1"/>
    <w:rsid w:val="00570BC7"/>
    <w:rsid w:val="00571358"/>
    <w:rsid w:val="00571385"/>
    <w:rsid w:val="00577463"/>
    <w:rsid w:val="00577B7C"/>
    <w:rsid w:val="00584B12"/>
    <w:rsid w:val="00584C89"/>
    <w:rsid w:val="00587F32"/>
    <w:rsid w:val="00590D09"/>
    <w:rsid w:val="00592DF0"/>
    <w:rsid w:val="0059334C"/>
    <w:rsid w:val="00594957"/>
    <w:rsid w:val="00595AAA"/>
    <w:rsid w:val="0059604C"/>
    <w:rsid w:val="00597C36"/>
    <w:rsid w:val="005A2D08"/>
    <w:rsid w:val="005A495D"/>
    <w:rsid w:val="005A62C3"/>
    <w:rsid w:val="005A7E01"/>
    <w:rsid w:val="005B3A54"/>
    <w:rsid w:val="005B4EFA"/>
    <w:rsid w:val="005B742E"/>
    <w:rsid w:val="005C0448"/>
    <w:rsid w:val="005C0A5A"/>
    <w:rsid w:val="005C2F69"/>
    <w:rsid w:val="005C50DC"/>
    <w:rsid w:val="005C58E3"/>
    <w:rsid w:val="005C5B57"/>
    <w:rsid w:val="005C73C0"/>
    <w:rsid w:val="005D07C7"/>
    <w:rsid w:val="005D44C7"/>
    <w:rsid w:val="005D6B44"/>
    <w:rsid w:val="005D7017"/>
    <w:rsid w:val="005E3B84"/>
    <w:rsid w:val="005E53C8"/>
    <w:rsid w:val="005F4270"/>
    <w:rsid w:val="00601429"/>
    <w:rsid w:val="006058BD"/>
    <w:rsid w:val="00610A08"/>
    <w:rsid w:val="00612E94"/>
    <w:rsid w:val="006173A6"/>
    <w:rsid w:val="00617E0D"/>
    <w:rsid w:val="006211B4"/>
    <w:rsid w:val="0062148A"/>
    <w:rsid w:val="0062199A"/>
    <w:rsid w:val="00621B27"/>
    <w:rsid w:val="00623B5D"/>
    <w:rsid w:val="006414B7"/>
    <w:rsid w:val="00642A39"/>
    <w:rsid w:val="00643620"/>
    <w:rsid w:val="00644EBD"/>
    <w:rsid w:val="00652FCD"/>
    <w:rsid w:val="006619BA"/>
    <w:rsid w:val="0066721B"/>
    <w:rsid w:val="00671A59"/>
    <w:rsid w:val="00672389"/>
    <w:rsid w:val="006748F3"/>
    <w:rsid w:val="0067678C"/>
    <w:rsid w:val="00677A9B"/>
    <w:rsid w:val="00681DA4"/>
    <w:rsid w:val="00681E72"/>
    <w:rsid w:val="0068294C"/>
    <w:rsid w:val="00687D47"/>
    <w:rsid w:val="0069368D"/>
    <w:rsid w:val="006955DE"/>
    <w:rsid w:val="0069564C"/>
    <w:rsid w:val="006A04D9"/>
    <w:rsid w:val="006A29A8"/>
    <w:rsid w:val="006A459A"/>
    <w:rsid w:val="006A5D45"/>
    <w:rsid w:val="006B1F4C"/>
    <w:rsid w:val="006B7DF3"/>
    <w:rsid w:val="006B7EFB"/>
    <w:rsid w:val="006C20E5"/>
    <w:rsid w:val="006C3DD9"/>
    <w:rsid w:val="006C49EA"/>
    <w:rsid w:val="006C7796"/>
    <w:rsid w:val="006D1534"/>
    <w:rsid w:val="006D1878"/>
    <w:rsid w:val="006D24B2"/>
    <w:rsid w:val="006D4B37"/>
    <w:rsid w:val="006E180A"/>
    <w:rsid w:val="006E4420"/>
    <w:rsid w:val="006E5026"/>
    <w:rsid w:val="006E72CC"/>
    <w:rsid w:val="006F777A"/>
    <w:rsid w:val="007015A2"/>
    <w:rsid w:val="007016E8"/>
    <w:rsid w:val="00702A53"/>
    <w:rsid w:val="00704799"/>
    <w:rsid w:val="007101AA"/>
    <w:rsid w:val="00710A68"/>
    <w:rsid w:val="00710AAF"/>
    <w:rsid w:val="00711074"/>
    <w:rsid w:val="007139E8"/>
    <w:rsid w:val="0071750D"/>
    <w:rsid w:val="0072029D"/>
    <w:rsid w:val="00720E0C"/>
    <w:rsid w:val="00722554"/>
    <w:rsid w:val="007265E4"/>
    <w:rsid w:val="00726BEE"/>
    <w:rsid w:val="007318EF"/>
    <w:rsid w:val="007330CC"/>
    <w:rsid w:val="00743DD9"/>
    <w:rsid w:val="00747423"/>
    <w:rsid w:val="00747DA5"/>
    <w:rsid w:val="00751395"/>
    <w:rsid w:val="00751799"/>
    <w:rsid w:val="00752A45"/>
    <w:rsid w:val="00755555"/>
    <w:rsid w:val="00755A3D"/>
    <w:rsid w:val="007656FC"/>
    <w:rsid w:val="00770213"/>
    <w:rsid w:val="0077383E"/>
    <w:rsid w:val="00775841"/>
    <w:rsid w:val="00781010"/>
    <w:rsid w:val="007812E0"/>
    <w:rsid w:val="00782B05"/>
    <w:rsid w:val="00786179"/>
    <w:rsid w:val="00787602"/>
    <w:rsid w:val="00790A31"/>
    <w:rsid w:val="007921AB"/>
    <w:rsid w:val="007927A3"/>
    <w:rsid w:val="00793796"/>
    <w:rsid w:val="007953FC"/>
    <w:rsid w:val="0079590A"/>
    <w:rsid w:val="00796AF7"/>
    <w:rsid w:val="00796F40"/>
    <w:rsid w:val="007A4451"/>
    <w:rsid w:val="007A49E1"/>
    <w:rsid w:val="007B1BE9"/>
    <w:rsid w:val="007B454A"/>
    <w:rsid w:val="007B53AD"/>
    <w:rsid w:val="007B56E9"/>
    <w:rsid w:val="007B6B63"/>
    <w:rsid w:val="007C02FD"/>
    <w:rsid w:val="007C21DC"/>
    <w:rsid w:val="007C3FBE"/>
    <w:rsid w:val="007C70EF"/>
    <w:rsid w:val="007C74F6"/>
    <w:rsid w:val="007E0F73"/>
    <w:rsid w:val="007E2299"/>
    <w:rsid w:val="007E2697"/>
    <w:rsid w:val="007E5779"/>
    <w:rsid w:val="007E6266"/>
    <w:rsid w:val="007E7B4A"/>
    <w:rsid w:val="007F3AC8"/>
    <w:rsid w:val="007F567F"/>
    <w:rsid w:val="00801FCF"/>
    <w:rsid w:val="00806C73"/>
    <w:rsid w:val="0081011C"/>
    <w:rsid w:val="0081064D"/>
    <w:rsid w:val="00814446"/>
    <w:rsid w:val="00814585"/>
    <w:rsid w:val="00820DAB"/>
    <w:rsid w:val="00821CA6"/>
    <w:rsid w:val="008245F2"/>
    <w:rsid w:val="00824779"/>
    <w:rsid w:val="00824D28"/>
    <w:rsid w:val="00830AB3"/>
    <w:rsid w:val="0083555B"/>
    <w:rsid w:val="00837634"/>
    <w:rsid w:val="008442F7"/>
    <w:rsid w:val="008466EB"/>
    <w:rsid w:val="00853C6C"/>
    <w:rsid w:val="00854911"/>
    <w:rsid w:val="00855CC3"/>
    <w:rsid w:val="00860CFE"/>
    <w:rsid w:val="00865DA9"/>
    <w:rsid w:val="00867031"/>
    <w:rsid w:val="008720FE"/>
    <w:rsid w:val="008727CC"/>
    <w:rsid w:val="008765BC"/>
    <w:rsid w:val="00876628"/>
    <w:rsid w:val="00880511"/>
    <w:rsid w:val="008826B6"/>
    <w:rsid w:val="00882D72"/>
    <w:rsid w:val="00892448"/>
    <w:rsid w:val="008956B2"/>
    <w:rsid w:val="00896313"/>
    <w:rsid w:val="00897CE7"/>
    <w:rsid w:val="008A1540"/>
    <w:rsid w:val="008A2BAA"/>
    <w:rsid w:val="008A3D14"/>
    <w:rsid w:val="008A638F"/>
    <w:rsid w:val="008A6988"/>
    <w:rsid w:val="008B04E1"/>
    <w:rsid w:val="008B1D88"/>
    <w:rsid w:val="008B2217"/>
    <w:rsid w:val="008B31D6"/>
    <w:rsid w:val="008B3BC9"/>
    <w:rsid w:val="008B3EAE"/>
    <w:rsid w:val="008B481C"/>
    <w:rsid w:val="008C2BF7"/>
    <w:rsid w:val="008C34AB"/>
    <w:rsid w:val="008D209C"/>
    <w:rsid w:val="008D396F"/>
    <w:rsid w:val="008D5AE4"/>
    <w:rsid w:val="008E4882"/>
    <w:rsid w:val="008E5204"/>
    <w:rsid w:val="008F3231"/>
    <w:rsid w:val="00900A78"/>
    <w:rsid w:val="00901220"/>
    <w:rsid w:val="00905117"/>
    <w:rsid w:val="00905FFF"/>
    <w:rsid w:val="00910AC2"/>
    <w:rsid w:val="009139BC"/>
    <w:rsid w:val="00914814"/>
    <w:rsid w:val="00915627"/>
    <w:rsid w:val="0091631D"/>
    <w:rsid w:val="0092174C"/>
    <w:rsid w:val="00923FB1"/>
    <w:rsid w:val="00927860"/>
    <w:rsid w:val="00931695"/>
    <w:rsid w:val="009317A7"/>
    <w:rsid w:val="0093320F"/>
    <w:rsid w:val="009336C0"/>
    <w:rsid w:val="00934F7F"/>
    <w:rsid w:val="009360EC"/>
    <w:rsid w:val="00936E51"/>
    <w:rsid w:val="00951F58"/>
    <w:rsid w:val="00952A98"/>
    <w:rsid w:val="00952CF9"/>
    <w:rsid w:val="009546DF"/>
    <w:rsid w:val="009550DC"/>
    <w:rsid w:val="00955995"/>
    <w:rsid w:val="00956453"/>
    <w:rsid w:val="009579A4"/>
    <w:rsid w:val="009605B8"/>
    <w:rsid w:val="00960E7E"/>
    <w:rsid w:val="009670EA"/>
    <w:rsid w:val="009710A7"/>
    <w:rsid w:val="00971628"/>
    <w:rsid w:val="0097613F"/>
    <w:rsid w:val="009775B8"/>
    <w:rsid w:val="00980C1F"/>
    <w:rsid w:val="00981ED6"/>
    <w:rsid w:val="009829B2"/>
    <w:rsid w:val="009836EF"/>
    <w:rsid w:val="0098615A"/>
    <w:rsid w:val="00987470"/>
    <w:rsid w:val="00994B00"/>
    <w:rsid w:val="00994B70"/>
    <w:rsid w:val="00996087"/>
    <w:rsid w:val="009A17D5"/>
    <w:rsid w:val="009A6651"/>
    <w:rsid w:val="009B1308"/>
    <w:rsid w:val="009B1CBF"/>
    <w:rsid w:val="009B472B"/>
    <w:rsid w:val="009C2718"/>
    <w:rsid w:val="009C3C0D"/>
    <w:rsid w:val="009C44C6"/>
    <w:rsid w:val="009D0962"/>
    <w:rsid w:val="009D2CE1"/>
    <w:rsid w:val="009E07DE"/>
    <w:rsid w:val="009E184F"/>
    <w:rsid w:val="009E1C03"/>
    <w:rsid w:val="009E2A06"/>
    <w:rsid w:val="009E33C4"/>
    <w:rsid w:val="009E40B1"/>
    <w:rsid w:val="009E495D"/>
    <w:rsid w:val="009F495A"/>
    <w:rsid w:val="009F623C"/>
    <w:rsid w:val="00A02892"/>
    <w:rsid w:val="00A03BFE"/>
    <w:rsid w:val="00A03D31"/>
    <w:rsid w:val="00A044D3"/>
    <w:rsid w:val="00A05B80"/>
    <w:rsid w:val="00A0798E"/>
    <w:rsid w:val="00A1086C"/>
    <w:rsid w:val="00A126FE"/>
    <w:rsid w:val="00A153FD"/>
    <w:rsid w:val="00A2441A"/>
    <w:rsid w:val="00A25BF5"/>
    <w:rsid w:val="00A31D61"/>
    <w:rsid w:val="00A3412A"/>
    <w:rsid w:val="00A36C2A"/>
    <w:rsid w:val="00A37D16"/>
    <w:rsid w:val="00A428F2"/>
    <w:rsid w:val="00A43219"/>
    <w:rsid w:val="00A44F6D"/>
    <w:rsid w:val="00A45C43"/>
    <w:rsid w:val="00A45CDE"/>
    <w:rsid w:val="00A50B2B"/>
    <w:rsid w:val="00A5378E"/>
    <w:rsid w:val="00A54A85"/>
    <w:rsid w:val="00A55789"/>
    <w:rsid w:val="00A64192"/>
    <w:rsid w:val="00A64C4E"/>
    <w:rsid w:val="00A675C6"/>
    <w:rsid w:val="00A67BC9"/>
    <w:rsid w:val="00A67D0A"/>
    <w:rsid w:val="00A777BD"/>
    <w:rsid w:val="00A809AC"/>
    <w:rsid w:val="00A831EE"/>
    <w:rsid w:val="00A832E3"/>
    <w:rsid w:val="00A8342F"/>
    <w:rsid w:val="00A84F22"/>
    <w:rsid w:val="00A866D8"/>
    <w:rsid w:val="00A90430"/>
    <w:rsid w:val="00A94464"/>
    <w:rsid w:val="00A95DB6"/>
    <w:rsid w:val="00AA088F"/>
    <w:rsid w:val="00AA1219"/>
    <w:rsid w:val="00AA6A41"/>
    <w:rsid w:val="00AA6F1B"/>
    <w:rsid w:val="00AB03C4"/>
    <w:rsid w:val="00AB38EE"/>
    <w:rsid w:val="00AB521D"/>
    <w:rsid w:val="00AB5A0A"/>
    <w:rsid w:val="00AB5A47"/>
    <w:rsid w:val="00AB749B"/>
    <w:rsid w:val="00AC13CC"/>
    <w:rsid w:val="00AC34C0"/>
    <w:rsid w:val="00AC6E3A"/>
    <w:rsid w:val="00AD0D6E"/>
    <w:rsid w:val="00AD17B5"/>
    <w:rsid w:val="00AD3C27"/>
    <w:rsid w:val="00AE3562"/>
    <w:rsid w:val="00AE38F4"/>
    <w:rsid w:val="00AE4AEE"/>
    <w:rsid w:val="00AE55FF"/>
    <w:rsid w:val="00AF10DB"/>
    <w:rsid w:val="00AF1742"/>
    <w:rsid w:val="00AF68D2"/>
    <w:rsid w:val="00AF6C79"/>
    <w:rsid w:val="00B053A8"/>
    <w:rsid w:val="00B05F09"/>
    <w:rsid w:val="00B07623"/>
    <w:rsid w:val="00B11F05"/>
    <w:rsid w:val="00B121E6"/>
    <w:rsid w:val="00B12BEC"/>
    <w:rsid w:val="00B16565"/>
    <w:rsid w:val="00B208B2"/>
    <w:rsid w:val="00B2387D"/>
    <w:rsid w:val="00B24541"/>
    <w:rsid w:val="00B250CB"/>
    <w:rsid w:val="00B32E27"/>
    <w:rsid w:val="00B4070A"/>
    <w:rsid w:val="00B40C36"/>
    <w:rsid w:val="00B43063"/>
    <w:rsid w:val="00B4330F"/>
    <w:rsid w:val="00B5149C"/>
    <w:rsid w:val="00B55333"/>
    <w:rsid w:val="00B55409"/>
    <w:rsid w:val="00B5589C"/>
    <w:rsid w:val="00B571B7"/>
    <w:rsid w:val="00B572AB"/>
    <w:rsid w:val="00B57D22"/>
    <w:rsid w:val="00B6144D"/>
    <w:rsid w:val="00B624A4"/>
    <w:rsid w:val="00B627A2"/>
    <w:rsid w:val="00B63FDD"/>
    <w:rsid w:val="00B64190"/>
    <w:rsid w:val="00B742EB"/>
    <w:rsid w:val="00B755CF"/>
    <w:rsid w:val="00B75642"/>
    <w:rsid w:val="00B803FD"/>
    <w:rsid w:val="00B807B4"/>
    <w:rsid w:val="00B8598D"/>
    <w:rsid w:val="00B925CE"/>
    <w:rsid w:val="00B93E51"/>
    <w:rsid w:val="00B94A5E"/>
    <w:rsid w:val="00B951E7"/>
    <w:rsid w:val="00B95B4A"/>
    <w:rsid w:val="00B96EE9"/>
    <w:rsid w:val="00BA12E2"/>
    <w:rsid w:val="00BA30E2"/>
    <w:rsid w:val="00BA5B04"/>
    <w:rsid w:val="00BA5C96"/>
    <w:rsid w:val="00BA76CE"/>
    <w:rsid w:val="00BB1035"/>
    <w:rsid w:val="00BB125A"/>
    <w:rsid w:val="00BB18EA"/>
    <w:rsid w:val="00BB209D"/>
    <w:rsid w:val="00BB2FAB"/>
    <w:rsid w:val="00BB3386"/>
    <w:rsid w:val="00BB3748"/>
    <w:rsid w:val="00BB511C"/>
    <w:rsid w:val="00BB6103"/>
    <w:rsid w:val="00BB6605"/>
    <w:rsid w:val="00BC16E9"/>
    <w:rsid w:val="00BC2D61"/>
    <w:rsid w:val="00BC3EC2"/>
    <w:rsid w:val="00BC4EBF"/>
    <w:rsid w:val="00BD1436"/>
    <w:rsid w:val="00BD265D"/>
    <w:rsid w:val="00BD27F9"/>
    <w:rsid w:val="00BD3B3C"/>
    <w:rsid w:val="00BD47FE"/>
    <w:rsid w:val="00BD529B"/>
    <w:rsid w:val="00BD5BD2"/>
    <w:rsid w:val="00BD760B"/>
    <w:rsid w:val="00BE2541"/>
    <w:rsid w:val="00BE59B1"/>
    <w:rsid w:val="00BF1D76"/>
    <w:rsid w:val="00C014F0"/>
    <w:rsid w:val="00C022AD"/>
    <w:rsid w:val="00C038A7"/>
    <w:rsid w:val="00C11E59"/>
    <w:rsid w:val="00C12217"/>
    <w:rsid w:val="00C12D54"/>
    <w:rsid w:val="00C206D4"/>
    <w:rsid w:val="00C22105"/>
    <w:rsid w:val="00C23CF9"/>
    <w:rsid w:val="00C27240"/>
    <w:rsid w:val="00C3327D"/>
    <w:rsid w:val="00C35E15"/>
    <w:rsid w:val="00C36548"/>
    <w:rsid w:val="00C42112"/>
    <w:rsid w:val="00C4633C"/>
    <w:rsid w:val="00C510F4"/>
    <w:rsid w:val="00C517D4"/>
    <w:rsid w:val="00C523B2"/>
    <w:rsid w:val="00C52E80"/>
    <w:rsid w:val="00C54519"/>
    <w:rsid w:val="00C55EBA"/>
    <w:rsid w:val="00C569CF"/>
    <w:rsid w:val="00C578DF"/>
    <w:rsid w:val="00C57FDB"/>
    <w:rsid w:val="00C6208D"/>
    <w:rsid w:val="00C671DA"/>
    <w:rsid w:val="00C67E79"/>
    <w:rsid w:val="00C708C0"/>
    <w:rsid w:val="00C712A3"/>
    <w:rsid w:val="00C7165A"/>
    <w:rsid w:val="00C72038"/>
    <w:rsid w:val="00C72E2B"/>
    <w:rsid w:val="00C76F62"/>
    <w:rsid w:val="00C80271"/>
    <w:rsid w:val="00C80FDC"/>
    <w:rsid w:val="00C82E06"/>
    <w:rsid w:val="00C900D9"/>
    <w:rsid w:val="00C913FB"/>
    <w:rsid w:val="00C92494"/>
    <w:rsid w:val="00CA1134"/>
    <w:rsid w:val="00CA5D9D"/>
    <w:rsid w:val="00CA7E3F"/>
    <w:rsid w:val="00CB1EDD"/>
    <w:rsid w:val="00CB5E83"/>
    <w:rsid w:val="00CB7B4A"/>
    <w:rsid w:val="00CC2FD6"/>
    <w:rsid w:val="00CC466B"/>
    <w:rsid w:val="00CC4907"/>
    <w:rsid w:val="00CC6285"/>
    <w:rsid w:val="00CC7B80"/>
    <w:rsid w:val="00CD3441"/>
    <w:rsid w:val="00CD6544"/>
    <w:rsid w:val="00CE584A"/>
    <w:rsid w:val="00CE6ADC"/>
    <w:rsid w:val="00CF31EC"/>
    <w:rsid w:val="00CF35E0"/>
    <w:rsid w:val="00CF39DD"/>
    <w:rsid w:val="00CF3E8A"/>
    <w:rsid w:val="00D01908"/>
    <w:rsid w:val="00D10935"/>
    <w:rsid w:val="00D11CE4"/>
    <w:rsid w:val="00D11D6A"/>
    <w:rsid w:val="00D13377"/>
    <w:rsid w:val="00D147AD"/>
    <w:rsid w:val="00D16354"/>
    <w:rsid w:val="00D16DF9"/>
    <w:rsid w:val="00D20CFB"/>
    <w:rsid w:val="00D22102"/>
    <w:rsid w:val="00D25604"/>
    <w:rsid w:val="00D257A8"/>
    <w:rsid w:val="00D26D4D"/>
    <w:rsid w:val="00D27EA5"/>
    <w:rsid w:val="00D31734"/>
    <w:rsid w:val="00D329A2"/>
    <w:rsid w:val="00D32BEB"/>
    <w:rsid w:val="00D32FC2"/>
    <w:rsid w:val="00D3641F"/>
    <w:rsid w:val="00D406E3"/>
    <w:rsid w:val="00D41105"/>
    <w:rsid w:val="00D46116"/>
    <w:rsid w:val="00D512CF"/>
    <w:rsid w:val="00D53B2B"/>
    <w:rsid w:val="00D54CAF"/>
    <w:rsid w:val="00D55F4E"/>
    <w:rsid w:val="00D56210"/>
    <w:rsid w:val="00D600E3"/>
    <w:rsid w:val="00D60469"/>
    <w:rsid w:val="00D608BE"/>
    <w:rsid w:val="00D61503"/>
    <w:rsid w:val="00D628EC"/>
    <w:rsid w:val="00D636C9"/>
    <w:rsid w:val="00D65122"/>
    <w:rsid w:val="00D6536C"/>
    <w:rsid w:val="00D666D4"/>
    <w:rsid w:val="00D716AC"/>
    <w:rsid w:val="00D74BA9"/>
    <w:rsid w:val="00D75120"/>
    <w:rsid w:val="00D7748B"/>
    <w:rsid w:val="00D80C6A"/>
    <w:rsid w:val="00D80F3F"/>
    <w:rsid w:val="00D82F1E"/>
    <w:rsid w:val="00D834EB"/>
    <w:rsid w:val="00D90FEB"/>
    <w:rsid w:val="00D914DC"/>
    <w:rsid w:val="00D918E5"/>
    <w:rsid w:val="00D94404"/>
    <w:rsid w:val="00D94B14"/>
    <w:rsid w:val="00D950A4"/>
    <w:rsid w:val="00D9637F"/>
    <w:rsid w:val="00DA67D1"/>
    <w:rsid w:val="00DB06CD"/>
    <w:rsid w:val="00DB06F9"/>
    <w:rsid w:val="00DB09BB"/>
    <w:rsid w:val="00DB377C"/>
    <w:rsid w:val="00DB5303"/>
    <w:rsid w:val="00DB582D"/>
    <w:rsid w:val="00DB77F3"/>
    <w:rsid w:val="00DC1E42"/>
    <w:rsid w:val="00DC6DFC"/>
    <w:rsid w:val="00DD3ACB"/>
    <w:rsid w:val="00DD6ACC"/>
    <w:rsid w:val="00DD715B"/>
    <w:rsid w:val="00DE043C"/>
    <w:rsid w:val="00DE3785"/>
    <w:rsid w:val="00DE452A"/>
    <w:rsid w:val="00DE5113"/>
    <w:rsid w:val="00DE64D0"/>
    <w:rsid w:val="00DE6966"/>
    <w:rsid w:val="00DF5A65"/>
    <w:rsid w:val="00DF5F3F"/>
    <w:rsid w:val="00DF6E21"/>
    <w:rsid w:val="00E04E77"/>
    <w:rsid w:val="00E06C3D"/>
    <w:rsid w:val="00E105C5"/>
    <w:rsid w:val="00E124DF"/>
    <w:rsid w:val="00E13D3D"/>
    <w:rsid w:val="00E167DA"/>
    <w:rsid w:val="00E205B1"/>
    <w:rsid w:val="00E21F23"/>
    <w:rsid w:val="00E21F6B"/>
    <w:rsid w:val="00E245E7"/>
    <w:rsid w:val="00E310DC"/>
    <w:rsid w:val="00E41530"/>
    <w:rsid w:val="00E42FD0"/>
    <w:rsid w:val="00E4367A"/>
    <w:rsid w:val="00E4495A"/>
    <w:rsid w:val="00E44F01"/>
    <w:rsid w:val="00E50A4A"/>
    <w:rsid w:val="00E53A5C"/>
    <w:rsid w:val="00E548A8"/>
    <w:rsid w:val="00E569B7"/>
    <w:rsid w:val="00E56C41"/>
    <w:rsid w:val="00E571F1"/>
    <w:rsid w:val="00E612E4"/>
    <w:rsid w:val="00E63EB3"/>
    <w:rsid w:val="00E669F3"/>
    <w:rsid w:val="00E70475"/>
    <w:rsid w:val="00E752A8"/>
    <w:rsid w:val="00E77E13"/>
    <w:rsid w:val="00E800D6"/>
    <w:rsid w:val="00E8628A"/>
    <w:rsid w:val="00E86D62"/>
    <w:rsid w:val="00E87541"/>
    <w:rsid w:val="00E9490F"/>
    <w:rsid w:val="00E9681D"/>
    <w:rsid w:val="00EA3F01"/>
    <w:rsid w:val="00EA7640"/>
    <w:rsid w:val="00EB3793"/>
    <w:rsid w:val="00EB4486"/>
    <w:rsid w:val="00EB486A"/>
    <w:rsid w:val="00EB681E"/>
    <w:rsid w:val="00EC0087"/>
    <w:rsid w:val="00EC00A3"/>
    <w:rsid w:val="00EC3A98"/>
    <w:rsid w:val="00EC662F"/>
    <w:rsid w:val="00EC73CA"/>
    <w:rsid w:val="00ED4311"/>
    <w:rsid w:val="00ED628F"/>
    <w:rsid w:val="00EE306F"/>
    <w:rsid w:val="00EE536A"/>
    <w:rsid w:val="00EE58B4"/>
    <w:rsid w:val="00EE6A7A"/>
    <w:rsid w:val="00EF2F32"/>
    <w:rsid w:val="00EF463D"/>
    <w:rsid w:val="00EF5DF1"/>
    <w:rsid w:val="00F0347B"/>
    <w:rsid w:val="00F0736F"/>
    <w:rsid w:val="00F11D7C"/>
    <w:rsid w:val="00F14737"/>
    <w:rsid w:val="00F16910"/>
    <w:rsid w:val="00F2285A"/>
    <w:rsid w:val="00F26BB1"/>
    <w:rsid w:val="00F3166F"/>
    <w:rsid w:val="00F31891"/>
    <w:rsid w:val="00F3219E"/>
    <w:rsid w:val="00F34634"/>
    <w:rsid w:val="00F35F29"/>
    <w:rsid w:val="00F367F1"/>
    <w:rsid w:val="00F41B49"/>
    <w:rsid w:val="00F4484E"/>
    <w:rsid w:val="00F44FD9"/>
    <w:rsid w:val="00F5596A"/>
    <w:rsid w:val="00F601D2"/>
    <w:rsid w:val="00F618D1"/>
    <w:rsid w:val="00F61CF2"/>
    <w:rsid w:val="00F637F3"/>
    <w:rsid w:val="00F63E2B"/>
    <w:rsid w:val="00F63F55"/>
    <w:rsid w:val="00F643FF"/>
    <w:rsid w:val="00F706C4"/>
    <w:rsid w:val="00F70DDA"/>
    <w:rsid w:val="00F717A0"/>
    <w:rsid w:val="00F73057"/>
    <w:rsid w:val="00F73B6E"/>
    <w:rsid w:val="00F76488"/>
    <w:rsid w:val="00F76599"/>
    <w:rsid w:val="00F83E1E"/>
    <w:rsid w:val="00F846B5"/>
    <w:rsid w:val="00F8514A"/>
    <w:rsid w:val="00F90066"/>
    <w:rsid w:val="00F93F97"/>
    <w:rsid w:val="00F951A7"/>
    <w:rsid w:val="00F97380"/>
    <w:rsid w:val="00FA089E"/>
    <w:rsid w:val="00FB0EB9"/>
    <w:rsid w:val="00FB70ED"/>
    <w:rsid w:val="00FB71A0"/>
    <w:rsid w:val="00FC2B7F"/>
    <w:rsid w:val="00FC2CCA"/>
    <w:rsid w:val="00FC50A1"/>
    <w:rsid w:val="00FC554E"/>
    <w:rsid w:val="00FC60BF"/>
    <w:rsid w:val="00FC70AD"/>
    <w:rsid w:val="00FD1520"/>
    <w:rsid w:val="00FD3571"/>
    <w:rsid w:val="00FD4C7E"/>
    <w:rsid w:val="00FD66C1"/>
    <w:rsid w:val="00FD7861"/>
    <w:rsid w:val="00FE24F5"/>
    <w:rsid w:val="00FE2C82"/>
    <w:rsid w:val="00FE4ADD"/>
    <w:rsid w:val="00FE72C8"/>
    <w:rsid w:val="00FE7304"/>
    <w:rsid w:val="00FF0248"/>
    <w:rsid w:val="00FF18A1"/>
    <w:rsid w:val="00FF483B"/>
    <w:rsid w:val="00FF5226"/>
    <w:rsid w:val="011B1855"/>
    <w:rsid w:val="01275E8C"/>
    <w:rsid w:val="015F622D"/>
    <w:rsid w:val="01632832"/>
    <w:rsid w:val="0176686E"/>
    <w:rsid w:val="01FF4EDD"/>
    <w:rsid w:val="021875FF"/>
    <w:rsid w:val="0233289D"/>
    <w:rsid w:val="02337D11"/>
    <w:rsid w:val="025E6064"/>
    <w:rsid w:val="02816CCE"/>
    <w:rsid w:val="02B74878"/>
    <w:rsid w:val="02BF77F6"/>
    <w:rsid w:val="0323389B"/>
    <w:rsid w:val="0344528B"/>
    <w:rsid w:val="037258AF"/>
    <w:rsid w:val="03906A9D"/>
    <w:rsid w:val="039321B2"/>
    <w:rsid w:val="039447DF"/>
    <w:rsid w:val="03993BA4"/>
    <w:rsid w:val="039C061E"/>
    <w:rsid w:val="03A7457D"/>
    <w:rsid w:val="03C14B21"/>
    <w:rsid w:val="040556DD"/>
    <w:rsid w:val="04366AF4"/>
    <w:rsid w:val="04463D2B"/>
    <w:rsid w:val="05656433"/>
    <w:rsid w:val="05987F16"/>
    <w:rsid w:val="059E1976"/>
    <w:rsid w:val="05A351AD"/>
    <w:rsid w:val="05C228EF"/>
    <w:rsid w:val="063F547A"/>
    <w:rsid w:val="06541676"/>
    <w:rsid w:val="06835E5A"/>
    <w:rsid w:val="07303A25"/>
    <w:rsid w:val="0753050D"/>
    <w:rsid w:val="076418BC"/>
    <w:rsid w:val="077B16E9"/>
    <w:rsid w:val="0788394A"/>
    <w:rsid w:val="07883F15"/>
    <w:rsid w:val="07BF6FFF"/>
    <w:rsid w:val="07C531B9"/>
    <w:rsid w:val="080B2971"/>
    <w:rsid w:val="084A7B62"/>
    <w:rsid w:val="087A28C9"/>
    <w:rsid w:val="08CA0DF4"/>
    <w:rsid w:val="091F4B75"/>
    <w:rsid w:val="09382467"/>
    <w:rsid w:val="09576081"/>
    <w:rsid w:val="095C57E5"/>
    <w:rsid w:val="095C7F7C"/>
    <w:rsid w:val="09806FD7"/>
    <w:rsid w:val="0995305F"/>
    <w:rsid w:val="09BC181F"/>
    <w:rsid w:val="0A294AEF"/>
    <w:rsid w:val="0A2C17A5"/>
    <w:rsid w:val="0A2D56F3"/>
    <w:rsid w:val="0A7313FD"/>
    <w:rsid w:val="0A87521E"/>
    <w:rsid w:val="0A8971B7"/>
    <w:rsid w:val="0A985FC4"/>
    <w:rsid w:val="0AA12680"/>
    <w:rsid w:val="0AB51347"/>
    <w:rsid w:val="0AD617D3"/>
    <w:rsid w:val="0B536D2E"/>
    <w:rsid w:val="0B6727D9"/>
    <w:rsid w:val="0BC16090"/>
    <w:rsid w:val="0C4918C3"/>
    <w:rsid w:val="0C561759"/>
    <w:rsid w:val="0C61039D"/>
    <w:rsid w:val="0C8F7585"/>
    <w:rsid w:val="0CD8573D"/>
    <w:rsid w:val="0CE045F1"/>
    <w:rsid w:val="0CF37B53"/>
    <w:rsid w:val="0D2766C4"/>
    <w:rsid w:val="0D7278F1"/>
    <w:rsid w:val="0D9D3449"/>
    <w:rsid w:val="0DD210AF"/>
    <w:rsid w:val="0DD734A7"/>
    <w:rsid w:val="0DD92A45"/>
    <w:rsid w:val="0EA77ABC"/>
    <w:rsid w:val="0EB61AAE"/>
    <w:rsid w:val="0F065D27"/>
    <w:rsid w:val="0F113188"/>
    <w:rsid w:val="0F2304E8"/>
    <w:rsid w:val="0F29338B"/>
    <w:rsid w:val="0F65617D"/>
    <w:rsid w:val="1052332A"/>
    <w:rsid w:val="105517FE"/>
    <w:rsid w:val="108D2EBC"/>
    <w:rsid w:val="10B65D95"/>
    <w:rsid w:val="11204ECE"/>
    <w:rsid w:val="119F0481"/>
    <w:rsid w:val="11AD0384"/>
    <w:rsid w:val="11B91F38"/>
    <w:rsid w:val="11DF30C9"/>
    <w:rsid w:val="120668A8"/>
    <w:rsid w:val="12163DDC"/>
    <w:rsid w:val="122E1E75"/>
    <w:rsid w:val="124B4C03"/>
    <w:rsid w:val="126A672B"/>
    <w:rsid w:val="127B39E1"/>
    <w:rsid w:val="12AA36D7"/>
    <w:rsid w:val="12C02EFB"/>
    <w:rsid w:val="132D36D3"/>
    <w:rsid w:val="134B702F"/>
    <w:rsid w:val="135A3C33"/>
    <w:rsid w:val="135D7869"/>
    <w:rsid w:val="13743CE5"/>
    <w:rsid w:val="13A51976"/>
    <w:rsid w:val="13B76D00"/>
    <w:rsid w:val="1444068D"/>
    <w:rsid w:val="1463451E"/>
    <w:rsid w:val="14B042CC"/>
    <w:rsid w:val="14BF323B"/>
    <w:rsid w:val="15385A78"/>
    <w:rsid w:val="159468C1"/>
    <w:rsid w:val="15A22D8C"/>
    <w:rsid w:val="161F2770"/>
    <w:rsid w:val="16901359"/>
    <w:rsid w:val="16B266E5"/>
    <w:rsid w:val="16E96798"/>
    <w:rsid w:val="16EB1ACD"/>
    <w:rsid w:val="16FA2753"/>
    <w:rsid w:val="170D53EF"/>
    <w:rsid w:val="17502F9A"/>
    <w:rsid w:val="175943AB"/>
    <w:rsid w:val="176F4C15"/>
    <w:rsid w:val="17927668"/>
    <w:rsid w:val="179F1919"/>
    <w:rsid w:val="17E4768B"/>
    <w:rsid w:val="19831126"/>
    <w:rsid w:val="198C4FA5"/>
    <w:rsid w:val="1A141D7E"/>
    <w:rsid w:val="1A364E3F"/>
    <w:rsid w:val="1A3827F6"/>
    <w:rsid w:val="1AA53948"/>
    <w:rsid w:val="1AE70671"/>
    <w:rsid w:val="1AE94FB9"/>
    <w:rsid w:val="1B48342E"/>
    <w:rsid w:val="1BB422BE"/>
    <w:rsid w:val="1BBD7E75"/>
    <w:rsid w:val="1BF9660A"/>
    <w:rsid w:val="1BFC2277"/>
    <w:rsid w:val="1C3B1844"/>
    <w:rsid w:val="1C564176"/>
    <w:rsid w:val="1C5A1A72"/>
    <w:rsid w:val="1CA23671"/>
    <w:rsid w:val="1CA67605"/>
    <w:rsid w:val="1CBA32F8"/>
    <w:rsid w:val="1CDC3027"/>
    <w:rsid w:val="1CE309DC"/>
    <w:rsid w:val="1CEA79A7"/>
    <w:rsid w:val="1CF47F3B"/>
    <w:rsid w:val="1D097B94"/>
    <w:rsid w:val="1D1F4B85"/>
    <w:rsid w:val="1D2642A2"/>
    <w:rsid w:val="1D4C5CEE"/>
    <w:rsid w:val="1D8B3416"/>
    <w:rsid w:val="1D9B4E79"/>
    <w:rsid w:val="1DB96EC4"/>
    <w:rsid w:val="1DCB765E"/>
    <w:rsid w:val="1DDB2527"/>
    <w:rsid w:val="1E4A0B0F"/>
    <w:rsid w:val="1E932132"/>
    <w:rsid w:val="1EAA2CB1"/>
    <w:rsid w:val="1EB3484A"/>
    <w:rsid w:val="1EE6018D"/>
    <w:rsid w:val="1F087540"/>
    <w:rsid w:val="1F1B2C7B"/>
    <w:rsid w:val="1F2E326A"/>
    <w:rsid w:val="1F7E2A30"/>
    <w:rsid w:val="1F9A2D26"/>
    <w:rsid w:val="1FC21ED8"/>
    <w:rsid w:val="1FD02ED7"/>
    <w:rsid w:val="20550FB0"/>
    <w:rsid w:val="206E53D6"/>
    <w:rsid w:val="2095099D"/>
    <w:rsid w:val="20C54081"/>
    <w:rsid w:val="20D025D1"/>
    <w:rsid w:val="21195258"/>
    <w:rsid w:val="21635D90"/>
    <w:rsid w:val="21963D50"/>
    <w:rsid w:val="21972D96"/>
    <w:rsid w:val="219856BE"/>
    <w:rsid w:val="21BC3427"/>
    <w:rsid w:val="21D17E6F"/>
    <w:rsid w:val="21D73DBD"/>
    <w:rsid w:val="22626844"/>
    <w:rsid w:val="227C6712"/>
    <w:rsid w:val="23043C16"/>
    <w:rsid w:val="231C5736"/>
    <w:rsid w:val="237B4990"/>
    <w:rsid w:val="23B125C9"/>
    <w:rsid w:val="24524B73"/>
    <w:rsid w:val="24A459D4"/>
    <w:rsid w:val="24C70119"/>
    <w:rsid w:val="24D1683E"/>
    <w:rsid w:val="25104E69"/>
    <w:rsid w:val="25346B5B"/>
    <w:rsid w:val="254E3613"/>
    <w:rsid w:val="25647557"/>
    <w:rsid w:val="25647800"/>
    <w:rsid w:val="25657932"/>
    <w:rsid w:val="25691B77"/>
    <w:rsid w:val="257603B5"/>
    <w:rsid w:val="261563D4"/>
    <w:rsid w:val="26181E18"/>
    <w:rsid w:val="2685028B"/>
    <w:rsid w:val="26A00DE8"/>
    <w:rsid w:val="26D94133"/>
    <w:rsid w:val="273677D8"/>
    <w:rsid w:val="276022E1"/>
    <w:rsid w:val="2790513A"/>
    <w:rsid w:val="279C693B"/>
    <w:rsid w:val="27AE57CF"/>
    <w:rsid w:val="27B32BD6"/>
    <w:rsid w:val="27CA335E"/>
    <w:rsid w:val="27CC5415"/>
    <w:rsid w:val="281D44F4"/>
    <w:rsid w:val="281D7327"/>
    <w:rsid w:val="283000C3"/>
    <w:rsid w:val="28333D17"/>
    <w:rsid w:val="286839C1"/>
    <w:rsid w:val="286F5E18"/>
    <w:rsid w:val="288E4485"/>
    <w:rsid w:val="28A17802"/>
    <w:rsid w:val="28F72F97"/>
    <w:rsid w:val="2919362D"/>
    <w:rsid w:val="292E1AD5"/>
    <w:rsid w:val="294A4C11"/>
    <w:rsid w:val="29717027"/>
    <w:rsid w:val="29AD1E43"/>
    <w:rsid w:val="29CA4207"/>
    <w:rsid w:val="2A742763"/>
    <w:rsid w:val="2AA75AC8"/>
    <w:rsid w:val="2AAB3585"/>
    <w:rsid w:val="2AB50038"/>
    <w:rsid w:val="2ABC1DA2"/>
    <w:rsid w:val="2AF27EBA"/>
    <w:rsid w:val="2AFC75AE"/>
    <w:rsid w:val="2B0A42EA"/>
    <w:rsid w:val="2B34383E"/>
    <w:rsid w:val="2B367DA6"/>
    <w:rsid w:val="2B8F395A"/>
    <w:rsid w:val="2B9B4AAE"/>
    <w:rsid w:val="2BDB01EE"/>
    <w:rsid w:val="2BEB6DE3"/>
    <w:rsid w:val="2BFC47AC"/>
    <w:rsid w:val="2C0D0BF4"/>
    <w:rsid w:val="2C340E11"/>
    <w:rsid w:val="2CAE7E10"/>
    <w:rsid w:val="2CE675AA"/>
    <w:rsid w:val="2CF71862"/>
    <w:rsid w:val="2D202ABC"/>
    <w:rsid w:val="2D265BF9"/>
    <w:rsid w:val="2D631ACE"/>
    <w:rsid w:val="2D7B4216"/>
    <w:rsid w:val="2D82676D"/>
    <w:rsid w:val="2D8E211C"/>
    <w:rsid w:val="2DC51834"/>
    <w:rsid w:val="2DE34251"/>
    <w:rsid w:val="2E0D5F7A"/>
    <w:rsid w:val="2E113D0B"/>
    <w:rsid w:val="2E245985"/>
    <w:rsid w:val="2E3C1F24"/>
    <w:rsid w:val="2E5D421F"/>
    <w:rsid w:val="2E5F7C60"/>
    <w:rsid w:val="2E693FEF"/>
    <w:rsid w:val="2EB93863"/>
    <w:rsid w:val="2ECC22AF"/>
    <w:rsid w:val="2EF312C6"/>
    <w:rsid w:val="2F1228D8"/>
    <w:rsid w:val="2FF4402D"/>
    <w:rsid w:val="307F0C80"/>
    <w:rsid w:val="30B17ECF"/>
    <w:rsid w:val="30FC4376"/>
    <w:rsid w:val="31167D3E"/>
    <w:rsid w:val="31197B76"/>
    <w:rsid w:val="311E0381"/>
    <w:rsid w:val="312A215B"/>
    <w:rsid w:val="317B29B7"/>
    <w:rsid w:val="31F612F4"/>
    <w:rsid w:val="322D3C0E"/>
    <w:rsid w:val="323E3E58"/>
    <w:rsid w:val="32DF371D"/>
    <w:rsid w:val="33415B8B"/>
    <w:rsid w:val="33463E49"/>
    <w:rsid w:val="334C21C0"/>
    <w:rsid w:val="335025CC"/>
    <w:rsid w:val="33550B05"/>
    <w:rsid w:val="335A6E0F"/>
    <w:rsid w:val="33A909BE"/>
    <w:rsid w:val="33D77818"/>
    <w:rsid w:val="33FC5673"/>
    <w:rsid w:val="3413189B"/>
    <w:rsid w:val="3415571C"/>
    <w:rsid w:val="347656B7"/>
    <w:rsid w:val="34796F56"/>
    <w:rsid w:val="348152BA"/>
    <w:rsid w:val="34822CA5"/>
    <w:rsid w:val="34FF745B"/>
    <w:rsid w:val="350031D3"/>
    <w:rsid w:val="350F028D"/>
    <w:rsid w:val="35134CB4"/>
    <w:rsid w:val="352B427A"/>
    <w:rsid w:val="354E6F67"/>
    <w:rsid w:val="355754E9"/>
    <w:rsid w:val="35D2691D"/>
    <w:rsid w:val="35D95344"/>
    <w:rsid w:val="35F4406E"/>
    <w:rsid w:val="365D53C4"/>
    <w:rsid w:val="36B1795C"/>
    <w:rsid w:val="36DC360D"/>
    <w:rsid w:val="371C0798"/>
    <w:rsid w:val="372949E5"/>
    <w:rsid w:val="372B4F68"/>
    <w:rsid w:val="375770DE"/>
    <w:rsid w:val="37643EED"/>
    <w:rsid w:val="379753A2"/>
    <w:rsid w:val="37B962F4"/>
    <w:rsid w:val="37CD1A92"/>
    <w:rsid w:val="381154CE"/>
    <w:rsid w:val="38A94C7C"/>
    <w:rsid w:val="38AA03B7"/>
    <w:rsid w:val="38DB5B42"/>
    <w:rsid w:val="392753FF"/>
    <w:rsid w:val="39584963"/>
    <w:rsid w:val="39914BE8"/>
    <w:rsid w:val="39A502C4"/>
    <w:rsid w:val="39BE7C92"/>
    <w:rsid w:val="39DE7F71"/>
    <w:rsid w:val="3A0D14B2"/>
    <w:rsid w:val="3A313403"/>
    <w:rsid w:val="3A515173"/>
    <w:rsid w:val="3A640269"/>
    <w:rsid w:val="3A683CF4"/>
    <w:rsid w:val="3A78625A"/>
    <w:rsid w:val="3A79380C"/>
    <w:rsid w:val="3B083B97"/>
    <w:rsid w:val="3B0A4329"/>
    <w:rsid w:val="3B15196D"/>
    <w:rsid w:val="3B357349"/>
    <w:rsid w:val="3B363A0C"/>
    <w:rsid w:val="3B404824"/>
    <w:rsid w:val="3B47390A"/>
    <w:rsid w:val="3B475B22"/>
    <w:rsid w:val="3B5129DA"/>
    <w:rsid w:val="3BAC0FC5"/>
    <w:rsid w:val="3BF6222E"/>
    <w:rsid w:val="3C2A2C9F"/>
    <w:rsid w:val="3C3D02F7"/>
    <w:rsid w:val="3C9708C1"/>
    <w:rsid w:val="3C9D1295"/>
    <w:rsid w:val="3CD15B81"/>
    <w:rsid w:val="3CD617F8"/>
    <w:rsid w:val="3CDC4526"/>
    <w:rsid w:val="3D202664"/>
    <w:rsid w:val="3D2B61DF"/>
    <w:rsid w:val="3D823531"/>
    <w:rsid w:val="3D955176"/>
    <w:rsid w:val="3DF82773"/>
    <w:rsid w:val="3E43485C"/>
    <w:rsid w:val="3E5B6A97"/>
    <w:rsid w:val="3E8F1850"/>
    <w:rsid w:val="3E9F580B"/>
    <w:rsid w:val="3EE260BD"/>
    <w:rsid w:val="3F081602"/>
    <w:rsid w:val="3F267389"/>
    <w:rsid w:val="3F286B10"/>
    <w:rsid w:val="3F391681"/>
    <w:rsid w:val="3F5C54AA"/>
    <w:rsid w:val="401550B2"/>
    <w:rsid w:val="402B6C6B"/>
    <w:rsid w:val="403F72A5"/>
    <w:rsid w:val="40675A7B"/>
    <w:rsid w:val="407231D7"/>
    <w:rsid w:val="40776A3F"/>
    <w:rsid w:val="40CA2C90"/>
    <w:rsid w:val="40CE5E5A"/>
    <w:rsid w:val="41175B2C"/>
    <w:rsid w:val="416751FF"/>
    <w:rsid w:val="41807B75"/>
    <w:rsid w:val="41964058"/>
    <w:rsid w:val="423F2484"/>
    <w:rsid w:val="42617A9D"/>
    <w:rsid w:val="42D31245"/>
    <w:rsid w:val="42E12896"/>
    <w:rsid w:val="42F07ADA"/>
    <w:rsid w:val="42FD47C4"/>
    <w:rsid w:val="43100A85"/>
    <w:rsid w:val="43505F47"/>
    <w:rsid w:val="43B5374A"/>
    <w:rsid w:val="43D4642E"/>
    <w:rsid w:val="43EB4717"/>
    <w:rsid w:val="43F94DDF"/>
    <w:rsid w:val="445C6B88"/>
    <w:rsid w:val="445F1CC4"/>
    <w:rsid w:val="44636EA1"/>
    <w:rsid w:val="44A74A51"/>
    <w:rsid w:val="44B87AEE"/>
    <w:rsid w:val="451E56DB"/>
    <w:rsid w:val="45235A92"/>
    <w:rsid w:val="45275C0B"/>
    <w:rsid w:val="45482758"/>
    <w:rsid w:val="454B2248"/>
    <w:rsid w:val="45593E45"/>
    <w:rsid w:val="45BA6077"/>
    <w:rsid w:val="461113D6"/>
    <w:rsid w:val="46252A99"/>
    <w:rsid w:val="46372FBF"/>
    <w:rsid w:val="46B047D5"/>
    <w:rsid w:val="46CE6E39"/>
    <w:rsid w:val="46F9725D"/>
    <w:rsid w:val="47015FB1"/>
    <w:rsid w:val="470D6907"/>
    <w:rsid w:val="47102B6B"/>
    <w:rsid w:val="471C3E9C"/>
    <w:rsid w:val="471E5E67"/>
    <w:rsid w:val="4723347D"/>
    <w:rsid w:val="4734568A"/>
    <w:rsid w:val="473C453F"/>
    <w:rsid w:val="477539A5"/>
    <w:rsid w:val="47775577"/>
    <w:rsid w:val="47F50FC8"/>
    <w:rsid w:val="482C0320"/>
    <w:rsid w:val="486E585F"/>
    <w:rsid w:val="48755F56"/>
    <w:rsid w:val="48903C7A"/>
    <w:rsid w:val="48A63D39"/>
    <w:rsid w:val="4910780A"/>
    <w:rsid w:val="492B09BA"/>
    <w:rsid w:val="49424961"/>
    <w:rsid w:val="49A01473"/>
    <w:rsid w:val="49CB7B6F"/>
    <w:rsid w:val="4A253048"/>
    <w:rsid w:val="4A9C2C0F"/>
    <w:rsid w:val="4A9E2E1A"/>
    <w:rsid w:val="4AA877E2"/>
    <w:rsid w:val="4ABC0D4F"/>
    <w:rsid w:val="4AD101DB"/>
    <w:rsid w:val="4B5D4A84"/>
    <w:rsid w:val="4B9560C4"/>
    <w:rsid w:val="4B9962EE"/>
    <w:rsid w:val="4BA221E4"/>
    <w:rsid w:val="4BAB1C93"/>
    <w:rsid w:val="4BB9775B"/>
    <w:rsid w:val="4BE06EF3"/>
    <w:rsid w:val="4BEB211D"/>
    <w:rsid w:val="4BF620A0"/>
    <w:rsid w:val="4C317A59"/>
    <w:rsid w:val="4C704ACB"/>
    <w:rsid w:val="4C8A2E46"/>
    <w:rsid w:val="4CF02431"/>
    <w:rsid w:val="4D092E5D"/>
    <w:rsid w:val="4D2B317E"/>
    <w:rsid w:val="4D35003E"/>
    <w:rsid w:val="4D673D81"/>
    <w:rsid w:val="4D704F42"/>
    <w:rsid w:val="4E494874"/>
    <w:rsid w:val="4E501253"/>
    <w:rsid w:val="4EDE30D3"/>
    <w:rsid w:val="4F234F69"/>
    <w:rsid w:val="4F2D5F9F"/>
    <w:rsid w:val="4F3247AD"/>
    <w:rsid w:val="4F6C6DA2"/>
    <w:rsid w:val="4F891A5E"/>
    <w:rsid w:val="4F9A1076"/>
    <w:rsid w:val="50196E9C"/>
    <w:rsid w:val="502F4C40"/>
    <w:rsid w:val="50516D79"/>
    <w:rsid w:val="509176A9"/>
    <w:rsid w:val="50F06DF7"/>
    <w:rsid w:val="514207A4"/>
    <w:rsid w:val="51825244"/>
    <w:rsid w:val="519352FC"/>
    <w:rsid w:val="51974320"/>
    <w:rsid w:val="520D3802"/>
    <w:rsid w:val="52634497"/>
    <w:rsid w:val="528943B0"/>
    <w:rsid w:val="52C45A6E"/>
    <w:rsid w:val="52C5188C"/>
    <w:rsid w:val="5305043B"/>
    <w:rsid w:val="536904CA"/>
    <w:rsid w:val="538232D9"/>
    <w:rsid w:val="53B014A6"/>
    <w:rsid w:val="53BB0D36"/>
    <w:rsid w:val="540B6C31"/>
    <w:rsid w:val="54506176"/>
    <w:rsid w:val="546F6232"/>
    <w:rsid w:val="547A77CC"/>
    <w:rsid w:val="547B6BE4"/>
    <w:rsid w:val="547C70BB"/>
    <w:rsid w:val="548D1A29"/>
    <w:rsid w:val="5492579E"/>
    <w:rsid w:val="55036F31"/>
    <w:rsid w:val="55200FFC"/>
    <w:rsid w:val="55996807"/>
    <w:rsid w:val="55AF05D2"/>
    <w:rsid w:val="55FA6EF7"/>
    <w:rsid w:val="560B7371"/>
    <w:rsid w:val="5617739C"/>
    <w:rsid w:val="56757125"/>
    <w:rsid w:val="56757F0A"/>
    <w:rsid w:val="56835CE6"/>
    <w:rsid w:val="56B01378"/>
    <w:rsid w:val="56F74D80"/>
    <w:rsid w:val="56FB5651"/>
    <w:rsid w:val="5714693E"/>
    <w:rsid w:val="57376CB0"/>
    <w:rsid w:val="57527466"/>
    <w:rsid w:val="57872F39"/>
    <w:rsid w:val="57C1324A"/>
    <w:rsid w:val="57F50B12"/>
    <w:rsid w:val="582B66D8"/>
    <w:rsid w:val="584938A6"/>
    <w:rsid w:val="586D39AE"/>
    <w:rsid w:val="58B72D5D"/>
    <w:rsid w:val="58E4388C"/>
    <w:rsid w:val="58FC20E8"/>
    <w:rsid w:val="592A20AB"/>
    <w:rsid w:val="592B011C"/>
    <w:rsid w:val="59362701"/>
    <w:rsid w:val="598470F0"/>
    <w:rsid w:val="59A77EFA"/>
    <w:rsid w:val="5A006DC7"/>
    <w:rsid w:val="5A0F6678"/>
    <w:rsid w:val="5A204B50"/>
    <w:rsid w:val="5A4D64A0"/>
    <w:rsid w:val="5A4F2DA2"/>
    <w:rsid w:val="5A70457C"/>
    <w:rsid w:val="5AB50122"/>
    <w:rsid w:val="5ACE0F79"/>
    <w:rsid w:val="5B391280"/>
    <w:rsid w:val="5B3920FD"/>
    <w:rsid w:val="5B452F29"/>
    <w:rsid w:val="5B4E7E42"/>
    <w:rsid w:val="5B70296D"/>
    <w:rsid w:val="5BCC6AE3"/>
    <w:rsid w:val="5BD44959"/>
    <w:rsid w:val="5C327B4C"/>
    <w:rsid w:val="5C54398A"/>
    <w:rsid w:val="5C580FC2"/>
    <w:rsid w:val="5C922B83"/>
    <w:rsid w:val="5C9626D8"/>
    <w:rsid w:val="5CD94291"/>
    <w:rsid w:val="5CF07506"/>
    <w:rsid w:val="5D0710D9"/>
    <w:rsid w:val="5D0B2B00"/>
    <w:rsid w:val="5D9A106F"/>
    <w:rsid w:val="5DA4070B"/>
    <w:rsid w:val="5DAB0700"/>
    <w:rsid w:val="5DEA39E1"/>
    <w:rsid w:val="5DF272AD"/>
    <w:rsid w:val="5E1629CC"/>
    <w:rsid w:val="5E361890"/>
    <w:rsid w:val="5E3E6996"/>
    <w:rsid w:val="5E655CD1"/>
    <w:rsid w:val="5E8003E5"/>
    <w:rsid w:val="5E8F1076"/>
    <w:rsid w:val="5EB0261F"/>
    <w:rsid w:val="5EC155FD"/>
    <w:rsid w:val="5F09702E"/>
    <w:rsid w:val="5F17346F"/>
    <w:rsid w:val="5F9031D8"/>
    <w:rsid w:val="5F9C2E0A"/>
    <w:rsid w:val="5FFA0E0A"/>
    <w:rsid w:val="6013041E"/>
    <w:rsid w:val="60424F4C"/>
    <w:rsid w:val="60D4674B"/>
    <w:rsid w:val="60E6179D"/>
    <w:rsid w:val="6115578D"/>
    <w:rsid w:val="613C540F"/>
    <w:rsid w:val="61546AC6"/>
    <w:rsid w:val="61707879"/>
    <w:rsid w:val="61733539"/>
    <w:rsid w:val="617A1A94"/>
    <w:rsid w:val="620D46B6"/>
    <w:rsid w:val="62BB05B6"/>
    <w:rsid w:val="62CA0BBD"/>
    <w:rsid w:val="62E0445B"/>
    <w:rsid w:val="63501C21"/>
    <w:rsid w:val="63840031"/>
    <w:rsid w:val="638D6ECA"/>
    <w:rsid w:val="639E5AF0"/>
    <w:rsid w:val="63D0272B"/>
    <w:rsid w:val="63DE27AE"/>
    <w:rsid w:val="63F75C5A"/>
    <w:rsid w:val="642C1FE2"/>
    <w:rsid w:val="64540CC2"/>
    <w:rsid w:val="64713B27"/>
    <w:rsid w:val="64C71494"/>
    <w:rsid w:val="64F0428B"/>
    <w:rsid w:val="650C47DA"/>
    <w:rsid w:val="6592279F"/>
    <w:rsid w:val="65D5198E"/>
    <w:rsid w:val="66053F6D"/>
    <w:rsid w:val="661F0E5C"/>
    <w:rsid w:val="662A04ED"/>
    <w:rsid w:val="663020D6"/>
    <w:rsid w:val="665551EA"/>
    <w:rsid w:val="667016B7"/>
    <w:rsid w:val="668F47CF"/>
    <w:rsid w:val="66AE6D8E"/>
    <w:rsid w:val="66B141AA"/>
    <w:rsid w:val="670173C1"/>
    <w:rsid w:val="674F76D1"/>
    <w:rsid w:val="675342C4"/>
    <w:rsid w:val="67C120E9"/>
    <w:rsid w:val="67C46F43"/>
    <w:rsid w:val="67FC76A6"/>
    <w:rsid w:val="680C42ED"/>
    <w:rsid w:val="684B6975"/>
    <w:rsid w:val="68530388"/>
    <w:rsid w:val="68C94D39"/>
    <w:rsid w:val="69270753"/>
    <w:rsid w:val="6950510B"/>
    <w:rsid w:val="696411DB"/>
    <w:rsid w:val="69B1626F"/>
    <w:rsid w:val="69B44986"/>
    <w:rsid w:val="6A295511"/>
    <w:rsid w:val="6A3C022E"/>
    <w:rsid w:val="6A404B28"/>
    <w:rsid w:val="6A8B3CB8"/>
    <w:rsid w:val="6B0B529F"/>
    <w:rsid w:val="6B292252"/>
    <w:rsid w:val="6B3466C4"/>
    <w:rsid w:val="6B385A64"/>
    <w:rsid w:val="6B553A38"/>
    <w:rsid w:val="6B553DA3"/>
    <w:rsid w:val="6B8A1717"/>
    <w:rsid w:val="6BD8381C"/>
    <w:rsid w:val="6C046B2A"/>
    <w:rsid w:val="6C6677E4"/>
    <w:rsid w:val="6C922387"/>
    <w:rsid w:val="6CC835E5"/>
    <w:rsid w:val="6CDC1B00"/>
    <w:rsid w:val="6CF05300"/>
    <w:rsid w:val="6DAB3230"/>
    <w:rsid w:val="6E2C72E6"/>
    <w:rsid w:val="6E6935BC"/>
    <w:rsid w:val="6E6B10E2"/>
    <w:rsid w:val="6EA23DA3"/>
    <w:rsid w:val="6EB61329"/>
    <w:rsid w:val="6EBE06B8"/>
    <w:rsid w:val="6EC9405A"/>
    <w:rsid w:val="6F7F46AC"/>
    <w:rsid w:val="6FCE1A77"/>
    <w:rsid w:val="704079C6"/>
    <w:rsid w:val="70463D66"/>
    <w:rsid w:val="70514307"/>
    <w:rsid w:val="706C2E07"/>
    <w:rsid w:val="708809BB"/>
    <w:rsid w:val="70E430B9"/>
    <w:rsid w:val="70F23DF2"/>
    <w:rsid w:val="7128150C"/>
    <w:rsid w:val="71325EE7"/>
    <w:rsid w:val="717A2F67"/>
    <w:rsid w:val="71881396"/>
    <w:rsid w:val="71DB0EBA"/>
    <w:rsid w:val="71DC522D"/>
    <w:rsid w:val="724177ED"/>
    <w:rsid w:val="72737501"/>
    <w:rsid w:val="728C5E44"/>
    <w:rsid w:val="729D386A"/>
    <w:rsid w:val="731D1184"/>
    <w:rsid w:val="73230712"/>
    <w:rsid w:val="7342766D"/>
    <w:rsid w:val="737A0ABE"/>
    <w:rsid w:val="73DB4C92"/>
    <w:rsid w:val="7400407A"/>
    <w:rsid w:val="74034088"/>
    <w:rsid w:val="740C6071"/>
    <w:rsid w:val="74687E72"/>
    <w:rsid w:val="74866F5F"/>
    <w:rsid w:val="74A32962"/>
    <w:rsid w:val="74A536E0"/>
    <w:rsid w:val="74B62127"/>
    <w:rsid w:val="74BB4A17"/>
    <w:rsid w:val="74F65366"/>
    <w:rsid w:val="75133E50"/>
    <w:rsid w:val="75B24DA5"/>
    <w:rsid w:val="762322A2"/>
    <w:rsid w:val="76385DB2"/>
    <w:rsid w:val="763C15B6"/>
    <w:rsid w:val="768D03AC"/>
    <w:rsid w:val="769B62DC"/>
    <w:rsid w:val="76B54717"/>
    <w:rsid w:val="76E920F9"/>
    <w:rsid w:val="77222DC0"/>
    <w:rsid w:val="77651F3E"/>
    <w:rsid w:val="77AA3ACB"/>
    <w:rsid w:val="77C27899"/>
    <w:rsid w:val="77C33D3D"/>
    <w:rsid w:val="782D5D85"/>
    <w:rsid w:val="78321DC5"/>
    <w:rsid w:val="784342A3"/>
    <w:rsid w:val="7844752F"/>
    <w:rsid w:val="78465107"/>
    <w:rsid w:val="785B1E04"/>
    <w:rsid w:val="786E2ED7"/>
    <w:rsid w:val="7875693F"/>
    <w:rsid w:val="789012E8"/>
    <w:rsid w:val="78AC288F"/>
    <w:rsid w:val="78AF2636"/>
    <w:rsid w:val="78AF49C8"/>
    <w:rsid w:val="78B94D42"/>
    <w:rsid w:val="79140BC6"/>
    <w:rsid w:val="79243EA0"/>
    <w:rsid w:val="79554B3E"/>
    <w:rsid w:val="798E6DA3"/>
    <w:rsid w:val="79ED4D77"/>
    <w:rsid w:val="7A065B5D"/>
    <w:rsid w:val="7A1E525A"/>
    <w:rsid w:val="7A48123C"/>
    <w:rsid w:val="7A627ABF"/>
    <w:rsid w:val="7A7275CC"/>
    <w:rsid w:val="7AA55BD8"/>
    <w:rsid w:val="7B1A0C8A"/>
    <w:rsid w:val="7B1F6FAE"/>
    <w:rsid w:val="7B381954"/>
    <w:rsid w:val="7B55407F"/>
    <w:rsid w:val="7B697AC3"/>
    <w:rsid w:val="7BD32074"/>
    <w:rsid w:val="7C042B76"/>
    <w:rsid w:val="7C3B6629"/>
    <w:rsid w:val="7C456767"/>
    <w:rsid w:val="7C740448"/>
    <w:rsid w:val="7C8C7DF8"/>
    <w:rsid w:val="7CA42FB1"/>
    <w:rsid w:val="7CA83501"/>
    <w:rsid w:val="7CB40A27"/>
    <w:rsid w:val="7CB77BE8"/>
    <w:rsid w:val="7CC266CD"/>
    <w:rsid w:val="7CD36CD8"/>
    <w:rsid w:val="7CDD1F8D"/>
    <w:rsid w:val="7CFB0C4F"/>
    <w:rsid w:val="7D0B0C1B"/>
    <w:rsid w:val="7D32101D"/>
    <w:rsid w:val="7D342867"/>
    <w:rsid w:val="7D387655"/>
    <w:rsid w:val="7DFF4CDE"/>
    <w:rsid w:val="7E061175"/>
    <w:rsid w:val="7E3E6D83"/>
    <w:rsid w:val="7E484302"/>
    <w:rsid w:val="7E842EDE"/>
    <w:rsid w:val="7E92662D"/>
    <w:rsid w:val="7EC14D4E"/>
    <w:rsid w:val="7F32D9D8"/>
    <w:rsid w:val="7F4F4A2A"/>
    <w:rsid w:val="7F620BAB"/>
    <w:rsid w:val="7F647934"/>
    <w:rsid w:val="7F86333F"/>
    <w:rsid w:val="7FB76BBD"/>
    <w:rsid w:val="7FEC1957"/>
    <w:rsid w:val="7FFD4100"/>
    <w:rsid w:val="F7CE5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直接箭头连接符 3"/>
        <o:r id="V:Rule2" type="connector" idref="#直接箭头连接符 1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0"/>
    <w:pPr>
      <w:autoSpaceDE w:val="0"/>
      <w:autoSpaceDN w:val="0"/>
      <w:jc w:val="center"/>
      <w:outlineLvl w:val="0"/>
    </w:pPr>
    <w:rPr>
      <w:rFonts w:ascii="Arial" w:hAnsi="Arial"/>
      <w:kern w:val="0"/>
      <w:sz w:val="44"/>
      <w:lang w:val="zh-CN"/>
    </w:rPr>
  </w:style>
  <w:style w:type="paragraph" w:styleId="3">
    <w:name w:val="heading 2"/>
    <w:basedOn w:val="1"/>
    <w:next w:val="1"/>
    <w:link w:val="9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9"/>
    <w:pPr>
      <w:keepNext/>
      <w:keepLines/>
      <w:spacing w:before="260" w:after="260" w:line="413" w:lineRule="auto"/>
      <w:outlineLvl w:val="2"/>
    </w:pPr>
    <w:rPr>
      <w:b/>
      <w:sz w:val="32"/>
    </w:rPr>
  </w:style>
  <w:style w:type="paragraph" w:styleId="5">
    <w:name w:val="heading 4"/>
    <w:basedOn w:val="1"/>
    <w:next w:val="1"/>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link w:val="85"/>
    <w:unhideWhenUsed/>
    <w:qFormat/>
    <w:uiPriority w:val="9"/>
    <w:pPr>
      <w:keepNext/>
      <w:keepLines/>
      <w:spacing w:before="280" w:after="290" w:line="376" w:lineRule="auto"/>
      <w:outlineLvl w:val="4"/>
    </w:pPr>
    <w:rPr>
      <w:rFonts w:ascii="Calibri" w:hAnsi="Calibri"/>
      <w:b/>
      <w:bCs/>
      <w:sz w:val="28"/>
      <w:szCs w:val="28"/>
    </w:rPr>
  </w:style>
  <w:style w:type="character" w:default="1" w:styleId="25">
    <w:name w:val="Default Paragraph Font"/>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link w:val="30"/>
    <w:qFormat/>
    <w:uiPriority w:val="35"/>
    <w:rPr>
      <w:rFonts w:ascii="等线 Light" w:hAnsi="等线 Light" w:eastAsia="黑体"/>
      <w:kern w:val="0"/>
      <w:sz w:val="20"/>
    </w:rPr>
  </w:style>
  <w:style w:type="paragraph" w:styleId="8">
    <w:name w:val="annotation text"/>
    <w:basedOn w:val="1"/>
    <w:link w:val="31"/>
    <w:unhideWhenUsed/>
    <w:qFormat/>
    <w:uiPriority w:val="99"/>
    <w:pPr>
      <w:jc w:val="left"/>
    </w:pPr>
  </w:style>
  <w:style w:type="paragraph" w:styleId="9">
    <w:name w:val="Body Text"/>
    <w:basedOn w:val="1"/>
    <w:link w:val="32"/>
    <w:unhideWhenUsed/>
    <w:qFormat/>
    <w:uiPriority w:val="0"/>
    <w:rPr>
      <w:b/>
      <w:kern w:val="0"/>
      <w:sz w:val="44"/>
    </w:rPr>
  </w:style>
  <w:style w:type="paragraph" w:styleId="10">
    <w:name w:val="toc 3"/>
    <w:basedOn w:val="1"/>
    <w:next w:val="1"/>
    <w:unhideWhenUsed/>
    <w:qFormat/>
    <w:uiPriority w:val="39"/>
    <w:pPr>
      <w:ind w:left="840" w:leftChars="400"/>
    </w:pPr>
  </w:style>
  <w:style w:type="paragraph" w:styleId="11">
    <w:name w:val="Date"/>
    <w:basedOn w:val="1"/>
    <w:next w:val="1"/>
    <w:link w:val="33"/>
    <w:unhideWhenUsed/>
    <w:qFormat/>
    <w:uiPriority w:val="99"/>
    <w:pPr>
      <w:ind w:left="100" w:leftChars="2500"/>
    </w:pPr>
    <w:rPr>
      <w:kern w:val="0"/>
      <w:sz w:val="20"/>
    </w:rPr>
  </w:style>
  <w:style w:type="paragraph" w:styleId="12">
    <w:name w:val="Balloon Text"/>
    <w:basedOn w:val="1"/>
    <w:link w:val="34"/>
    <w:unhideWhenUsed/>
    <w:qFormat/>
    <w:uiPriority w:val="99"/>
    <w:rPr>
      <w:kern w:val="0"/>
      <w:sz w:val="18"/>
      <w:szCs w:val="18"/>
    </w:rPr>
  </w:style>
  <w:style w:type="paragraph" w:styleId="13">
    <w:name w:val="footer"/>
    <w:basedOn w:val="1"/>
    <w:link w:val="35"/>
    <w:unhideWhenUsed/>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36"/>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style>
  <w:style w:type="paragraph" w:styleId="16">
    <w:name w:val="toc 4"/>
    <w:basedOn w:val="1"/>
    <w:next w:val="1"/>
    <w:unhideWhenUsed/>
    <w:qFormat/>
    <w:uiPriority w:val="39"/>
    <w:pPr>
      <w:ind w:left="1260" w:leftChars="600"/>
    </w:pPr>
  </w:style>
  <w:style w:type="paragraph" w:styleId="17">
    <w:name w:val="footnote text"/>
    <w:basedOn w:val="1"/>
    <w:link w:val="94"/>
    <w:semiHidden/>
    <w:unhideWhenUsed/>
    <w:qFormat/>
    <w:uiPriority w:val="99"/>
    <w:pPr>
      <w:snapToGrid w:val="0"/>
      <w:jc w:val="left"/>
    </w:pPr>
    <w:rPr>
      <w:sz w:val="18"/>
      <w:szCs w:val="18"/>
    </w:rPr>
  </w:style>
  <w:style w:type="paragraph" w:styleId="18">
    <w:name w:val="table of figures"/>
    <w:basedOn w:val="1"/>
    <w:next w:val="1"/>
    <w:unhideWhenUsed/>
    <w:qFormat/>
    <w:uiPriority w:val="99"/>
    <w:pPr>
      <w:ind w:left="200" w:leftChars="200" w:hanging="200" w:hangingChars="200"/>
    </w:pPr>
  </w:style>
  <w:style w:type="paragraph" w:styleId="19">
    <w:name w:val="toc 2"/>
    <w:basedOn w:val="1"/>
    <w:next w:val="1"/>
    <w:unhideWhenUsed/>
    <w:qFormat/>
    <w:uiPriority w:val="39"/>
    <w:pPr>
      <w:ind w:left="420" w:leftChars="200"/>
    </w:pPr>
  </w:style>
  <w:style w:type="paragraph" w:styleId="20">
    <w:name w:val="Normal (Web)"/>
    <w:basedOn w:val="1"/>
    <w:semiHidden/>
    <w:unhideWhenUsed/>
    <w:qFormat/>
    <w:uiPriority w:val="99"/>
    <w:rPr>
      <w:sz w:val="24"/>
      <w:szCs w:val="24"/>
    </w:rPr>
  </w:style>
  <w:style w:type="paragraph" w:styleId="21">
    <w:name w:val="List Continue 3"/>
    <w:basedOn w:val="1"/>
    <w:unhideWhenUsed/>
    <w:qFormat/>
    <w:uiPriority w:val="99"/>
    <w:pPr>
      <w:widowControl/>
      <w:spacing w:after="120" w:line="276" w:lineRule="auto"/>
      <w:ind w:left="1080"/>
      <w:contextualSpacing/>
      <w:jc w:val="left"/>
    </w:pPr>
    <w:rPr>
      <w:rFonts w:cstheme="minorBidi"/>
      <w:kern w:val="0"/>
      <w:szCs w:val="22"/>
      <w:lang w:eastAsia="en-US"/>
    </w:rPr>
  </w:style>
  <w:style w:type="paragraph" w:styleId="22">
    <w:name w:val="annotation subject"/>
    <w:basedOn w:val="8"/>
    <w:next w:val="8"/>
    <w:link w:val="37"/>
    <w:unhideWhenUsed/>
    <w:qFormat/>
    <w:uiPriority w:val="99"/>
    <w:rPr>
      <w:b/>
      <w:bCs/>
    </w:rPr>
  </w:style>
  <w:style w:type="table" w:styleId="24">
    <w:name w:val="Table Grid"/>
    <w:basedOn w:val="23"/>
    <w:qFormat/>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unhideWhenUsed/>
    <w:qFormat/>
    <w:uiPriority w:val="99"/>
    <w:rPr>
      <w:color w:val="0000FF"/>
      <w:u w:val="single"/>
    </w:rPr>
  </w:style>
  <w:style w:type="character" w:styleId="27">
    <w:name w:val="annotation reference"/>
    <w:unhideWhenUsed/>
    <w:qFormat/>
    <w:uiPriority w:val="99"/>
    <w:rPr>
      <w:sz w:val="21"/>
      <w:szCs w:val="21"/>
    </w:rPr>
  </w:style>
  <w:style w:type="character" w:styleId="28">
    <w:name w:val="footnote reference"/>
    <w:basedOn w:val="25"/>
    <w:semiHidden/>
    <w:unhideWhenUsed/>
    <w:qFormat/>
    <w:uiPriority w:val="99"/>
    <w:rPr>
      <w:vertAlign w:val="superscript"/>
    </w:rPr>
  </w:style>
  <w:style w:type="character" w:customStyle="1" w:styleId="29">
    <w:name w:val="标题 1 字符"/>
    <w:link w:val="2"/>
    <w:qFormat/>
    <w:uiPriority w:val="0"/>
    <w:rPr>
      <w:rFonts w:ascii="Arial" w:hAnsi="Arial" w:eastAsia="宋体" w:cs="Times New Roman"/>
      <w:sz w:val="44"/>
      <w:szCs w:val="20"/>
      <w:lang w:val="zh-CN"/>
    </w:rPr>
  </w:style>
  <w:style w:type="character" w:customStyle="1" w:styleId="30">
    <w:name w:val="题注 字符"/>
    <w:link w:val="7"/>
    <w:qFormat/>
    <w:uiPriority w:val="35"/>
    <w:rPr>
      <w:rFonts w:ascii="等线 Light" w:hAnsi="等线 Light" w:eastAsia="黑体" w:cs="Times New Roman"/>
      <w:sz w:val="20"/>
    </w:rPr>
  </w:style>
  <w:style w:type="character" w:customStyle="1" w:styleId="31">
    <w:name w:val="批注文字 字符"/>
    <w:link w:val="8"/>
    <w:semiHidden/>
    <w:qFormat/>
    <w:uiPriority w:val="99"/>
    <w:rPr>
      <w:rFonts w:ascii="Times New Roman" w:hAnsi="Times New Roman"/>
      <w:kern w:val="2"/>
      <w:sz w:val="21"/>
    </w:rPr>
  </w:style>
  <w:style w:type="character" w:customStyle="1" w:styleId="32">
    <w:name w:val="正文文本 字符"/>
    <w:link w:val="9"/>
    <w:semiHidden/>
    <w:qFormat/>
    <w:uiPriority w:val="0"/>
    <w:rPr>
      <w:rFonts w:ascii="Times New Roman" w:hAnsi="Times New Roman" w:eastAsia="宋体" w:cs="Times New Roman"/>
      <w:b/>
      <w:sz w:val="44"/>
      <w:szCs w:val="20"/>
    </w:rPr>
  </w:style>
  <w:style w:type="character" w:customStyle="1" w:styleId="33">
    <w:name w:val="日期 字符"/>
    <w:link w:val="11"/>
    <w:semiHidden/>
    <w:qFormat/>
    <w:uiPriority w:val="99"/>
    <w:rPr>
      <w:rFonts w:ascii="Times New Roman" w:hAnsi="Times New Roman" w:eastAsia="宋体" w:cs="Times New Roman"/>
      <w:szCs w:val="20"/>
    </w:rPr>
  </w:style>
  <w:style w:type="character" w:customStyle="1" w:styleId="34">
    <w:name w:val="批注框文本 字符"/>
    <w:link w:val="12"/>
    <w:semiHidden/>
    <w:qFormat/>
    <w:uiPriority w:val="99"/>
    <w:rPr>
      <w:rFonts w:ascii="Times New Roman" w:hAnsi="Times New Roman" w:eastAsia="宋体" w:cs="Times New Roman"/>
      <w:sz w:val="18"/>
      <w:szCs w:val="18"/>
    </w:rPr>
  </w:style>
  <w:style w:type="character" w:customStyle="1" w:styleId="35">
    <w:name w:val="页脚 字符"/>
    <w:link w:val="13"/>
    <w:qFormat/>
    <w:uiPriority w:val="99"/>
    <w:rPr>
      <w:sz w:val="18"/>
      <w:szCs w:val="18"/>
    </w:rPr>
  </w:style>
  <w:style w:type="character" w:customStyle="1" w:styleId="36">
    <w:name w:val="页眉 字符"/>
    <w:link w:val="14"/>
    <w:qFormat/>
    <w:uiPriority w:val="99"/>
    <w:rPr>
      <w:sz w:val="18"/>
      <w:szCs w:val="18"/>
    </w:rPr>
  </w:style>
  <w:style w:type="character" w:customStyle="1" w:styleId="37">
    <w:name w:val="批注主题 字符"/>
    <w:link w:val="22"/>
    <w:semiHidden/>
    <w:qFormat/>
    <w:uiPriority w:val="99"/>
    <w:rPr>
      <w:rFonts w:ascii="Times New Roman" w:hAnsi="Times New Roman"/>
      <w:b/>
      <w:bCs/>
      <w:kern w:val="2"/>
      <w:sz w:val="21"/>
    </w:rPr>
  </w:style>
  <w:style w:type="character" w:customStyle="1" w:styleId="38">
    <w:name w:val="发布"/>
    <w:qFormat/>
    <w:uiPriority w:val="0"/>
    <w:rPr>
      <w:rFonts w:ascii="黑体" w:eastAsia="黑体"/>
      <w:spacing w:val="85"/>
      <w:w w:val="100"/>
      <w:position w:val="3"/>
      <w:sz w:val="28"/>
      <w:szCs w:val="28"/>
    </w:rPr>
  </w:style>
  <w:style w:type="character" w:customStyle="1" w:styleId="39">
    <w:name w:val="二级条标题 Char Char"/>
    <w:link w:val="40"/>
    <w:qFormat/>
    <w:uiPriority w:val="0"/>
  </w:style>
  <w:style w:type="paragraph" w:customStyle="1" w:styleId="40">
    <w:name w:val="二级条标题"/>
    <w:basedOn w:val="41"/>
    <w:next w:val="42"/>
    <w:link w:val="39"/>
    <w:qFormat/>
    <w:uiPriority w:val="0"/>
    <w:pPr>
      <w:spacing w:before="50" w:after="50"/>
      <w:outlineLvl w:val="3"/>
    </w:pPr>
  </w:style>
  <w:style w:type="paragraph" w:customStyle="1" w:styleId="41">
    <w:name w:val="一级条标题"/>
    <w:next w:val="42"/>
    <w:link w:val="43"/>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42">
    <w:name w:val="段"/>
    <w:link w:val="4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character" w:customStyle="1" w:styleId="43">
    <w:name w:val="一级条标题 Char Char"/>
    <w:link w:val="41"/>
    <w:qFormat/>
    <w:uiPriority w:val="0"/>
    <w:rPr>
      <w:rFonts w:ascii="黑体" w:hAnsi="Times New Roman" w:eastAsia="黑体"/>
      <w:sz w:val="21"/>
      <w:szCs w:val="21"/>
      <w:lang w:bidi="ar-SA"/>
    </w:rPr>
  </w:style>
  <w:style w:type="character" w:customStyle="1" w:styleId="44">
    <w:name w:val="段 Char"/>
    <w:link w:val="42"/>
    <w:qFormat/>
    <w:uiPriority w:val="0"/>
    <w:rPr>
      <w:rFonts w:ascii="宋体" w:hAnsi="Times New Roman"/>
      <w:sz w:val="21"/>
      <w:szCs w:val="22"/>
      <w:lang w:bidi="ar-SA"/>
    </w:rPr>
  </w:style>
  <w:style w:type="paragraph" w:customStyle="1" w:styleId="45">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4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47">
    <w:name w:val="其他发布部门"/>
    <w:basedOn w:val="48"/>
    <w:qFormat/>
    <w:uiPriority w:val="0"/>
    <w:pPr>
      <w:framePr w:wrap="around" w:y="15310"/>
      <w:spacing w:line="0" w:lineRule="atLeast"/>
    </w:pPr>
    <w:rPr>
      <w:rFonts w:ascii="黑体" w:eastAsia="黑体"/>
      <w:b w:val="0"/>
    </w:rPr>
  </w:style>
  <w:style w:type="paragraph" w:customStyle="1" w:styleId="48">
    <w:name w:val="发布部门"/>
    <w:next w:val="42"/>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szCs w:val="22"/>
      <w:lang w:val="en-US" w:eastAsia="zh-CN" w:bidi="ar-SA"/>
    </w:rPr>
  </w:style>
  <w:style w:type="paragraph" w:customStyle="1" w:styleId="49">
    <w:name w:val="实施日期"/>
    <w:basedOn w:val="50"/>
    <w:qFormat/>
    <w:uiPriority w:val="0"/>
    <w:pPr>
      <w:framePr w:wrap="around" w:vAnchor="page" w:hAnchor="text"/>
      <w:jc w:val="right"/>
    </w:pPr>
  </w:style>
  <w:style w:type="paragraph" w:customStyle="1" w:styleId="50">
    <w:name w:val="发布日期"/>
    <w:qFormat/>
    <w:uiPriority w:val="0"/>
    <w:pPr>
      <w:framePr w:w="3997" w:h="471" w:hRule="exact" w:vSpace="181" w:wrap="around" w:vAnchor="margin" w:hAnchor="page" w:x="7089" w:y="14097" w:anchorLock="1"/>
    </w:pPr>
    <w:rPr>
      <w:rFonts w:ascii="Times New Roman" w:hAnsi="Times New Roman" w:eastAsia="黑体" w:cs="Times New Roman"/>
      <w:sz w:val="28"/>
      <w:szCs w:val="22"/>
      <w:lang w:val="en-US" w:eastAsia="zh-CN" w:bidi="ar-SA"/>
    </w:rPr>
  </w:style>
  <w:style w:type="paragraph" w:customStyle="1" w:styleId="51">
    <w:name w:val="目次、标准名称标题"/>
    <w:basedOn w:val="1"/>
    <w:next w:val="42"/>
    <w:qFormat/>
    <w:uiPriority w:val="0"/>
    <w:pPr>
      <w:keepNext/>
      <w:pageBreakBefore/>
      <w:widowControl/>
      <w:shd w:val="clear" w:color="FFFFFF" w:fill="FFFFFF"/>
      <w:spacing w:before="640" w:after="560" w:line="460" w:lineRule="exact"/>
      <w:jc w:val="center"/>
      <w:outlineLvl w:val="0"/>
    </w:pPr>
    <w:rPr>
      <w:rFonts w:ascii="黑体" w:eastAsia="黑体"/>
      <w:kern w:val="0"/>
      <w:sz w:val="32"/>
    </w:rPr>
  </w:style>
  <w:style w:type="paragraph" w:customStyle="1" w:styleId="52">
    <w:name w:val="前言、引言标题"/>
    <w:next w:val="42"/>
    <w:qFormat/>
    <w:uiPriority w:val="0"/>
    <w:pPr>
      <w:keepNext/>
      <w:pageBreakBefore/>
      <w:shd w:val="clear" w:color="FFFFFF" w:fill="FFFFFF"/>
      <w:spacing w:before="640" w:after="560"/>
      <w:jc w:val="center"/>
      <w:outlineLvl w:val="0"/>
    </w:pPr>
    <w:rPr>
      <w:rFonts w:ascii="黑体" w:hAnsi="Times New Roman" w:eastAsia="黑体" w:cs="Times New Roman"/>
      <w:sz w:val="32"/>
      <w:szCs w:val="22"/>
      <w:lang w:val="en-US" w:eastAsia="zh-CN" w:bidi="ar-SA"/>
    </w:rPr>
  </w:style>
  <w:style w:type="paragraph" w:customStyle="1" w:styleId="53">
    <w:name w:val="封面标准文稿编辑信息"/>
    <w:basedOn w:val="54"/>
    <w:qFormat/>
    <w:uiPriority w:val="0"/>
    <w:pPr>
      <w:framePr w:wrap="around"/>
      <w:spacing w:before="180" w:line="180" w:lineRule="exact"/>
    </w:pPr>
    <w:rPr>
      <w:sz w:val="21"/>
    </w:rPr>
  </w:style>
  <w:style w:type="paragraph" w:customStyle="1" w:styleId="54">
    <w:name w:val="封面标准文稿类别"/>
    <w:basedOn w:val="55"/>
    <w:qFormat/>
    <w:uiPriority w:val="0"/>
    <w:pPr>
      <w:framePr w:wrap="around"/>
      <w:spacing w:after="160" w:line="240" w:lineRule="auto"/>
    </w:pPr>
    <w:rPr>
      <w:sz w:val="24"/>
    </w:rPr>
  </w:style>
  <w:style w:type="paragraph" w:customStyle="1" w:styleId="55">
    <w:name w:val="封面一致性程度标识"/>
    <w:basedOn w:val="56"/>
    <w:qFormat/>
    <w:uiPriority w:val="0"/>
    <w:pPr>
      <w:framePr w:wrap="around"/>
      <w:spacing w:before="440"/>
    </w:pPr>
    <w:rPr>
      <w:rFonts w:ascii="宋体" w:eastAsia="宋体"/>
    </w:rPr>
  </w:style>
  <w:style w:type="paragraph" w:customStyle="1" w:styleId="56">
    <w:name w:val="封面标准英文名称"/>
    <w:basedOn w:val="57"/>
    <w:qFormat/>
    <w:uiPriority w:val="0"/>
    <w:pPr>
      <w:framePr w:wrap="around"/>
      <w:spacing w:before="370" w:line="400" w:lineRule="exact"/>
    </w:pPr>
    <w:rPr>
      <w:rFonts w:ascii="Times New Roman"/>
      <w:sz w:val="28"/>
      <w:szCs w:val="28"/>
    </w:rPr>
  </w:style>
  <w:style w:type="paragraph" w:customStyle="1" w:styleId="57">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szCs w:val="22"/>
      <w:lang w:val="en-US" w:eastAsia="zh-CN" w:bidi="ar-SA"/>
    </w:rPr>
  </w:style>
  <w:style w:type="paragraph" w:customStyle="1" w:styleId="58">
    <w:name w:val="其他发布日期"/>
    <w:basedOn w:val="50"/>
    <w:qFormat/>
    <w:uiPriority w:val="0"/>
    <w:pPr>
      <w:framePr w:wrap="around" w:vAnchor="page" w:hAnchor="text" w:x="1419"/>
    </w:pPr>
  </w:style>
  <w:style w:type="paragraph" w:customStyle="1" w:styleId="5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60">
    <w:name w:val="列表段落1"/>
    <w:basedOn w:val="1"/>
    <w:qFormat/>
    <w:uiPriority w:val="34"/>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61">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62">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3">
    <w:name w:val="章标题"/>
    <w:next w:val="42"/>
    <w:qFormat/>
    <w:uiPriority w:val="0"/>
    <w:pPr>
      <w:spacing w:beforeLines="100" w:afterLines="100"/>
      <w:jc w:val="both"/>
      <w:outlineLvl w:val="1"/>
    </w:pPr>
    <w:rPr>
      <w:rFonts w:ascii="黑体" w:hAnsi="Times New Roman" w:eastAsia="黑体" w:cs="Times New Roman"/>
      <w:sz w:val="21"/>
      <w:szCs w:val="22"/>
      <w:lang w:val="en-US" w:eastAsia="zh-CN" w:bidi="ar-SA"/>
    </w:rPr>
  </w:style>
  <w:style w:type="paragraph" w:customStyle="1" w:styleId="64">
    <w:name w:val="标准文件_正文表标题"/>
    <w:next w:val="65"/>
    <w:qFormat/>
    <w:uiPriority w:val="0"/>
    <w:pPr>
      <w:tabs>
        <w:tab w:val="left" w:pos="0"/>
      </w:tabs>
      <w:spacing w:beforeLines="50" w:afterLines="50"/>
      <w:jc w:val="center"/>
    </w:pPr>
    <w:rPr>
      <w:rFonts w:ascii="黑体" w:hAnsi="Calibri" w:eastAsia="黑体" w:cs="Times New Roman"/>
      <w:sz w:val="21"/>
      <w:szCs w:val="22"/>
      <w:lang w:val="en-US" w:eastAsia="zh-CN" w:bidi="ar-SA"/>
    </w:rPr>
  </w:style>
  <w:style w:type="paragraph" w:customStyle="1" w:styleId="65">
    <w:name w:val="标准文件_段"/>
    <w:link w:val="92"/>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customStyle="1" w:styleId="66">
    <w:name w:val="标准文件_二级条标题"/>
    <w:next w:val="65"/>
    <w:qFormat/>
    <w:uiPriority w:val="0"/>
    <w:pPr>
      <w:widowControl w:val="0"/>
      <w:numPr>
        <w:ilvl w:val="3"/>
        <w:numId w:val="1"/>
      </w:numPr>
      <w:spacing w:beforeLines="50" w:afterLines="50"/>
      <w:jc w:val="both"/>
      <w:outlineLvl w:val="2"/>
    </w:pPr>
    <w:rPr>
      <w:rFonts w:ascii="黑体" w:hAnsi="Calibri" w:eastAsia="黑体" w:cs="Times New Roman"/>
      <w:sz w:val="21"/>
      <w:szCs w:val="22"/>
      <w:lang w:val="en-US" w:eastAsia="zh-CN" w:bidi="ar-SA"/>
    </w:rPr>
  </w:style>
  <w:style w:type="paragraph" w:customStyle="1" w:styleId="67">
    <w:name w:val="标准文件_注："/>
    <w:next w:val="65"/>
    <w:qFormat/>
    <w:uiPriority w:val="0"/>
    <w:pPr>
      <w:widowControl w:val="0"/>
      <w:autoSpaceDE w:val="0"/>
      <w:autoSpaceDN w:val="0"/>
      <w:ind w:left="737" w:hanging="374"/>
      <w:jc w:val="both"/>
    </w:pPr>
    <w:rPr>
      <w:rFonts w:ascii="宋体" w:hAnsi="Calibri" w:eastAsia="宋体" w:cs="Times New Roman"/>
      <w:sz w:val="18"/>
      <w:szCs w:val="18"/>
      <w:lang w:val="en-US" w:eastAsia="zh-CN" w:bidi="ar-SA"/>
    </w:rPr>
  </w:style>
  <w:style w:type="paragraph" w:customStyle="1" w:styleId="68">
    <w:name w:val="标准文件_四级无标题"/>
    <w:basedOn w:val="69"/>
    <w:qFormat/>
    <w:uiPriority w:val="0"/>
    <w:pPr>
      <w:numPr>
        <w:numId w:val="2"/>
      </w:numPr>
      <w:tabs>
        <w:tab w:val="left" w:pos="4484"/>
      </w:tabs>
      <w:outlineLvl w:val="9"/>
    </w:pPr>
    <w:rPr>
      <w:rFonts w:ascii="宋体" w:hAnsi="黑体"/>
      <w:szCs w:val="52"/>
    </w:rPr>
  </w:style>
  <w:style w:type="paragraph" w:customStyle="1" w:styleId="69">
    <w:name w:val="标准文件_四级条标题"/>
    <w:next w:val="2"/>
    <w:qFormat/>
    <w:uiPriority w:val="0"/>
    <w:pPr>
      <w:numPr>
        <w:ilvl w:val="5"/>
        <w:numId w:val="1"/>
      </w:numPr>
      <w:outlineLvl w:val="4"/>
    </w:pPr>
    <w:rPr>
      <w:rFonts w:ascii="黑体" w:hAnsi="Calibri" w:eastAsia="宋体" w:cs="Times New Roman"/>
      <w:sz w:val="21"/>
      <w:szCs w:val="22"/>
      <w:lang w:val="en-US" w:eastAsia="zh-CN" w:bidi="ar-SA"/>
    </w:rPr>
  </w:style>
  <w:style w:type="paragraph" w:customStyle="1" w:styleId="70">
    <w:name w:val="标准文件_三级条标题"/>
    <w:basedOn w:val="66"/>
    <w:next w:val="65"/>
    <w:qFormat/>
    <w:uiPriority w:val="0"/>
    <w:pPr>
      <w:widowControl/>
      <w:numPr>
        <w:ilvl w:val="4"/>
      </w:numPr>
      <w:spacing w:beforeLines="0" w:afterLines="0"/>
      <w:outlineLvl w:val="3"/>
    </w:pPr>
  </w:style>
  <w:style w:type="paragraph" w:customStyle="1" w:styleId="71">
    <w:name w:val="示例×："/>
    <w:basedOn w:val="63"/>
    <w:qFormat/>
    <w:uiPriority w:val="0"/>
    <w:pPr>
      <w:numPr>
        <w:ilvl w:val="0"/>
        <w:numId w:val="3"/>
      </w:numPr>
      <w:spacing w:beforeLines="0" w:afterLines="0"/>
      <w:outlineLvl w:val="9"/>
    </w:pPr>
    <w:rPr>
      <w:rFonts w:ascii="宋体" w:eastAsia="宋体"/>
      <w:sz w:val="18"/>
      <w:szCs w:val="18"/>
    </w:rPr>
  </w:style>
  <w:style w:type="paragraph" w:customStyle="1" w:styleId="72">
    <w:name w:val="标准文件_正文标准名称"/>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73">
    <w:name w:val="标准文件_章标题"/>
    <w:next w:val="65"/>
    <w:qFormat/>
    <w:uiPriority w:val="0"/>
    <w:pPr>
      <w:spacing w:beforeLines="100" w:afterLines="100"/>
      <w:jc w:val="both"/>
      <w:outlineLvl w:val="0"/>
    </w:pPr>
    <w:rPr>
      <w:rFonts w:ascii="黑体" w:hAnsi="Calibri" w:eastAsia="黑体" w:cs="Times New Roman"/>
      <w:sz w:val="21"/>
      <w:szCs w:val="22"/>
      <w:lang w:val="en-US" w:eastAsia="zh-CN" w:bidi="ar-SA"/>
    </w:rPr>
  </w:style>
  <w:style w:type="paragraph" w:customStyle="1" w:styleId="74">
    <w:name w:val="标准文件_示例："/>
    <w:next w:val="1"/>
    <w:qFormat/>
    <w:uiPriority w:val="0"/>
    <w:pPr>
      <w:widowControl w:val="0"/>
      <w:ind w:firstLine="363"/>
      <w:jc w:val="both"/>
    </w:pPr>
    <w:rPr>
      <w:rFonts w:ascii="宋体" w:hAnsi="Calibri" w:eastAsia="宋体" w:cs="Times New Roman"/>
      <w:sz w:val="18"/>
      <w:szCs w:val="18"/>
      <w:lang w:val="en-US" w:eastAsia="zh-CN" w:bidi="ar-SA"/>
    </w:rPr>
  </w:style>
  <w:style w:type="paragraph" w:customStyle="1" w:styleId="75">
    <w:name w:val="标准文件_一级条标题"/>
    <w:basedOn w:val="73"/>
    <w:next w:val="65"/>
    <w:qFormat/>
    <w:uiPriority w:val="0"/>
    <w:pPr>
      <w:numPr>
        <w:ilvl w:val="2"/>
        <w:numId w:val="1"/>
      </w:numPr>
      <w:spacing w:beforeLines="50" w:afterLines="50"/>
      <w:outlineLvl w:val="1"/>
    </w:pPr>
  </w:style>
  <w:style w:type="paragraph" w:customStyle="1" w:styleId="76">
    <w:name w:val="标准文件_二级无标题"/>
    <w:basedOn w:val="66"/>
    <w:qFormat/>
    <w:uiPriority w:val="0"/>
    <w:pPr>
      <w:numPr>
        <w:numId w:val="2"/>
      </w:numPr>
      <w:tabs>
        <w:tab w:val="left" w:pos="2914"/>
      </w:tabs>
      <w:spacing w:beforeLines="0" w:afterLines="0"/>
      <w:ind w:left="0"/>
      <w:outlineLvl w:val="9"/>
    </w:pPr>
    <w:rPr>
      <w:rFonts w:ascii="宋体" w:eastAsia="宋体"/>
    </w:rPr>
  </w:style>
  <w:style w:type="paragraph" w:customStyle="1" w:styleId="77">
    <w:name w:val="标准文件_字母编号列项（一级）"/>
    <w:qFormat/>
    <w:uiPriority w:val="0"/>
    <w:pPr>
      <w:tabs>
        <w:tab w:val="left" w:pos="851"/>
      </w:tabs>
      <w:ind w:left="851" w:hanging="426"/>
      <w:jc w:val="both"/>
    </w:pPr>
    <w:rPr>
      <w:rFonts w:ascii="宋体" w:hAnsi="Calibri" w:eastAsia="宋体" w:cs="Times New Roman"/>
      <w:sz w:val="21"/>
      <w:szCs w:val="22"/>
      <w:lang w:val="en-US" w:eastAsia="zh-CN" w:bidi="ar-SA"/>
    </w:rPr>
  </w:style>
  <w:style w:type="character" w:customStyle="1" w:styleId="78">
    <w:name w:val="页脚 Char"/>
    <w:qFormat/>
    <w:uiPriority w:val="99"/>
    <w:rPr>
      <w:lang w:eastAsia="zh-CN"/>
    </w:rPr>
  </w:style>
  <w:style w:type="character" w:customStyle="1" w:styleId="79">
    <w:name w:val="页眉 Char"/>
    <w:qFormat/>
    <w:uiPriority w:val="99"/>
    <w:rPr>
      <w:lang w:eastAsia="zh-CN"/>
    </w:rPr>
  </w:style>
  <w:style w:type="paragraph" w:styleId="80">
    <w:name w:val="List Paragraph"/>
    <w:basedOn w:val="1"/>
    <w:qFormat/>
    <w:uiPriority w:val="34"/>
    <w:pPr>
      <w:ind w:firstLine="420" w:firstLineChars="200"/>
    </w:pPr>
    <w:rPr>
      <w:rFonts w:ascii="Calibri" w:hAnsi="Calibri"/>
      <w:szCs w:val="22"/>
    </w:rPr>
  </w:style>
  <w:style w:type="table" w:customStyle="1" w:styleId="81">
    <w:name w:val="网格型1"/>
    <w:basedOn w:val="23"/>
    <w:qFormat/>
    <w:uiPriority w:val="9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2">
    <w:name w:val="二级无"/>
    <w:basedOn w:val="40"/>
    <w:qFormat/>
    <w:uiPriority w:val="0"/>
    <w:pPr>
      <w:spacing w:beforeLines="0" w:afterLines="0"/>
    </w:pPr>
    <w:rPr>
      <w:rFonts w:ascii="宋体" w:eastAsia="宋体"/>
    </w:rPr>
  </w:style>
  <w:style w:type="paragraph" w:customStyle="1" w:styleId="83">
    <w:name w:val="修订1"/>
    <w:unhideWhenUsed/>
    <w:qFormat/>
    <w:uiPriority w:val="99"/>
    <w:rPr>
      <w:rFonts w:ascii="Times New Roman" w:hAnsi="Times New Roman" w:eastAsia="宋体" w:cs="Times New Roman"/>
      <w:kern w:val="2"/>
      <w:sz w:val="21"/>
      <w:lang w:val="en-US" w:eastAsia="zh-CN" w:bidi="ar-SA"/>
    </w:rPr>
  </w:style>
  <w:style w:type="table" w:customStyle="1" w:styleId="84">
    <w:name w:val="清单表 6 彩色1"/>
    <w:basedOn w:val="23"/>
    <w:qFormat/>
    <w:uiPriority w:val="51"/>
    <w:rPr>
      <w:color w:val="000000"/>
    </w:rPr>
    <w:tblPr>
      <w:tblBorders>
        <w:top w:val="single" w:color="000000" w:sz="4" w:space="0"/>
        <w:bottom w:val="single" w:color="000000" w:sz="4" w:space="0"/>
      </w:tblBorders>
    </w:tblPr>
    <w:tblStylePr w:type="firstRow">
      <w:rPr>
        <w:b/>
        <w:bCs/>
      </w:rPr>
      <w:tcPr>
        <w:tcBorders>
          <w:bottom w:val="single" w:color="000000" w:sz="4" w:space="0"/>
        </w:tcBorders>
      </w:tcPr>
    </w:tblStylePr>
    <w:tblStylePr w:type="lastRow">
      <w:rPr>
        <w:b/>
        <w:bCs/>
      </w:rPr>
      <w:tcPr>
        <w:tcBorders>
          <w:top w:val="double" w:color="000000" w:sz="4" w:space="0"/>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character" w:customStyle="1" w:styleId="85">
    <w:name w:val="标题 5 字符"/>
    <w:basedOn w:val="25"/>
    <w:link w:val="6"/>
    <w:qFormat/>
    <w:uiPriority w:val="9"/>
    <w:rPr>
      <w:b/>
      <w:bCs/>
      <w:kern w:val="2"/>
      <w:sz w:val="28"/>
      <w:szCs w:val="28"/>
    </w:rPr>
  </w:style>
  <w:style w:type="paragraph" w:customStyle="1" w:styleId="86">
    <w:name w:val="标题2-pei"/>
    <w:basedOn w:val="1"/>
    <w:qFormat/>
    <w:uiPriority w:val="0"/>
    <w:pPr>
      <w:tabs>
        <w:tab w:val="left" w:pos="0"/>
        <w:tab w:val="left" w:pos="420"/>
      </w:tabs>
      <w:ind w:left="567" w:hanging="567"/>
      <w:outlineLvl w:val="1"/>
    </w:pPr>
    <w:rPr>
      <w:rFonts w:hint="eastAsia" w:ascii="宋体" w:hAnsi="宋体" w:cs="宋体"/>
      <w:b/>
      <w:bCs/>
      <w:sz w:val="30"/>
      <w:szCs w:val="30"/>
    </w:rPr>
  </w:style>
  <w:style w:type="paragraph" w:customStyle="1" w:styleId="87">
    <w:name w:val="标题3-pei"/>
    <w:basedOn w:val="1"/>
    <w:qFormat/>
    <w:uiPriority w:val="0"/>
    <w:pPr>
      <w:tabs>
        <w:tab w:val="left" w:pos="0"/>
        <w:tab w:val="left" w:pos="420"/>
      </w:tabs>
      <w:spacing w:line="360" w:lineRule="auto"/>
      <w:ind w:left="709" w:hanging="709"/>
      <w:outlineLvl w:val="2"/>
    </w:pPr>
    <w:rPr>
      <w:rFonts w:hint="eastAsia" w:ascii="宋体" w:hAnsi="宋体" w:cs="宋体"/>
      <w:b/>
      <w:bCs/>
      <w:sz w:val="28"/>
      <w:szCs w:val="28"/>
    </w:rPr>
  </w:style>
  <w:style w:type="paragraph" w:customStyle="1" w:styleId="88">
    <w:name w:val="标题4-pei"/>
    <w:basedOn w:val="1"/>
    <w:qFormat/>
    <w:uiPriority w:val="0"/>
    <w:pPr>
      <w:tabs>
        <w:tab w:val="left" w:pos="0"/>
        <w:tab w:val="left" w:pos="420"/>
      </w:tabs>
      <w:spacing w:line="360" w:lineRule="auto"/>
      <w:ind w:left="850" w:hanging="850"/>
      <w:outlineLvl w:val="3"/>
    </w:pPr>
    <w:rPr>
      <w:rFonts w:hint="eastAsia" w:ascii="宋体" w:hAnsi="宋体" w:cs="宋体"/>
      <w:b/>
      <w:bCs/>
      <w:sz w:val="24"/>
      <w:szCs w:val="24"/>
    </w:rPr>
  </w:style>
  <w:style w:type="paragraph" w:customStyle="1" w:styleId="89">
    <w:name w:val="标题5-pei"/>
    <w:basedOn w:val="1"/>
    <w:qFormat/>
    <w:uiPriority w:val="0"/>
    <w:pPr>
      <w:tabs>
        <w:tab w:val="left" w:pos="0"/>
      </w:tabs>
      <w:spacing w:line="360" w:lineRule="auto"/>
      <w:ind w:left="991" w:hanging="991"/>
      <w:outlineLvl w:val="4"/>
    </w:pPr>
    <w:rPr>
      <w:rFonts w:hint="eastAsia" w:ascii="宋体" w:hAnsi="宋体" w:cs="宋体"/>
      <w:b/>
      <w:bCs/>
      <w:szCs w:val="21"/>
    </w:rPr>
  </w:style>
  <w:style w:type="character" w:customStyle="1" w:styleId="90">
    <w:name w:val="标题 2 字符"/>
    <w:basedOn w:val="25"/>
    <w:link w:val="3"/>
    <w:semiHidden/>
    <w:qFormat/>
    <w:uiPriority w:val="9"/>
    <w:rPr>
      <w:rFonts w:asciiTheme="majorHAnsi" w:hAnsiTheme="majorHAnsi" w:eastAsiaTheme="majorEastAsia" w:cstheme="majorBidi"/>
      <w:b/>
      <w:bCs/>
      <w:kern w:val="2"/>
      <w:sz w:val="32"/>
      <w:szCs w:val="32"/>
    </w:rPr>
  </w:style>
  <w:style w:type="paragraph" w:customStyle="1" w:styleId="91">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92">
    <w:name w:val="标准文件_段 Char"/>
    <w:link w:val="65"/>
    <w:qFormat/>
    <w:uiPriority w:val="0"/>
    <w:rPr>
      <w:rFonts w:ascii="宋体"/>
      <w:sz w:val="21"/>
      <w:szCs w:val="22"/>
    </w:rPr>
  </w:style>
  <w:style w:type="character" w:styleId="93">
    <w:name w:val="Placeholder Text"/>
    <w:basedOn w:val="25"/>
    <w:unhideWhenUsed/>
    <w:qFormat/>
    <w:uiPriority w:val="99"/>
    <w:rPr>
      <w:color w:val="666666"/>
    </w:rPr>
  </w:style>
  <w:style w:type="character" w:customStyle="1" w:styleId="94">
    <w:name w:val="脚注文本 字符"/>
    <w:basedOn w:val="25"/>
    <w:link w:val="17"/>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2DD802-B5A2-4021-9CC7-489B867E5407}">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3434</Words>
  <Characters>3951</Characters>
  <Lines>303</Lines>
  <Paragraphs>369</Paragraphs>
  <TotalTime>238</TotalTime>
  <ScaleCrop>false</ScaleCrop>
  <LinksUpToDate>false</LinksUpToDate>
  <CharactersWithSpaces>7016</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2025-10-24T21:59:00Z</dcterms:created>
  <dc:creator>wy</dc:creator>
  <cp:lastModifiedBy>gjlcj</cp:lastModifiedBy>
  <cp:lastPrinted>2026-09-02T10:07:18Z</cp:lastPrinted>
  <dcterms:modified xsi:type="dcterms:W3CDTF">2026-09-02T10:07:21Z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C905C978670A42A995304122AE559DC4_13</vt:lpwstr>
  </property>
  <property fmtid="{D5CDD505-2E9C-101B-9397-08002B2CF9AE}" pid="4" name="KSOTemplateDocerSaveRecord">
    <vt:lpwstr>eyJoZGlkIjoiZDIwMDk5ODYwYzU2MjRiMTMyNzc5NzdhZTkyZmU1MWUiLCJ1c2VySWQiOiIzNTk1MzQ5NjUifQ==</vt:lpwstr>
  </property>
</Properties>
</file>