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FED1D">
      <w:pPr>
        <w:spacing w:line="360" w:lineRule="auto"/>
        <w:jc w:val="center"/>
        <w:rPr>
          <w:rFonts w:ascii="Times New Roman" w:hAnsi="Times New Roman" w:eastAsia="黑体" w:cs="Times New Roman"/>
          <w:b/>
          <w:sz w:val="36"/>
          <w:lang w:eastAsia="zh-CN"/>
        </w:rPr>
      </w:pPr>
      <w:r>
        <w:rPr>
          <w:rFonts w:ascii="Times New Roman" w:hAnsi="Times New Roman" w:eastAsia="黑体" w:cs="Times New Roman"/>
          <w:b/>
          <w:sz w:val="36"/>
          <w:lang w:eastAsia="zh-CN"/>
        </w:rPr>
        <w:t>《森林火灾风险评估技术规范》</w:t>
      </w:r>
    </w:p>
    <w:p w14:paraId="7D2C120C">
      <w:pPr>
        <w:spacing w:line="360" w:lineRule="auto"/>
        <w:jc w:val="center"/>
        <w:rPr>
          <w:rFonts w:ascii="Times New Roman" w:hAnsi="Times New Roman" w:cs="Times New Roman"/>
          <w:lang w:eastAsia="zh-CN"/>
        </w:rPr>
      </w:pPr>
      <w:r>
        <w:rPr>
          <w:rFonts w:ascii="Times New Roman" w:hAnsi="Times New Roman" w:eastAsia="黑体" w:cs="Times New Roman"/>
          <w:b/>
          <w:sz w:val="36"/>
          <w:lang w:eastAsia="zh-CN"/>
        </w:rPr>
        <w:t>编制说明</w:t>
      </w:r>
    </w:p>
    <w:p w14:paraId="1EBD5285">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一、工作简况</w:t>
      </w:r>
    </w:p>
    <w:p w14:paraId="60136B0B">
      <w:pPr>
        <w:spacing w:before="80" w:after="80" w:line="360" w:lineRule="auto"/>
        <w:jc w:val="both"/>
        <w:rPr>
          <w:rFonts w:ascii="Times New Roman" w:hAnsi="Times New Roman" w:cs="Times New Roman"/>
          <w:lang w:eastAsia="zh-CN"/>
        </w:rPr>
      </w:pPr>
      <w:r>
        <w:rPr>
          <w:rFonts w:ascii="Times New Roman" w:hAnsi="Times New Roman" w:eastAsia="黑体" w:cs="Times New Roman"/>
          <w:b/>
          <w:lang w:eastAsia="zh-CN"/>
        </w:rPr>
        <w:t>1. 任务来源</w:t>
      </w:r>
    </w:p>
    <w:p w14:paraId="63FE5DB6">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森林火灾风险评估技术规范》由中国林业科学研究院森林生态环境与自然保护研究所提出，拟申请中国林学会团体标准立项。标准由中国林业科学研究院森林生态环境与自然保护研究所牵头，联合西南林业大学、北京林业大学等单位共同起草。</w:t>
      </w:r>
    </w:p>
    <w:p w14:paraId="305DEB5B">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本标准为首次制定，拟作为森林火灾风险评估、风险等级判定、风险图编制和风险减缓效果评价的技术依据。</w:t>
      </w:r>
    </w:p>
    <w:p w14:paraId="1E1ACC8A">
      <w:pPr>
        <w:spacing w:before="80" w:after="80" w:line="360" w:lineRule="auto"/>
        <w:jc w:val="both"/>
        <w:rPr>
          <w:rFonts w:ascii="Times New Roman" w:hAnsi="Times New Roman" w:cs="Times New Roman"/>
          <w:lang w:eastAsia="zh-CN"/>
        </w:rPr>
      </w:pPr>
      <w:r>
        <w:rPr>
          <w:rFonts w:ascii="Times New Roman" w:hAnsi="Times New Roman" w:eastAsia="黑体" w:cs="Times New Roman"/>
          <w:b/>
          <w:lang w:eastAsia="zh-CN"/>
        </w:rPr>
        <w:t>2. 协作单位</w:t>
      </w:r>
    </w:p>
    <w:p w14:paraId="052592BE">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标准起草单位拟包括：中国林业科学研究院森林生态环境与自然保护研究所、西南林业大学、北京林业大学。</w:t>
      </w:r>
    </w:p>
    <w:p w14:paraId="0D7B36E1">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各单位围绕森林火灾风险评估框架、火险天气指标、火灾风险评估方法、森林资源与承灾体数据、森林防火业务应用和标准文本编写等方面开展协作。</w:t>
      </w:r>
    </w:p>
    <w:p w14:paraId="4AF4FD86">
      <w:pPr>
        <w:spacing w:before="80" w:after="80" w:line="360" w:lineRule="auto"/>
        <w:jc w:val="both"/>
        <w:rPr>
          <w:rFonts w:ascii="Times New Roman" w:hAnsi="Times New Roman" w:cs="Times New Roman"/>
          <w:lang w:eastAsia="zh-CN"/>
        </w:rPr>
      </w:pPr>
      <w:r>
        <w:rPr>
          <w:rFonts w:ascii="Times New Roman" w:hAnsi="Times New Roman" w:eastAsia="黑体" w:cs="Times New Roman"/>
          <w:b/>
          <w:lang w:eastAsia="zh-CN"/>
        </w:rPr>
        <w:t>3. 主要工作过程</w:t>
      </w:r>
    </w:p>
    <w:p w14:paraId="33AEE8D4">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1）资料收集与框架构建阶段。课题组系统收集国内外森林火灾风险评估、WUI野火风险评估、火行为模拟、森林火险天气等级、森林火灾损失评估和风险管理等相关文献、标准和技术资料，梳理森林火灾风险评估的关键概念、数据基础和技术流程。</w:t>
      </w:r>
    </w:p>
    <w:p w14:paraId="5826DD1D">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2）指标体系与方法设计阶段。参考野火风险评估框架中“可能性、量级、暴露、脆弱性”四个风险要素，结合WUI野火风险评估中燃烧概率、蔓延速度、火强度、火焰长度、植被影响和居民区距离等具体指标，构建适用于我国森林火灾风险评估的技术路线。</w:t>
      </w:r>
    </w:p>
    <w:p w14:paraId="65FD820A">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（3）标准初稿编制阶段。按照GB/T 1.1—2020《标准化工作导则 第1部分：标准化文件的结构和起草规则》的要求，形成《森林火灾风险评估技术规范》初稿，明确范围、规范性引用文件、术语和定义、总体原则、评估流程、数据要求、风险评估方法、风险等级判定、成果表达等内容。</w:t>
      </w:r>
    </w:p>
    <w:p w14:paraId="4972B809">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4）征求意见与修改完善阶段。根据专家提出的“规范类标准应补充证实方法，编制说明应有数据试验支撑”和“应明确数据来源或获取方法”等意见，起草组对标准初稿和编制说明进行了针对性修改：在标准正文中补充数据来源与获取方法和证实方法；在编制说明中补充北京九龙山林场、辽宁棋盘山和黑龙江大兴安岭等典型研究的数据、方法和结果，作为标准技术路线的试验支撑。</w:t>
      </w:r>
    </w:p>
    <w:p w14:paraId="510B1B84">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（5）送审与报批阶段。完成征求意见稿修改后，形成送审稿，提交中国林学会组织专家审查；根据审查意见进一步修改完善后形成报批稿。</w:t>
      </w:r>
    </w:p>
    <w:p w14:paraId="322B8686">
      <w:pPr>
        <w:spacing w:before="80" w:after="80" w:line="360" w:lineRule="auto"/>
        <w:jc w:val="both"/>
        <w:rPr>
          <w:rFonts w:ascii="Times New Roman" w:hAnsi="Times New Roman" w:cs="Times New Roman"/>
          <w:lang w:eastAsia="zh-CN"/>
        </w:rPr>
      </w:pPr>
      <w:r>
        <w:rPr>
          <w:rFonts w:ascii="Times New Roman" w:hAnsi="Times New Roman" w:eastAsia="黑体" w:cs="Times New Roman"/>
          <w:b/>
          <w:lang w:eastAsia="zh-CN"/>
        </w:rPr>
        <w:t>4. 标准主要起草人及承担的工作</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4"/>
        <w:gridCol w:w="4822"/>
      </w:tblGrid>
      <w:tr w14:paraId="78E8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4" w:type="dxa"/>
            <w:vAlign w:val="center"/>
          </w:tcPr>
          <w:p w14:paraId="4AD487EA">
            <w:pPr>
              <w:spacing w:after="0" w:line="360" w:lineRule="auto"/>
              <w:jc w:val="both"/>
              <w:rPr>
                <w:rFonts w:ascii="Times New Roman" w:hAnsi="Times New Roman" w:cs="Times New Roman"/>
              </w:rPr>
            </w:pPr>
            <w:r>
              <w:rPr>
                <w:rFonts w:ascii="Times New Roman" w:hAnsi="Times New Roman" w:cs="Times New Roman"/>
                <w:b/>
                <w:sz w:val="21"/>
              </w:rPr>
              <w:t>起草人</w:t>
            </w:r>
          </w:p>
        </w:tc>
        <w:tc>
          <w:tcPr>
            <w:tcW w:w="4822" w:type="dxa"/>
            <w:vAlign w:val="center"/>
          </w:tcPr>
          <w:p w14:paraId="566EEF8D">
            <w:pPr>
              <w:spacing w:after="0" w:line="360" w:lineRule="auto"/>
              <w:jc w:val="both"/>
              <w:rPr>
                <w:rFonts w:ascii="Times New Roman" w:hAnsi="Times New Roman" w:cs="Times New Roman"/>
              </w:rPr>
            </w:pPr>
            <w:r>
              <w:rPr>
                <w:rFonts w:ascii="Times New Roman" w:hAnsi="Times New Roman" w:cs="Times New Roman"/>
                <w:b/>
                <w:sz w:val="21"/>
              </w:rPr>
              <w:t>承担的主要工作</w:t>
            </w:r>
          </w:p>
        </w:tc>
      </w:tr>
      <w:tr w14:paraId="28B1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4" w:type="dxa"/>
            <w:vAlign w:val="center"/>
          </w:tcPr>
          <w:p w14:paraId="19410A71">
            <w:pPr>
              <w:spacing w:after="0" w:line="360" w:lineRule="auto"/>
              <w:jc w:val="both"/>
              <w:rPr>
                <w:rFonts w:ascii="Times New Roman" w:hAnsi="Times New Roman" w:cs="Times New Roman"/>
              </w:rPr>
            </w:pPr>
            <w:r>
              <w:rPr>
                <w:rFonts w:ascii="Times New Roman" w:hAnsi="Times New Roman" w:cs="Times New Roman"/>
                <w:sz w:val="21"/>
              </w:rPr>
              <w:t>田晓瑞</w:t>
            </w:r>
          </w:p>
        </w:tc>
        <w:tc>
          <w:tcPr>
            <w:tcW w:w="4822" w:type="dxa"/>
            <w:vAlign w:val="center"/>
          </w:tcPr>
          <w:p w14:paraId="6F3A3FE1">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项目负责人；负责标准总体框架、技术路线、关键指标体系和主要条款起草。</w:t>
            </w:r>
          </w:p>
        </w:tc>
      </w:tr>
      <w:tr w14:paraId="41E4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4" w:type="dxa"/>
            <w:vAlign w:val="center"/>
          </w:tcPr>
          <w:p w14:paraId="3DD760A6">
            <w:pPr>
              <w:spacing w:after="0" w:line="360" w:lineRule="auto"/>
              <w:jc w:val="both"/>
              <w:rPr>
                <w:rFonts w:ascii="Times New Roman" w:hAnsi="Times New Roman" w:cs="Times New Roman"/>
                <w:sz w:val="21"/>
              </w:rPr>
            </w:pPr>
            <w:r>
              <w:rPr>
                <w:rFonts w:ascii="Times New Roman" w:hAnsi="Times New Roman" w:cs="Times New Roman"/>
                <w:sz w:val="21"/>
              </w:rPr>
              <w:t>王秋华、陈锋</w:t>
            </w:r>
          </w:p>
        </w:tc>
        <w:tc>
          <w:tcPr>
            <w:tcW w:w="4822" w:type="dxa"/>
            <w:vAlign w:val="center"/>
          </w:tcPr>
          <w:p w14:paraId="0AA39DAB">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负责森林火险天气、火发生可能性、火行为模拟和风险评估方法资料收集与条款起草。</w:t>
            </w:r>
          </w:p>
        </w:tc>
      </w:tr>
      <w:tr w14:paraId="2991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4" w:type="dxa"/>
            <w:vAlign w:val="center"/>
          </w:tcPr>
          <w:p w14:paraId="729E55C8">
            <w:pPr>
              <w:spacing w:after="0" w:line="360" w:lineRule="auto"/>
              <w:jc w:val="both"/>
              <w:rPr>
                <w:rFonts w:ascii="Times New Roman" w:hAnsi="Times New Roman" w:cs="Times New Roman"/>
                <w:sz w:val="21"/>
              </w:rPr>
            </w:pPr>
            <w:r>
              <w:rPr>
                <w:rFonts w:ascii="Times New Roman" w:hAnsi="Times New Roman" w:cs="Times New Roman"/>
                <w:sz w:val="21"/>
              </w:rPr>
              <w:t>李思微、邓星越</w:t>
            </w:r>
          </w:p>
        </w:tc>
        <w:tc>
          <w:tcPr>
            <w:tcW w:w="4822" w:type="dxa"/>
            <w:vAlign w:val="center"/>
          </w:tcPr>
          <w:p w14:paraId="3F4DDFDA">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负责森林资源、可燃物、地形、人员资源资产和空间数据要求等内容起草。</w:t>
            </w:r>
          </w:p>
        </w:tc>
      </w:tr>
      <w:tr w14:paraId="009A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4" w:type="dxa"/>
            <w:vAlign w:val="center"/>
          </w:tcPr>
          <w:p w14:paraId="50F3FDBB">
            <w:pPr>
              <w:spacing w:after="0" w:line="360" w:lineRule="auto"/>
              <w:jc w:val="both"/>
              <w:rPr>
                <w:rFonts w:ascii="Times New Roman" w:hAnsi="Times New Roman" w:cs="Times New Roman"/>
                <w:sz w:val="21"/>
              </w:rPr>
            </w:pPr>
            <w:r>
              <w:rPr>
                <w:rFonts w:ascii="Times New Roman" w:hAnsi="Times New Roman" w:cs="Times New Roman"/>
                <w:sz w:val="21"/>
              </w:rPr>
              <w:t>舒立福、王明玉</w:t>
            </w:r>
          </w:p>
        </w:tc>
        <w:tc>
          <w:tcPr>
            <w:tcW w:w="4822" w:type="dxa"/>
            <w:vAlign w:val="center"/>
          </w:tcPr>
          <w:p w14:paraId="3B59D702">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负责国内外森林火灾风险管理技术、火灾影响评价、风险等级判定和成果应用内容起草。</w:t>
            </w:r>
          </w:p>
        </w:tc>
      </w:tr>
      <w:tr w14:paraId="2B88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4" w:type="dxa"/>
            <w:vAlign w:val="center"/>
          </w:tcPr>
          <w:p w14:paraId="3A89F590">
            <w:pPr>
              <w:spacing w:after="0" w:line="360" w:lineRule="auto"/>
              <w:jc w:val="both"/>
              <w:rPr>
                <w:rFonts w:ascii="Times New Roman" w:hAnsi="Times New Roman" w:cs="Times New Roman"/>
                <w:sz w:val="21"/>
              </w:rPr>
            </w:pPr>
            <w:r>
              <w:rPr>
                <w:rFonts w:ascii="Times New Roman" w:hAnsi="Times New Roman" w:cs="Times New Roman"/>
                <w:sz w:val="21"/>
              </w:rPr>
              <w:t>司莉青、李伟克</w:t>
            </w:r>
          </w:p>
        </w:tc>
        <w:tc>
          <w:tcPr>
            <w:tcW w:w="4822" w:type="dxa"/>
            <w:vAlign w:val="center"/>
          </w:tcPr>
          <w:p w14:paraId="599E5DFE">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负责规范性引用文件、术语定义、标准文本格式、图表整理和材料校核。</w:t>
            </w:r>
          </w:p>
        </w:tc>
      </w:tr>
    </w:tbl>
    <w:p w14:paraId="391DB0BF">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二、标准的编制原则和主要内容及其论据</w:t>
      </w:r>
    </w:p>
    <w:p w14:paraId="43126A33">
      <w:pPr>
        <w:spacing w:before="80" w:after="80" w:line="360" w:lineRule="auto"/>
        <w:jc w:val="both"/>
        <w:rPr>
          <w:rFonts w:ascii="Times New Roman" w:hAnsi="Times New Roman" w:cs="Times New Roman"/>
          <w:lang w:eastAsia="zh-CN"/>
        </w:rPr>
      </w:pPr>
      <w:r>
        <w:rPr>
          <w:rFonts w:ascii="Times New Roman" w:hAnsi="Times New Roman" w:eastAsia="黑体" w:cs="Times New Roman"/>
          <w:b/>
          <w:lang w:eastAsia="zh-CN"/>
        </w:rPr>
        <w:t>1. 编制原则</w:t>
      </w:r>
    </w:p>
    <w:p w14:paraId="34810610">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（1）科学性。标准围绕森林火灾风险形成机理，综合考虑火灾发生可能性、火行为量级、承灾体暴露程度和脆弱性，避免仅以单一火险天气指标或火发生概率替代综合风险。</w:t>
      </w:r>
    </w:p>
    <w:p w14:paraId="54D25DFE">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（2）系统性。标准覆盖评估目标确定、数据收集、指标计算、风险指数合成、等级判定、成果表达和动态更新等环节，保证评估流程完整。</w:t>
      </w:r>
    </w:p>
    <w:p w14:paraId="256CAC5F">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（3）可操作性。指标和参数优先选用森林防火业务中较易获取的数据，如历史火灾、可燃物/植被、地形、气象、火险天气、居民点和基础设施等，计算方法兼顾模型模拟和指标分级。</w:t>
      </w:r>
    </w:p>
    <w:p w14:paraId="551D7CD8">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（4）兼容性。标准与现行地理空间数据、森林火险气象等级、森林火险预警信号、森林火灾损失评估、风险管理等标准衔接，便于在现有森林防火业务系统中应用。</w:t>
      </w:r>
    </w:p>
    <w:p w14:paraId="674B5D7B">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（5）动态更新。森林火灾风险受气候、植被、可燃物管理、城镇扩展和防火设施变化影响，标准提出定期更新和重大变化后重新评估的要求。</w:t>
      </w:r>
    </w:p>
    <w:p w14:paraId="514E30EB">
      <w:pPr>
        <w:spacing w:before="80" w:after="80" w:line="360" w:lineRule="auto"/>
        <w:jc w:val="both"/>
        <w:rPr>
          <w:rFonts w:ascii="Times New Roman" w:hAnsi="Times New Roman" w:cs="Times New Roman"/>
          <w:lang w:eastAsia="zh-CN"/>
        </w:rPr>
      </w:pPr>
      <w:r>
        <w:rPr>
          <w:rFonts w:ascii="Times New Roman" w:hAnsi="Times New Roman" w:eastAsia="黑体" w:cs="Times New Roman"/>
          <w:b/>
          <w:lang w:eastAsia="zh-CN"/>
        </w:rPr>
        <w:t>2. 标准主要内容</w:t>
      </w:r>
    </w:p>
    <w:p w14:paraId="3FB77D2A">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本标准正文拟包括9个部分：范围、规范性引用文件、术语和定义、总体原则和评估流程、数据要求、森林火灾风险评估方法、风险等级判定、成果表达、动态更新与重新评估，并设置资料性附录列出推荐参数和指标计算方法。</w:t>
      </w:r>
    </w:p>
    <w:p w14:paraId="7D498D45">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标准的核心技术内容为森林火灾综合风险指数构建。风险评估以评估单元为基本对象，采用“可能性—暴露性—脆弱性”的定量表达。</w:t>
      </w:r>
    </w:p>
    <w:p w14:paraId="09BD882E">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综合风险指数推荐按下式计算：R = 0.64P + 0.20E – 0.16I。式中，R为综合风险指数；P为可能性指数；E为暴露性指数；I为脆弱性指数。P可由燃烧概率和蔓延速度加权计算；E可由火强度和火焰长度加权计算；I可由不同植被类型对不同火强度、火焰长度的响应以及居民点、重要基础设施、水源地等对象距离分级综合确定。</w:t>
      </w:r>
    </w:p>
    <w:p w14:paraId="471E06C8">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在具备条件的区域，宜采用火行为模拟或燃烧概率模型获取燃烧概率、蔓延速度、火强度和火焰长度；在数据条件不足时，可采用火险天气等级、可燃物类型、坡度、历史火点密度、人口或建筑密度、重要资源距离等指标进行分级赋值。历史火灾、森林资源、地形、气象和承灾体等数据可分别从森林草原防火、林业和草原、应急管理、自然资源、气象、交通运输、水利、电力和通信等主管部门获取，必要时可采用遥感解译、公开地理空间数据、无人机或现场调查补充。</w:t>
      </w:r>
    </w:p>
    <w:p w14:paraId="65F6F7BA">
      <w:pPr>
        <w:spacing w:before="80" w:after="80" w:line="360" w:lineRule="auto"/>
        <w:jc w:val="both"/>
        <w:rPr>
          <w:rFonts w:ascii="Times New Roman" w:hAnsi="Times New Roman" w:cs="Times New Roman"/>
          <w:lang w:eastAsia="zh-CN"/>
        </w:rPr>
      </w:pPr>
      <w:r>
        <w:rPr>
          <w:rFonts w:ascii="Times New Roman" w:hAnsi="Times New Roman" w:eastAsia="黑体" w:cs="Times New Roman"/>
          <w:b/>
          <w:lang w:eastAsia="zh-CN"/>
        </w:rPr>
        <w:t>3. 主要技术指标、参数和公式依据</w:t>
      </w:r>
    </w:p>
    <w:p w14:paraId="4E8A88F0">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1）可能性指标。可能性反映评估单元内森林火灾发生、燃烧或蔓延的可能程度。推荐指标包括燃烧概率（BP）和蔓延速度（ROS）。燃烧概率可通过多次迭代模拟中某单元被火烧的频率计算；蔓延速度可由火行为模型或经验模型获得。</w:t>
      </w:r>
    </w:p>
    <w:p w14:paraId="33B44E62">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（2）暴露性指标。暴露性用于表征人员、资源和资产处于潜在火环境中的程度。参考WUI野火风险评估方法，推荐采用火强度（FI）和火焰长度（FL）表征火环境暴露程度。火强度阈值可划分为低强度（&lt;500 kW/m）、中强度（500 kW/m～2000 kW/m）和高强度（&gt;2000 kW/m）；火焰长度可按&lt;2 m和≥2 m进行分级。</w:t>
      </w:r>
    </w:p>
    <w:p w14:paraId="272FCE5C">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3）脆弱性指标。火影响反映森林火灾对植被、居民点、水源地和基础设施等对象的正面或负面影响。低强度火对部分落叶阔叶林和针阔混交林可能具有清理林内可燃物、促进生态系统能量流动等正向作用；中高强度火及较长火焰长度通常对灌木、针叶林、居民点和基础设施产生较大负面影响。</w:t>
      </w:r>
    </w:p>
    <w:p w14:paraId="700C6135">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4）权重确定。权重可采用层次分析法、专家咨询法、熵权法或组合赋权法确定。参考WUI野火风险评估参数，可能性、暴露性和脆弱性的推荐权重可分别为0.64、0.20和0.16；其中可能性内部可按燃烧概率0.60、蔓延速度0.40计算，暴露性内部可按火强度0.50、火焰长度0.50计算。实际应用中可根据评估目的、区域特征和专家论证结果调整。</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7"/>
        <w:gridCol w:w="1847"/>
        <w:gridCol w:w="1847"/>
        <w:gridCol w:w="1847"/>
        <w:gridCol w:w="1847"/>
      </w:tblGrid>
      <w:tr w14:paraId="54FC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vAlign w:val="center"/>
          </w:tcPr>
          <w:p w14:paraId="25FA1A87">
            <w:pPr>
              <w:spacing w:after="0" w:line="360" w:lineRule="auto"/>
              <w:jc w:val="both"/>
              <w:rPr>
                <w:rFonts w:ascii="Times New Roman" w:hAnsi="Times New Roman" w:cs="Times New Roman"/>
              </w:rPr>
            </w:pPr>
            <w:r>
              <w:rPr>
                <w:rFonts w:ascii="Times New Roman" w:hAnsi="Times New Roman" w:cs="Times New Roman"/>
                <w:b/>
                <w:sz w:val="21"/>
              </w:rPr>
              <w:t>一级指标</w:t>
            </w:r>
          </w:p>
        </w:tc>
        <w:tc>
          <w:tcPr>
            <w:tcW w:w="1847" w:type="dxa"/>
            <w:vAlign w:val="center"/>
          </w:tcPr>
          <w:p w14:paraId="06D872A8">
            <w:pPr>
              <w:spacing w:after="0" w:line="360" w:lineRule="auto"/>
              <w:jc w:val="both"/>
              <w:rPr>
                <w:rFonts w:ascii="Times New Roman" w:hAnsi="Times New Roman" w:cs="Times New Roman"/>
              </w:rPr>
            </w:pPr>
            <w:r>
              <w:rPr>
                <w:rFonts w:ascii="Times New Roman" w:hAnsi="Times New Roman" w:cs="Times New Roman"/>
                <w:b/>
                <w:sz w:val="21"/>
              </w:rPr>
              <w:t>推荐权重</w:t>
            </w:r>
          </w:p>
        </w:tc>
        <w:tc>
          <w:tcPr>
            <w:tcW w:w="1847" w:type="dxa"/>
            <w:vAlign w:val="center"/>
          </w:tcPr>
          <w:p w14:paraId="38B340B1">
            <w:pPr>
              <w:spacing w:after="0" w:line="360" w:lineRule="auto"/>
              <w:jc w:val="both"/>
              <w:rPr>
                <w:rFonts w:ascii="Times New Roman" w:hAnsi="Times New Roman" w:cs="Times New Roman"/>
              </w:rPr>
            </w:pPr>
            <w:r>
              <w:rPr>
                <w:rFonts w:ascii="Times New Roman" w:hAnsi="Times New Roman" w:cs="Times New Roman"/>
                <w:b/>
                <w:sz w:val="21"/>
              </w:rPr>
              <w:t>二级指标</w:t>
            </w:r>
          </w:p>
        </w:tc>
        <w:tc>
          <w:tcPr>
            <w:tcW w:w="1847" w:type="dxa"/>
            <w:vAlign w:val="center"/>
          </w:tcPr>
          <w:p w14:paraId="4FC59FD7">
            <w:pPr>
              <w:spacing w:after="0" w:line="360" w:lineRule="auto"/>
              <w:jc w:val="both"/>
              <w:rPr>
                <w:rFonts w:ascii="Times New Roman" w:hAnsi="Times New Roman" w:cs="Times New Roman"/>
              </w:rPr>
            </w:pPr>
            <w:r>
              <w:rPr>
                <w:rFonts w:ascii="Times New Roman" w:hAnsi="Times New Roman" w:cs="Times New Roman"/>
                <w:b/>
                <w:sz w:val="21"/>
              </w:rPr>
              <w:t>二级指标权重</w:t>
            </w:r>
          </w:p>
        </w:tc>
        <w:tc>
          <w:tcPr>
            <w:tcW w:w="1847" w:type="dxa"/>
            <w:vAlign w:val="center"/>
          </w:tcPr>
          <w:p w14:paraId="6B91D744">
            <w:pPr>
              <w:spacing w:after="0" w:line="360" w:lineRule="auto"/>
              <w:jc w:val="both"/>
              <w:rPr>
                <w:rFonts w:ascii="Times New Roman" w:hAnsi="Times New Roman" w:cs="Times New Roman"/>
              </w:rPr>
            </w:pPr>
            <w:r>
              <w:rPr>
                <w:rFonts w:ascii="Times New Roman" w:hAnsi="Times New Roman" w:cs="Times New Roman"/>
                <w:b/>
                <w:sz w:val="21"/>
              </w:rPr>
              <w:t>说明</w:t>
            </w:r>
          </w:p>
        </w:tc>
      </w:tr>
      <w:tr w14:paraId="47E9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vMerge w:val="restart"/>
            <w:vAlign w:val="center"/>
          </w:tcPr>
          <w:p w14:paraId="6AA03B91">
            <w:pPr>
              <w:spacing w:after="0" w:line="360" w:lineRule="auto"/>
              <w:jc w:val="both"/>
              <w:rPr>
                <w:rFonts w:ascii="Times New Roman" w:hAnsi="Times New Roman" w:cs="Times New Roman"/>
              </w:rPr>
            </w:pPr>
            <w:r>
              <w:rPr>
                <w:rFonts w:ascii="Times New Roman" w:hAnsi="Times New Roman" w:cs="Times New Roman"/>
                <w:sz w:val="21"/>
              </w:rPr>
              <w:t>可能性 P</w:t>
            </w:r>
          </w:p>
        </w:tc>
        <w:tc>
          <w:tcPr>
            <w:tcW w:w="1847" w:type="dxa"/>
            <w:vMerge w:val="restart"/>
            <w:vAlign w:val="center"/>
          </w:tcPr>
          <w:p w14:paraId="201A0A7C">
            <w:pPr>
              <w:spacing w:after="0" w:line="360" w:lineRule="auto"/>
              <w:jc w:val="both"/>
              <w:rPr>
                <w:rFonts w:ascii="Times New Roman" w:hAnsi="Times New Roman" w:cs="Times New Roman"/>
              </w:rPr>
            </w:pPr>
            <w:r>
              <w:rPr>
                <w:rFonts w:ascii="Times New Roman" w:hAnsi="Times New Roman" w:cs="Times New Roman"/>
                <w:sz w:val="21"/>
              </w:rPr>
              <w:t>0.64</w:t>
            </w:r>
          </w:p>
        </w:tc>
        <w:tc>
          <w:tcPr>
            <w:tcW w:w="1847" w:type="dxa"/>
            <w:vAlign w:val="center"/>
          </w:tcPr>
          <w:p w14:paraId="2211049A">
            <w:pPr>
              <w:spacing w:after="0" w:line="360" w:lineRule="auto"/>
              <w:jc w:val="both"/>
              <w:rPr>
                <w:rFonts w:ascii="Times New Roman" w:hAnsi="Times New Roman" w:cs="Times New Roman"/>
              </w:rPr>
            </w:pPr>
            <w:r>
              <w:rPr>
                <w:rFonts w:ascii="Times New Roman" w:hAnsi="Times New Roman" w:cs="Times New Roman"/>
                <w:sz w:val="21"/>
              </w:rPr>
              <w:t>燃烧概率 BP</w:t>
            </w:r>
          </w:p>
        </w:tc>
        <w:tc>
          <w:tcPr>
            <w:tcW w:w="1847" w:type="dxa"/>
            <w:vAlign w:val="center"/>
          </w:tcPr>
          <w:p w14:paraId="01EA3B5A">
            <w:pPr>
              <w:spacing w:after="0" w:line="360" w:lineRule="auto"/>
              <w:jc w:val="both"/>
              <w:rPr>
                <w:rFonts w:ascii="Times New Roman" w:hAnsi="Times New Roman" w:cs="Times New Roman"/>
              </w:rPr>
            </w:pPr>
            <w:r>
              <w:rPr>
                <w:rFonts w:ascii="Times New Roman" w:hAnsi="Times New Roman" w:cs="Times New Roman"/>
                <w:sz w:val="21"/>
              </w:rPr>
              <w:t>0.60</w:t>
            </w:r>
          </w:p>
        </w:tc>
        <w:tc>
          <w:tcPr>
            <w:tcW w:w="1847" w:type="dxa"/>
            <w:vAlign w:val="center"/>
          </w:tcPr>
          <w:p w14:paraId="11F3900A">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表征评估单元发生燃烧的频率</w:t>
            </w:r>
          </w:p>
        </w:tc>
      </w:tr>
      <w:tr w14:paraId="3B51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vMerge w:val="continue"/>
            <w:vAlign w:val="center"/>
          </w:tcPr>
          <w:p w14:paraId="64E48B82">
            <w:pPr>
              <w:spacing w:after="0" w:line="360" w:lineRule="auto"/>
              <w:jc w:val="both"/>
              <w:rPr>
                <w:rFonts w:ascii="Times New Roman" w:hAnsi="Times New Roman" w:cs="Times New Roman"/>
                <w:lang w:eastAsia="zh-CN"/>
              </w:rPr>
            </w:pPr>
          </w:p>
        </w:tc>
        <w:tc>
          <w:tcPr>
            <w:tcW w:w="1847" w:type="dxa"/>
            <w:vMerge w:val="continue"/>
            <w:vAlign w:val="center"/>
          </w:tcPr>
          <w:p w14:paraId="2EC8E6CD">
            <w:pPr>
              <w:spacing w:after="0" w:line="360" w:lineRule="auto"/>
              <w:jc w:val="both"/>
              <w:rPr>
                <w:rFonts w:ascii="Times New Roman" w:hAnsi="Times New Roman" w:cs="Times New Roman"/>
                <w:lang w:eastAsia="zh-CN"/>
              </w:rPr>
            </w:pPr>
          </w:p>
        </w:tc>
        <w:tc>
          <w:tcPr>
            <w:tcW w:w="1847" w:type="dxa"/>
            <w:vAlign w:val="center"/>
          </w:tcPr>
          <w:p w14:paraId="6C4B0184">
            <w:pPr>
              <w:spacing w:after="0" w:line="360" w:lineRule="auto"/>
              <w:jc w:val="both"/>
              <w:rPr>
                <w:rFonts w:ascii="Times New Roman" w:hAnsi="Times New Roman" w:cs="Times New Roman"/>
              </w:rPr>
            </w:pPr>
            <w:r>
              <w:rPr>
                <w:rFonts w:ascii="Times New Roman" w:hAnsi="Times New Roman" w:cs="Times New Roman"/>
                <w:sz w:val="21"/>
              </w:rPr>
              <w:t>蔓延速度 ROS</w:t>
            </w:r>
          </w:p>
        </w:tc>
        <w:tc>
          <w:tcPr>
            <w:tcW w:w="1847" w:type="dxa"/>
            <w:vAlign w:val="center"/>
          </w:tcPr>
          <w:p w14:paraId="148603E4">
            <w:pPr>
              <w:spacing w:after="0" w:line="360" w:lineRule="auto"/>
              <w:jc w:val="both"/>
              <w:rPr>
                <w:rFonts w:ascii="Times New Roman" w:hAnsi="Times New Roman" w:cs="Times New Roman"/>
              </w:rPr>
            </w:pPr>
            <w:r>
              <w:rPr>
                <w:rFonts w:ascii="Times New Roman" w:hAnsi="Times New Roman" w:cs="Times New Roman"/>
                <w:sz w:val="21"/>
              </w:rPr>
              <w:t>0.40</w:t>
            </w:r>
          </w:p>
        </w:tc>
        <w:tc>
          <w:tcPr>
            <w:tcW w:w="1847" w:type="dxa"/>
            <w:vAlign w:val="center"/>
          </w:tcPr>
          <w:p w14:paraId="744FFAB2">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表征火在评估单元中的扩展能力</w:t>
            </w:r>
          </w:p>
        </w:tc>
      </w:tr>
      <w:tr w14:paraId="6367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47" w:type="dxa"/>
            <w:vMerge w:val="restart"/>
            <w:vAlign w:val="center"/>
          </w:tcPr>
          <w:p w14:paraId="3FB68565">
            <w:pPr>
              <w:spacing w:after="0" w:line="360" w:lineRule="auto"/>
              <w:jc w:val="both"/>
              <w:rPr>
                <w:rFonts w:ascii="Times New Roman" w:hAnsi="Times New Roman" w:cs="Times New Roman"/>
              </w:rPr>
            </w:pPr>
            <w:r>
              <w:rPr>
                <w:rFonts w:ascii="Times New Roman" w:hAnsi="Times New Roman" w:cs="Times New Roman"/>
                <w:sz w:val="21"/>
              </w:rPr>
              <w:t>暴露性 E</w:t>
            </w:r>
          </w:p>
        </w:tc>
        <w:tc>
          <w:tcPr>
            <w:tcW w:w="1847" w:type="dxa"/>
            <w:vMerge w:val="restart"/>
            <w:vAlign w:val="center"/>
          </w:tcPr>
          <w:p w14:paraId="58284477">
            <w:pPr>
              <w:spacing w:after="0" w:line="360" w:lineRule="auto"/>
              <w:jc w:val="both"/>
              <w:rPr>
                <w:rFonts w:ascii="Times New Roman" w:hAnsi="Times New Roman" w:cs="Times New Roman"/>
              </w:rPr>
            </w:pPr>
            <w:r>
              <w:rPr>
                <w:rFonts w:ascii="Times New Roman" w:hAnsi="Times New Roman" w:cs="Times New Roman"/>
                <w:sz w:val="21"/>
              </w:rPr>
              <w:t>0.20</w:t>
            </w:r>
          </w:p>
        </w:tc>
        <w:tc>
          <w:tcPr>
            <w:tcW w:w="1847" w:type="dxa"/>
            <w:vAlign w:val="center"/>
          </w:tcPr>
          <w:p w14:paraId="1BD75BBB">
            <w:pPr>
              <w:spacing w:after="0" w:line="360" w:lineRule="auto"/>
              <w:jc w:val="both"/>
              <w:rPr>
                <w:rFonts w:ascii="Times New Roman" w:hAnsi="Times New Roman" w:cs="Times New Roman"/>
              </w:rPr>
            </w:pPr>
            <w:r>
              <w:rPr>
                <w:rFonts w:ascii="Times New Roman" w:hAnsi="Times New Roman" w:cs="Times New Roman"/>
                <w:sz w:val="21"/>
              </w:rPr>
              <w:t>火强度 FI</w:t>
            </w:r>
          </w:p>
        </w:tc>
        <w:tc>
          <w:tcPr>
            <w:tcW w:w="1847" w:type="dxa"/>
            <w:vAlign w:val="center"/>
          </w:tcPr>
          <w:p w14:paraId="2FE6C7E3">
            <w:pPr>
              <w:spacing w:after="0" w:line="360" w:lineRule="auto"/>
              <w:jc w:val="both"/>
              <w:rPr>
                <w:rFonts w:ascii="Times New Roman" w:hAnsi="Times New Roman" w:cs="Times New Roman"/>
              </w:rPr>
            </w:pPr>
            <w:r>
              <w:rPr>
                <w:rFonts w:ascii="Times New Roman" w:hAnsi="Times New Roman" w:cs="Times New Roman"/>
                <w:sz w:val="21"/>
              </w:rPr>
              <w:t>0.50</w:t>
            </w:r>
          </w:p>
        </w:tc>
        <w:tc>
          <w:tcPr>
            <w:tcW w:w="1847" w:type="dxa"/>
            <w:vAlign w:val="center"/>
          </w:tcPr>
          <w:p w14:paraId="438F16B9">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表征热释放强度和扑救难度</w:t>
            </w:r>
          </w:p>
        </w:tc>
      </w:tr>
      <w:tr w14:paraId="01F7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vMerge w:val="continue"/>
            <w:vAlign w:val="center"/>
          </w:tcPr>
          <w:p w14:paraId="15B5FC3C">
            <w:pPr>
              <w:spacing w:after="0" w:line="360" w:lineRule="auto"/>
              <w:jc w:val="both"/>
              <w:rPr>
                <w:rFonts w:ascii="Times New Roman" w:hAnsi="Times New Roman" w:cs="Times New Roman"/>
                <w:lang w:eastAsia="zh-CN"/>
              </w:rPr>
            </w:pPr>
          </w:p>
        </w:tc>
        <w:tc>
          <w:tcPr>
            <w:tcW w:w="1847" w:type="dxa"/>
            <w:vMerge w:val="continue"/>
            <w:vAlign w:val="center"/>
          </w:tcPr>
          <w:p w14:paraId="019A47D7">
            <w:pPr>
              <w:spacing w:after="0" w:line="360" w:lineRule="auto"/>
              <w:jc w:val="both"/>
              <w:rPr>
                <w:rFonts w:ascii="Times New Roman" w:hAnsi="Times New Roman" w:cs="Times New Roman"/>
                <w:lang w:eastAsia="zh-CN"/>
              </w:rPr>
            </w:pPr>
          </w:p>
        </w:tc>
        <w:tc>
          <w:tcPr>
            <w:tcW w:w="1847" w:type="dxa"/>
            <w:vAlign w:val="center"/>
          </w:tcPr>
          <w:p w14:paraId="16C2C5DF">
            <w:pPr>
              <w:spacing w:after="0" w:line="360" w:lineRule="auto"/>
              <w:jc w:val="both"/>
              <w:rPr>
                <w:rFonts w:ascii="Times New Roman" w:hAnsi="Times New Roman" w:cs="Times New Roman"/>
              </w:rPr>
            </w:pPr>
            <w:r>
              <w:rPr>
                <w:rFonts w:ascii="Times New Roman" w:hAnsi="Times New Roman" w:cs="Times New Roman"/>
                <w:sz w:val="21"/>
              </w:rPr>
              <w:t>火焰长度 FL</w:t>
            </w:r>
          </w:p>
        </w:tc>
        <w:tc>
          <w:tcPr>
            <w:tcW w:w="1847" w:type="dxa"/>
            <w:vAlign w:val="center"/>
          </w:tcPr>
          <w:p w14:paraId="492DA96B">
            <w:pPr>
              <w:spacing w:after="0" w:line="360" w:lineRule="auto"/>
              <w:jc w:val="both"/>
              <w:rPr>
                <w:rFonts w:ascii="Times New Roman" w:hAnsi="Times New Roman" w:cs="Times New Roman"/>
              </w:rPr>
            </w:pPr>
            <w:r>
              <w:rPr>
                <w:rFonts w:ascii="Times New Roman" w:hAnsi="Times New Roman" w:cs="Times New Roman"/>
                <w:sz w:val="21"/>
              </w:rPr>
              <w:t>0.50</w:t>
            </w:r>
          </w:p>
        </w:tc>
        <w:tc>
          <w:tcPr>
            <w:tcW w:w="1847" w:type="dxa"/>
            <w:vAlign w:val="center"/>
          </w:tcPr>
          <w:p w14:paraId="77C9560E">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表征潜在破坏程度及树冠火转换风险</w:t>
            </w:r>
          </w:p>
        </w:tc>
      </w:tr>
      <w:tr w14:paraId="46A5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vMerge w:val="restart"/>
            <w:vAlign w:val="center"/>
          </w:tcPr>
          <w:p w14:paraId="0946DEC6">
            <w:pPr>
              <w:spacing w:after="0" w:line="360" w:lineRule="auto"/>
              <w:jc w:val="both"/>
              <w:rPr>
                <w:rFonts w:ascii="Times New Roman" w:hAnsi="Times New Roman" w:cs="Times New Roman"/>
              </w:rPr>
            </w:pPr>
            <w:r>
              <w:rPr>
                <w:rFonts w:ascii="Times New Roman" w:hAnsi="Times New Roman" w:cs="Times New Roman"/>
                <w:sz w:val="21"/>
                <w:lang w:eastAsia="zh-CN"/>
              </w:rPr>
              <w:t>脆弱性</w:t>
            </w:r>
            <w:r>
              <w:rPr>
                <w:rFonts w:ascii="Times New Roman" w:hAnsi="Times New Roman" w:cs="Times New Roman"/>
                <w:sz w:val="21"/>
              </w:rPr>
              <w:t xml:space="preserve"> I</w:t>
            </w:r>
          </w:p>
        </w:tc>
        <w:tc>
          <w:tcPr>
            <w:tcW w:w="1847" w:type="dxa"/>
            <w:vMerge w:val="restart"/>
            <w:vAlign w:val="center"/>
          </w:tcPr>
          <w:p w14:paraId="7EDD05EE">
            <w:pPr>
              <w:spacing w:after="0" w:line="360" w:lineRule="auto"/>
              <w:jc w:val="both"/>
              <w:rPr>
                <w:rFonts w:ascii="Times New Roman" w:hAnsi="Times New Roman" w:cs="Times New Roman"/>
              </w:rPr>
            </w:pPr>
            <w:r>
              <w:rPr>
                <w:rFonts w:ascii="Times New Roman" w:hAnsi="Times New Roman" w:cs="Times New Roman"/>
                <w:sz w:val="21"/>
              </w:rPr>
              <w:t>0.16</w:t>
            </w:r>
          </w:p>
        </w:tc>
        <w:tc>
          <w:tcPr>
            <w:tcW w:w="1847" w:type="dxa"/>
            <w:vAlign w:val="center"/>
          </w:tcPr>
          <w:p w14:paraId="00396E8C">
            <w:pPr>
              <w:spacing w:after="0" w:line="360" w:lineRule="auto"/>
              <w:jc w:val="both"/>
              <w:rPr>
                <w:rFonts w:ascii="Times New Roman" w:hAnsi="Times New Roman" w:cs="Times New Roman"/>
                <w:sz w:val="21"/>
              </w:rPr>
            </w:pPr>
            <w:r>
              <w:rPr>
                <w:rFonts w:ascii="Times New Roman" w:hAnsi="Times New Roman" w:cs="Times New Roman"/>
                <w:sz w:val="21"/>
              </w:rPr>
              <w:t>火对植被影响 VI</w:t>
            </w:r>
          </w:p>
        </w:tc>
        <w:tc>
          <w:tcPr>
            <w:tcW w:w="1847" w:type="dxa"/>
            <w:vAlign w:val="center"/>
          </w:tcPr>
          <w:p w14:paraId="36529533">
            <w:pPr>
              <w:spacing w:after="0" w:line="360" w:lineRule="auto"/>
              <w:jc w:val="both"/>
              <w:rPr>
                <w:rFonts w:ascii="Times New Roman" w:hAnsi="Times New Roman" w:cs="Times New Roman"/>
                <w:sz w:val="21"/>
              </w:rPr>
            </w:pPr>
            <w:r>
              <w:rPr>
                <w:rFonts w:ascii="Times New Roman" w:hAnsi="Times New Roman" w:cs="Times New Roman"/>
                <w:sz w:val="21"/>
              </w:rPr>
              <w:t>0.25</w:t>
            </w:r>
          </w:p>
        </w:tc>
        <w:tc>
          <w:tcPr>
            <w:tcW w:w="1847" w:type="dxa"/>
            <w:vAlign w:val="center"/>
          </w:tcPr>
          <w:p w14:paraId="1932A30B">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表征不同植被类型对火的正负响应</w:t>
            </w:r>
          </w:p>
        </w:tc>
      </w:tr>
      <w:tr w14:paraId="74D5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vMerge w:val="continue"/>
            <w:vAlign w:val="center"/>
          </w:tcPr>
          <w:p w14:paraId="59003F7D">
            <w:pPr>
              <w:spacing w:after="0" w:line="360" w:lineRule="auto"/>
              <w:jc w:val="both"/>
              <w:rPr>
                <w:rFonts w:ascii="Times New Roman" w:hAnsi="Times New Roman" w:cs="Times New Roman"/>
                <w:lang w:eastAsia="zh-CN"/>
              </w:rPr>
            </w:pPr>
          </w:p>
        </w:tc>
        <w:tc>
          <w:tcPr>
            <w:tcW w:w="1847" w:type="dxa"/>
            <w:vMerge w:val="continue"/>
            <w:vAlign w:val="center"/>
          </w:tcPr>
          <w:p w14:paraId="79908D60">
            <w:pPr>
              <w:spacing w:after="0" w:line="360" w:lineRule="auto"/>
              <w:jc w:val="both"/>
              <w:rPr>
                <w:rFonts w:ascii="Times New Roman" w:hAnsi="Times New Roman" w:cs="Times New Roman"/>
                <w:lang w:eastAsia="zh-CN"/>
              </w:rPr>
            </w:pPr>
          </w:p>
        </w:tc>
        <w:tc>
          <w:tcPr>
            <w:tcW w:w="1847" w:type="dxa"/>
            <w:vAlign w:val="center"/>
          </w:tcPr>
          <w:p w14:paraId="398C9C74">
            <w:pPr>
              <w:spacing w:after="0" w:line="360" w:lineRule="auto"/>
              <w:jc w:val="both"/>
              <w:rPr>
                <w:rFonts w:ascii="Times New Roman" w:hAnsi="Times New Roman" w:cs="Times New Roman"/>
                <w:sz w:val="21"/>
              </w:rPr>
            </w:pPr>
            <w:r>
              <w:rPr>
                <w:rFonts w:ascii="Times New Roman" w:hAnsi="Times New Roman" w:cs="Times New Roman"/>
                <w:sz w:val="21"/>
              </w:rPr>
              <w:t>居民区距离分布 DI</w:t>
            </w:r>
          </w:p>
        </w:tc>
        <w:tc>
          <w:tcPr>
            <w:tcW w:w="1847" w:type="dxa"/>
            <w:vAlign w:val="center"/>
          </w:tcPr>
          <w:p w14:paraId="625ADC4A">
            <w:pPr>
              <w:spacing w:after="0" w:line="360" w:lineRule="auto"/>
              <w:jc w:val="both"/>
              <w:rPr>
                <w:rFonts w:ascii="Times New Roman" w:hAnsi="Times New Roman" w:cs="Times New Roman"/>
                <w:sz w:val="21"/>
              </w:rPr>
            </w:pPr>
            <w:r>
              <w:rPr>
                <w:rFonts w:ascii="Times New Roman" w:hAnsi="Times New Roman" w:cs="Times New Roman"/>
                <w:sz w:val="21"/>
              </w:rPr>
              <w:t>0.75</w:t>
            </w:r>
          </w:p>
        </w:tc>
        <w:tc>
          <w:tcPr>
            <w:tcW w:w="1847" w:type="dxa"/>
            <w:vAlign w:val="center"/>
          </w:tcPr>
          <w:p w14:paraId="52C1EE08">
            <w:pPr>
              <w:spacing w:after="0" w:line="360" w:lineRule="auto"/>
              <w:jc w:val="both"/>
              <w:rPr>
                <w:rFonts w:ascii="Times New Roman" w:hAnsi="Times New Roman" w:cs="Times New Roman"/>
                <w:lang w:eastAsia="zh-CN"/>
              </w:rPr>
            </w:pPr>
            <w:r>
              <w:rPr>
                <w:rFonts w:ascii="Times New Roman" w:hAnsi="Times New Roman" w:cs="Times New Roman"/>
                <w:sz w:val="21"/>
                <w:lang w:eastAsia="zh-CN"/>
              </w:rPr>
              <w:t>表征居民点、基础设施等对象受威胁程度</w:t>
            </w:r>
          </w:p>
        </w:tc>
      </w:tr>
    </w:tbl>
    <w:p w14:paraId="3C8FFBDF">
      <w:pPr>
        <w:spacing w:before="80" w:after="80" w:line="360" w:lineRule="auto"/>
        <w:jc w:val="both"/>
        <w:rPr>
          <w:rFonts w:ascii="Times New Roman" w:hAnsi="Times New Roman" w:cs="Times New Roman"/>
          <w:lang w:eastAsia="zh-CN"/>
        </w:rPr>
      </w:pPr>
      <w:r>
        <w:rPr>
          <w:rFonts w:ascii="Times New Roman" w:hAnsi="Times New Roman" w:eastAsia="黑体" w:cs="Times New Roman"/>
          <w:b/>
          <w:lang w:eastAsia="zh-CN"/>
        </w:rPr>
        <w:t>4. 风险等级判定和成果表达</w:t>
      </w:r>
    </w:p>
    <w:p w14:paraId="7ABE720D">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森林火灾风险等级宜划分为很低、低、中、高、很高五级。等级阈值可根据历史火灾、过火面积、火烈度、专家经验和管理需求综合确定；缺乏历史验证资料时，可采用自然断点法、等距法或分位数法初步划分，并在后续应用中通过历史火灾和专家评审进行校正。</w:t>
      </w:r>
    </w:p>
    <w:p w14:paraId="772A46F8">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成果表达应包括森林火灾综合风险等级图、主要风险因子图、重点风险区域清单、风险评估报告和数据成果。图件应标注评估范围、评估时段、空间分辨率、坐标系统、数据来源、等级图例和制图时间。报告应说明数据来源、处理方法、指标权重、阈值设置、结果解释、不确定性和风险管理建议。</w:t>
      </w:r>
    </w:p>
    <w:p w14:paraId="2BF187D0">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三、主要试验或验证、技术经济论证及预期效果</w:t>
      </w:r>
    </w:p>
    <w:p w14:paraId="6BF409CE">
      <w:pPr>
        <w:spacing w:after="0" w:line="360" w:lineRule="auto"/>
        <w:jc w:val="both"/>
        <w:rPr>
          <w:rFonts w:ascii="Times New Roman" w:hAnsi="Times New Roman" w:cs="Times New Roman"/>
          <w:lang w:eastAsia="zh-CN"/>
        </w:rPr>
      </w:pPr>
      <w:r>
        <w:rPr>
          <w:rFonts w:ascii="Times New Roman" w:hAnsi="Times New Roman" w:eastAsia="宋体" w:cs="Times New Roman"/>
          <w:b/>
          <w:lang w:eastAsia="zh-CN"/>
        </w:rPr>
        <w:t>1. 试验和应用数据支撑</w:t>
      </w:r>
    </w:p>
    <w:p w14:paraId="0C291C79">
      <w:pPr>
        <w:spacing w:after="0" w:line="360" w:lineRule="auto"/>
        <w:ind w:firstLine="480"/>
        <w:jc w:val="both"/>
        <w:rPr>
          <w:rFonts w:ascii="Times New Roman" w:hAnsi="Times New Roman" w:cs="Times New Roman"/>
          <w:lang w:eastAsia="zh-CN"/>
        </w:rPr>
      </w:pPr>
      <w:r>
        <w:rPr>
          <w:rFonts w:ascii="Times New Roman" w:hAnsi="Times New Roman" w:eastAsia="宋体" w:cs="Times New Roman"/>
          <w:lang w:eastAsia="zh-CN"/>
        </w:rPr>
        <w:t>本</w:t>
      </w:r>
      <w:r>
        <w:rPr>
          <w:rFonts w:ascii="Times New Roman" w:hAnsi="Times New Roman" w:cs="Times New Roman"/>
          <w:lang w:eastAsia="zh-CN"/>
        </w:rPr>
        <w:t>标准的指标体系、计算方法和参数设置主要参考了北京九龙山林场、辽宁棋盘山和黑龙江大兴安岭等典型区域的森林火灾风险评估研究。上述研究覆盖林场尺度、城镇森林交界域和大区域林区，所采用的数据类型和技术方法与标准规定的历史火灾、可燃物和植被、地形、气象、火行为及承灾体数据要求基本一致。</w:t>
      </w:r>
    </w:p>
    <w:p w14:paraId="20361285">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（1）北京九龙山林场案例。研究采用2001—2018年MODIS过火面积数据、30 m数字高程模型、门头沟气象站逐日温度、相对湿度、降水、风速和风向数据，以及林内小班树种组成、林龄、生态重要性、生态脆弱性和保护等级等数据，利用Burn-P3模型模拟燃烧概率、潜在火强度、蔓延速度和火发生类型。研究区平均燃烧概率为0.0351，燃烧概率高和很高区域分别占10.3%和6.0%；火行为指数高和很高区域分别占17.8%和14.0%；综合风险高和很高区域合计占31.8%。该案例表明，标准采用的燃烧概率、火行为、火影响和暴露性等指标能够在林分尺度形成可解释的风险评估结果。</w:t>
      </w:r>
    </w:p>
    <w:p w14:paraId="55713382">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2）辽宁棋盘山案例。研究采用自然资源部门提供的树种组成、郁闭度、林龄和平均树高等林分数据，结合火前、火后Landsat影像、过火区现场调查、气象观测和火行为模拟数据，对火灾发生可能性、暴露性和火影响进行综合评估。研究中高和很高风险区分别占研究区的4.6%和1.4%；在设置防火隔离带等减缓措施情景后，高和很高风险区面积比例分别降低44.7%和20.3%。该案例表明，标准提出的技术路线可用于城镇森林交界域风险识别，并可对风险减缓措施实施前后的结果进行比较。</w:t>
      </w:r>
    </w:p>
    <w:p w14:paraId="72D1EF18">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（3）黑龙江大兴安岭案例。研究采用2000—2018年4个气象站的温度、相对湿度、24 h降水、风向和风速数据，1988—2018年火灾统计资料，300 m植被类型数据和30 m数字高程模型，利用Burn-P3模型开展低、中、高火险严重程度情景模拟。低、中、高情景下平均燃烧概率分别为0.0184、0.0358和0.0570，平均火强度分别为687、1276和3469 kW/m，平均蔓延速度分别为1.43、1.82和4.43 m/min，综合风险指数分别为0.12、0.44和1.25。模拟火场大小频度分布与历史火灾规模分布进行比对，结果无显著差异。该案例表明，标准涉及的数据可通过主管部门和公开数据渠道获得，模型结果可利用历史火灾资料进行证实。</w:t>
      </w:r>
    </w:p>
    <w:p w14:paraId="7ACE68FF">
      <w:pPr>
        <w:spacing w:after="0" w:line="360" w:lineRule="auto"/>
        <w:jc w:val="both"/>
        <w:rPr>
          <w:rFonts w:ascii="Times New Roman" w:hAnsi="Times New Roman" w:cs="Times New Roman"/>
          <w:lang w:eastAsia="zh-CN"/>
        </w:rPr>
      </w:pPr>
      <w:r>
        <w:rPr>
          <w:rFonts w:ascii="Times New Roman" w:hAnsi="Times New Roman" w:eastAsia="宋体" w:cs="Times New Roman"/>
          <w:b/>
          <w:lang w:eastAsia="zh-CN"/>
        </w:rPr>
        <w:t>2. 数据获取可行性说明</w:t>
      </w:r>
    </w:p>
    <w:p w14:paraId="5B9EF373">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三个典型案例所需数据均来自现有业务部门、森林资源调查、气象观测、基础地理信息、公开遥感产品和现场调查。历史火灾资料可由森林草原防火或应急管理部门提供；森林小班、植被和可燃物数据可由森林资源调查成果或遥感解译获得；气象数据可由国家和地方气象部门、自动气象站或格点数据获得；数字高程模型和承灾体数据可由基础地理信息、自然资源等部门提供。数据不足时，可通过遥感解译、无人机和现场调查补充。上述案例说明标准规定的数据来源和获取方法具有可行性。</w:t>
      </w:r>
    </w:p>
    <w:p w14:paraId="7BEE6382">
      <w:pPr>
        <w:spacing w:after="0" w:line="360" w:lineRule="auto"/>
        <w:jc w:val="both"/>
        <w:rPr>
          <w:rFonts w:ascii="Times New Roman" w:hAnsi="Times New Roman" w:cs="Times New Roman"/>
          <w:lang w:eastAsia="zh-CN"/>
        </w:rPr>
      </w:pPr>
      <w:r>
        <w:rPr>
          <w:rFonts w:ascii="Times New Roman" w:hAnsi="Times New Roman" w:eastAsia="宋体" w:cs="Times New Roman"/>
          <w:b/>
          <w:lang w:eastAsia="zh-CN"/>
        </w:rPr>
        <w:t>3. 证实方法依据</w:t>
      </w:r>
    </w:p>
    <w:p w14:paraId="036C5F2D">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典型研究中采用了历史火灾规模与模拟结果比对、火前火后遥感影像解译、过火区现场调查、模型结果与区域火环境特征对照以及专家评分一致性检验等方法。根据上述实践，标准正文规定可利用历史火灾资料、遥感影像、现场调查、模型结果合理性比对和专家技术复核等方式对评估结果进行证实。该规定兼顾了不同区域的数据条件，不限定单一模型或统计方法，便于实际应用。</w:t>
      </w:r>
    </w:p>
    <w:p w14:paraId="6F8BF904">
      <w:pPr>
        <w:spacing w:after="0" w:line="360" w:lineRule="auto"/>
        <w:jc w:val="both"/>
        <w:rPr>
          <w:rFonts w:ascii="Times New Roman" w:hAnsi="Times New Roman" w:cs="Times New Roman"/>
          <w:lang w:eastAsia="zh-CN"/>
        </w:rPr>
      </w:pPr>
      <w:r>
        <w:rPr>
          <w:rFonts w:ascii="Times New Roman" w:hAnsi="Times New Roman" w:eastAsia="宋体" w:cs="Times New Roman"/>
          <w:b/>
          <w:lang w:eastAsia="zh-CN"/>
        </w:rPr>
        <w:t>4. 技术经济论证及预期效果</w:t>
      </w:r>
    </w:p>
    <w:p w14:paraId="67DD0D14">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本标准实施后可提高森林火灾风险评估结果的一致性和可比性，支撑高风险区域识别、可燃物处理优先区确定、防火阻隔系统优化、应急资源预布设和风险沟通。标准补充的数据来源和证实方法主要利用现有业务数据、公开遥感资料和必要的抽样调查，不要求统一指定商业软件或数据平台，实施成本总体可控。通过将风险评估前移到规划和预防阶段，有利于减少森林火灾造成的人员伤亡、财产损失、生态破坏和扑救成本，具有较好的社会效益、生态效益和经济效益。</w:t>
      </w:r>
    </w:p>
    <w:p w14:paraId="264BB792">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四、采用国际标准和国外先进标准的程度及与国际国外同类标准水平的对比情况</w:t>
      </w:r>
    </w:p>
    <w:p w14:paraId="41CE26D1">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目前尚未发现与《森林火灾风险评估技术规范》完全对应的国际标准。国际上相关技术主要体现于风险管理标准、森林火灾风险评估框架、火行为模拟模型和森林火灾风险评估方法。加拿大林野火灾风险评估框架强调从可能性、量级、暴露和脆弱性综合理解风险，并提出界定范围、数据收集、分析、评价沟通和重新评估的五阶段流程；WUI野火风险评估研究提出以燃烧概率、蔓延速度、火强度、火焰长度和火影响为主要参数的定量计算方法。</w:t>
      </w:r>
    </w:p>
    <w:p w14:paraId="1CB40468">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本标准在吸收国外先进风险评估理念和定量方法的基础上，结合我国森林防火管理需求、数据条件和现行标准体系，提出适用于我国森林及城镇森林交界域的风险评估技术要求，具有较强的本土适应性和可操作性。</w:t>
      </w:r>
    </w:p>
    <w:p w14:paraId="4119D383">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五、与有关现行法律、法规和强制性国家标准、行业标准的关系</w:t>
      </w:r>
    </w:p>
    <w:p w14:paraId="16D4183E">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本标准与《中华人民共和国森林法》《森林防火条例》等法律法规相衔接，与GB/T 17798、GB/T 24353、GB/T 27921、GB/T 36743、LY/T 1846、LY/T 2085、LY/T 2578等相关标准协调一致。本标准不替代现行森林火险气象等级、森林火险预警信号、森林火灾调查和损失评估等标准，而是在其基础上补充森林火灾风险综合评估的技术方法。</w:t>
      </w:r>
    </w:p>
    <w:p w14:paraId="61B2B938">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六、重大分歧意见的处理经过和依据</w:t>
      </w:r>
    </w:p>
    <w:p w14:paraId="20788A1D">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本标准目前处于立项申请和初稿编制阶段，尚未出现重大分歧意见。后续征求意见过程中，如出现重大分歧，将组织起草组、相关专家和应用单位进行专题讨论，并依据科学性、可操作性、与现行标准协调性和森林防火业务需求进行处理。</w:t>
      </w:r>
    </w:p>
    <w:p w14:paraId="4B573C2C">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七、作为强制性标准或推荐性标准发布的建议</w:t>
      </w:r>
    </w:p>
    <w:p w14:paraId="6CAC4251">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建议本标准作为中国林学会推荐性团体标准发布。</w:t>
      </w:r>
    </w:p>
    <w:p w14:paraId="27791191">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八、贯彻标准的要求、措施和建议</w:t>
      </w:r>
    </w:p>
    <w:p w14:paraId="6AA3B021">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标准发布后，建议在重点林区、城镇森林交界域和重点生态功能区开展试点应用。建议森林防火主管部门、科研单位和技术服务单位结合本标准建立区域森林火灾风险数据库，定期开展风险评估和风险图更新，并将评估结果用于森林防火规划、重点区域治理和应急准备。</w:t>
      </w:r>
    </w:p>
    <w:p w14:paraId="24A8D4A1">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建议结合典型区域应用情况，进一步完善指标权重、风险等级阈值和成果表达要求，形成可推广的评估案例和技术指南。</w:t>
      </w:r>
    </w:p>
    <w:p w14:paraId="7BF1FAE1">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九、废止现行有关标准的建议</w:t>
      </w:r>
    </w:p>
    <w:p w14:paraId="0D327424">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本标准为首次制定，无废止现行标准的建议。</w:t>
      </w:r>
    </w:p>
    <w:p w14:paraId="639E39DB">
      <w:pPr>
        <w:spacing w:before="160" w:after="80" w:line="360" w:lineRule="auto"/>
        <w:jc w:val="both"/>
        <w:rPr>
          <w:rFonts w:ascii="Times New Roman" w:hAnsi="Times New Roman" w:cs="Times New Roman"/>
          <w:lang w:eastAsia="zh-CN"/>
        </w:rPr>
      </w:pPr>
      <w:r>
        <w:rPr>
          <w:rFonts w:ascii="Times New Roman" w:hAnsi="Times New Roman" w:eastAsia="黑体" w:cs="Times New Roman"/>
          <w:b/>
          <w:sz w:val="28"/>
          <w:lang w:eastAsia="zh-CN"/>
        </w:rPr>
        <w:t>十、其他应予说明的事项</w:t>
      </w:r>
    </w:p>
    <w:p w14:paraId="481E69EA">
      <w:pPr>
        <w:spacing w:after="0" w:line="360" w:lineRule="auto"/>
        <w:ind w:firstLine="480"/>
        <w:jc w:val="both"/>
        <w:rPr>
          <w:rFonts w:ascii="Times New Roman" w:hAnsi="Times New Roman" w:cs="Times New Roman"/>
          <w:lang w:eastAsia="zh-CN"/>
        </w:rPr>
      </w:pPr>
      <w:r>
        <w:rPr>
          <w:rFonts w:ascii="Times New Roman" w:hAnsi="Times New Roman" w:cs="Times New Roman"/>
          <w:lang w:eastAsia="zh-CN"/>
        </w:rPr>
        <w:t>本标准部分技术参数来源于国内外森林火灾风险评估研究和WUI野火风险评估方法，实际应用时可根据区域森林类型、气候条件、数据精度和管理目标进行校正。标准涉及的模型软件、数据产品和参数库不限定具体供应商或平台。</w:t>
      </w:r>
    </w:p>
    <w:p w14:paraId="51D20A4D">
      <w:pPr>
        <w:spacing w:before="160" w:after="80" w:line="360" w:lineRule="auto"/>
        <w:jc w:val="both"/>
        <w:rPr>
          <w:rFonts w:ascii="Times New Roman" w:hAnsi="Times New Roman" w:eastAsia="黑体" w:cs="Times New Roman"/>
          <w:b/>
          <w:sz w:val="28"/>
          <w:lang w:eastAsia="zh-CN"/>
        </w:rPr>
      </w:pPr>
      <w:r>
        <w:rPr>
          <w:rFonts w:ascii="Times New Roman" w:hAnsi="Times New Roman" w:eastAsia="黑体" w:cs="Times New Roman"/>
          <w:b/>
          <w:sz w:val="28"/>
          <w:lang w:eastAsia="zh-CN"/>
        </w:rPr>
        <w:t>主要参考文献</w:t>
      </w:r>
    </w:p>
    <w:p w14:paraId="6597D73E">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Ager A A, Day M A, McHugh C W, Short K C, Gilbertson-Day J, Finney M A, Calkin D E. Wildfire exposure and fuel management on western US national forests[J]. Journal of Environmental Management, 2014, 145: 54-70.</w:t>
      </w:r>
    </w:p>
    <w:p w14:paraId="0D295BFD">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Calkin D E, Ager A A, Gilbertson-Day J, editors. Wildfire risk and hazard: procedures for the first approximation[R]. Gen. Tech. Rep. RMRS-GTR-235. Fort Collins, CO: U.S. Department of Agriculture, Forest Service, Rocky Mountain Research Station, 2010: 1-62.</w:t>
      </w:r>
    </w:p>
    <w:p w14:paraId="06BAB30F">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Canadian Council of Forest Ministers. Canadian Wildland Fire Risk Assessment Framework[R]. Ottawa: Canadian Council of Forest Ministers, 2025.</w:t>
      </w:r>
    </w:p>
    <w:p w14:paraId="4373F820">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Zong X, Tian X, Fang L. 2022. Assessing wildfire risk and mitigation strategies in Qipanshan, China. International Journal of Disaster Risk Reduction, 80:103237.</w:t>
      </w:r>
    </w:p>
    <w:p w14:paraId="5302CDDF">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国家林业局. LY/T 2085—2013 森林火灾损失评估技术规范[S]. 北京: 中国标准出版社, 2013.</w:t>
      </w:r>
    </w:p>
    <w:p w14:paraId="2DA0D395">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国家林业局. LY/T 2578—2016 森林火险预警信号分级及标识[S]. 北京: 中国标准出版社, 2016.</w:t>
      </w:r>
    </w:p>
    <w:p w14:paraId="0DE1C05E">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国家市场监督管理总局, 国家标准化管理委员会. GB/T 1.1—2020 标准化工作导则 第1部分：标准化文件的结构和起草规则[S]. 北京: 中国标准出版社, 2020.</w:t>
      </w:r>
    </w:p>
    <w:p w14:paraId="289D8355">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国家市场监督管理总局, 国家标准化管理委员会. GB/T 24353—2022 风险管理 指南[S]. 北京: 中国标准出版社, 2022.</w:t>
      </w:r>
    </w:p>
    <w:p w14:paraId="3DC41BA9">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国家市场监督管理总局, 国家标准化管理委员会. GB/T 27921—2023 风险管理 风险评估技术[S]. 北京: 中国标准出版社, 2023.</w:t>
      </w:r>
    </w:p>
    <w:p w14:paraId="2765FCAF">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国家市场监督管理总局, 国家标准化管理委员会. GB/T 36743—2018 森林火险气象等级[S]. 北京: 中国标准出版社, 2018.</w:t>
      </w:r>
    </w:p>
    <w:p w14:paraId="0E9B9AB2">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刘嘉雷, 田晓瑞, 宗学政, 等. 大兴安岭森林火灾风险评估[J]. 陆地生态系统与保护学报, 2023, 3(3): 77-88.</w:t>
      </w:r>
    </w:p>
    <w:p w14:paraId="028A5F55">
      <w:pPr>
        <w:pStyle w:val="143"/>
        <w:numPr>
          <w:ilvl w:val="0"/>
          <w:numId w:val="7"/>
        </w:numPr>
        <w:spacing w:before="160" w:after="80" w:line="360" w:lineRule="auto"/>
        <w:jc w:val="both"/>
        <w:rPr>
          <w:rFonts w:ascii="Times New Roman" w:hAnsi="Times New Roman" w:cs="Times New Roman"/>
          <w:lang w:eastAsia="zh-CN"/>
        </w:rPr>
      </w:pPr>
      <w:r>
        <w:rPr>
          <w:rFonts w:ascii="Times New Roman" w:hAnsi="Times New Roman" w:cs="Times New Roman"/>
          <w:lang w:eastAsia="zh-CN"/>
        </w:rPr>
        <w:t>宗学政, 田晓瑞, 刘畅. 林分尺度上的森林火灾风险评估方法及应用[J]. 林业科学研究, 2021, 34(5): 69-78.</w:t>
      </w:r>
      <w:bookmarkStart w:id="0" w:name="_GoBack"/>
      <w:bookmarkEnd w:id="0"/>
    </w:p>
    <w:sectPr>
      <w:footerReference r:id="rId5" w:type="default"/>
      <w:pgSz w:w="12240" w:h="15840"/>
      <w:pgMar w:top="1417" w:right="1417" w:bottom="1417"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ＭＳ 明朝">
    <w:altName w:val="仿宋"/>
    <w:panose1 w:val="00000000000000000000"/>
    <w:charset w:val="86"/>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仿宋">
    <w:panose1 w:val="02010609060101010101"/>
    <w:charset w:val="86"/>
    <w:family w:val="auto"/>
    <w:pitch w:val="default"/>
    <w:sig w:usb0="800002BF" w:usb1="38CF7CFA" w:usb2="00000016" w:usb3="00000000" w:csb0="00040001" w:csb1="00000000"/>
  </w:font>
  <w:font w:name="ＭＳ 明朝">
    <w:altName w:val="仿宋"/>
    <w:panose1 w:val="00000000000000000000"/>
    <w:charset w:val="86"/>
    <w:family w:val="auto"/>
    <w:pitch w:val="default"/>
    <w:sig w:usb0="00000000" w:usb1="00000000" w:usb2="00000000" w:usb3="00000000" w:csb0="00000000" w:csb1="00000000"/>
  </w:font>
  <w:font w:name="ＭＳ ゴシック">
    <w:altName w:val="C059"/>
    <w:panose1 w:val="00000000000000000000"/>
    <w:charset w:val="00"/>
    <w:family w:val="auto"/>
    <w:pitch w:val="default"/>
    <w:sig w:usb0="00000000" w:usb1="00000000" w:usb2="00000000" w:usb3="00000000" w:csb0="00000000" w:csb1="00000000"/>
  </w:font>
  <w:font w:name="Courier">
    <w:altName w:val="Liberation Mono"/>
    <w:panose1 w:val="02070409020205020404"/>
    <w:charset w:val="00"/>
    <w:family w:val="auto"/>
    <w:pitch w:val="default"/>
    <w:sig w:usb0="00000000" w:usb1="00000000" w:usb2="00000000" w:usb3="00000000" w:csb0="00000001" w:csb1="00000000"/>
  </w:font>
  <w:font w:name="Liberation Mono">
    <w:panose1 w:val="02070409020205020404"/>
    <w:charset w:val="00"/>
    <w:family w:val="auto"/>
    <w:pitch w:val="default"/>
    <w:sig w:usb0="A00002AF" w:usb1="400078FB" w:usb2="00000000" w:usb3="00000000" w:csb0="6000009F" w:csb1="DFD70000"/>
  </w:font>
  <w:font w:name="Wingdings 3">
    <w:panose1 w:val="05040102010807070707"/>
    <w:charset w:val="00"/>
    <w:family w:val="auto"/>
    <w:pitch w:val="default"/>
    <w:sig w:usb0="00000000" w:usb1="00000000" w:usb2="00000000" w:usb3="00000000" w:csb0="80000000" w:csb1="00000000"/>
  </w:font>
  <w:font w:name="ＭＳ 明朝">
    <w:altName w:val="C059"/>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DFCD6">
    <w:pPr>
      <w:pStyle w:val="24"/>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3DE0647">
                          <w:pPr>
                            <w:pStyle w:val="24"/>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3DE0647">
                    <w:pPr>
                      <w:pStyle w:val="24"/>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1BEE35CF"/>
    <w:multiLevelType w:val="multilevel"/>
    <w:tmpl w:val="1BEE35CF"/>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5A44"/>
    <w:rsid w:val="00034616"/>
    <w:rsid w:val="0006063C"/>
    <w:rsid w:val="0015074B"/>
    <w:rsid w:val="0029639D"/>
    <w:rsid w:val="00326F90"/>
    <w:rsid w:val="003333EE"/>
    <w:rsid w:val="004D09D0"/>
    <w:rsid w:val="005B5B8B"/>
    <w:rsid w:val="006C0BBB"/>
    <w:rsid w:val="00746EE1"/>
    <w:rsid w:val="007770CB"/>
    <w:rsid w:val="0080334E"/>
    <w:rsid w:val="00A20F86"/>
    <w:rsid w:val="00A210C1"/>
    <w:rsid w:val="00AA1D8D"/>
    <w:rsid w:val="00AD21EE"/>
    <w:rsid w:val="00B211CE"/>
    <w:rsid w:val="00B47730"/>
    <w:rsid w:val="00CB0664"/>
    <w:rsid w:val="00D24C2A"/>
    <w:rsid w:val="00D31D5A"/>
    <w:rsid w:val="00E3762D"/>
    <w:rsid w:val="00EC0EF3"/>
    <w:rsid w:val="00FC693F"/>
    <w:rsid w:val="42BF08B7"/>
    <w:rsid w:val="FB9DCE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qFormat/>
    <w:uiPriority w:val="99"/>
  </w:style>
  <w:style w:type="character" w:customStyle="1" w:styleId="136">
    <w:name w:val="页脚 字符"/>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qFormat/>
    <w:uiPriority w:val="99"/>
  </w:style>
  <w:style w:type="character" w:customStyle="1" w:styleId="145">
    <w:name w:val="正文文本 2 字符"/>
    <w:basedOn w:val="132"/>
    <w:link w:val="28"/>
    <w:qFormat/>
    <w:uiPriority w:val="99"/>
  </w:style>
  <w:style w:type="character" w:customStyle="1" w:styleId="146">
    <w:name w:val="正文文本 3 字符"/>
    <w:basedOn w:val="132"/>
    <w:link w:val="17"/>
    <w:qFormat/>
    <w:uiPriority w:val="99"/>
    <w:rPr>
      <w:sz w:val="16"/>
      <w:szCs w:val="16"/>
    </w:rPr>
  </w:style>
  <w:style w:type="character" w:customStyle="1" w:styleId="147">
    <w:name w:val="宏文本 字符"/>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qFormat/>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3338</Words>
  <Characters>3907</Characters>
  <Lines>150</Lines>
  <Paragraphs>120</Paragraphs>
  <TotalTime>27</TotalTime>
  <ScaleCrop>false</ScaleCrop>
  <LinksUpToDate>false</LinksUpToDate>
  <CharactersWithSpaces>7125</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gjlcj</cp:lastModifiedBy>
  <dcterms:modified xsi:type="dcterms:W3CDTF">2026-09-02T10:07:48Z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9BE57DEF5A540D942E46716A9CEBA2E9_42</vt:lpwstr>
  </property>
</Properties>
</file>