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7C6AA">
      <w:pPr>
        <w:spacing w:line="360" w:lineRule="auto"/>
        <w:rPr>
          <w:rFonts w:ascii="宋体" w:hAnsi="宋体"/>
          <w:kern w:val="0"/>
          <w:sz w:val="28"/>
          <w:szCs w:val="28"/>
        </w:rPr>
      </w:pPr>
      <w:r>
        <w:rPr>
          <w:rFonts w:hint="eastAsia" w:ascii="宋体" w:hAnsi="宋体"/>
          <w:kern w:val="0"/>
          <w:sz w:val="28"/>
          <w:szCs w:val="28"/>
        </w:rPr>
        <w:t>附件二</w:t>
      </w:r>
    </w:p>
    <w:p w14:paraId="670449CA">
      <w:pPr>
        <w:spacing w:line="360" w:lineRule="auto"/>
        <w:ind w:firstLine="420" w:firstLineChars="175"/>
        <w:rPr>
          <w:rFonts w:asciiTheme="minorEastAsia" w:hAnsiTheme="minorEastAsia" w:eastAsiaTheme="minorEastAsia"/>
          <w:kern w:val="0"/>
          <w:sz w:val="24"/>
          <w:szCs w:val="24"/>
        </w:rPr>
      </w:pPr>
    </w:p>
    <w:p w14:paraId="3A733F62">
      <w:pPr>
        <w:spacing w:line="360" w:lineRule="auto"/>
        <w:jc w:val="center"/>
        <w:rPr>
          <w:rFonts w:ascii="黑体" w:hAnsi="黑体" w:eastAsia="黑体"/>
          <w:b/>
          <w:kern w:val="0"/>
          <w:sz w:val="44"/>
          <w:szCs w:val="44"/>
        </w:rPr>
      </w:pPr>
      <w:r>
        <w:rPr>
          <w:rFonts w:hint="eastAsia" w:ascii="黑体" w:hAnsi="黑体" w:eastAsia="黑体"/>
          <w:b/>
          <w:kern w:val="0"/>
          <w:sz w:val="44"/>
          <w:szCs w:val="44"/>
        </w:rPr>
        <w:t>中国林学会团体标准编制说明</w:t>
      </w:r>
    </w:p>
    <w:p w14:paraId="4EC3C42D">
      <w:pPr>
        <w:spacing w:line="360" w:lineRule="auto"/>
        <w:rPr>
          <w:rFonts w:ascii="宋体" w:hAnsi="宋体"/>
          <w:kern w:val="0"/>
          <w:sz w:val="28"/>
          <w:szCs w:val="28"/>
        </w:rPr>
      </w:pPr>
    </w:p>
    <w:p w14:paraId="7EF1BACE">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b/>
          <w:bCs/>
          <w:kern w:val="0"/>
          <w:sz w:val="24"/>
          <w:szCs w:val="24"/>
        </w:rPr>
        <w:t>一、工作简况</w:t>
      </w:r>
    </w:p>
    <w:p w14:paraId="4A63B0D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（一）任务来源</w:t>
      </w:r>
    </w:p>
    <w:p w14:paraId="7AD19185">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本标准制定任务来源于中央级公益性科研院所基本科研业务费专项资金项目“林药复合经营对林分生长、碳储量及土壤环境的影响”和深化集体林改专项“林下经济多元生态高效经营技术集成示范”。</w:t>
      </w:r>
    </w:p>
    <w:p w14:paraId="7444EC6D">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近年来，随着我国森林经营理念由单一木材生产向多功能森林经营转变，杉木人工林提质增效和林下经济高质量发展成为南方集体林区森林经营的重要方向。杉木长期纯林经营模式在提高木材供给能力的同时，也存在林分结构简单、生态稳定性不足、森林多功能发挥不充分等问题。通过开展林药复合经营，引入适宜的林下药用植物和珍贵阔叶树种，构建多层次、多功能森林复合经营模式，是提升人工林生态系统稳定性、提高林地综合利用效率的重要途径。</w:t>
      </w:r>
    </w:p>
    <w:p w14:paraId="3F382051">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中央级公益性科研院所基本科研业务费专项资金项目“林药复合经营对林分生长、碳储量及土壤环境的影响”围绕林药复合经营模式下林分生长变化、森林碳储量提升、土壤理化性质改善及生态效应响应机制开展研究，为杉木林下药用植物复合经营模式构建和关键技术参数确定提供了科学依据。</w:t>
      </w:r>
    </w:p>
    <w:p w14:paraId="3D47A6D2">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深化集体林改专项“林下经济多元生态高效经营技术集成示范”围绕林下经济资源高效利用、多元复合经营模式构建和技术集成示范开展研究，针对不同区域林分类型、经营主体和资源条件，集成形成林下经济高效经营技术体系，为标准制定提供了实践基础和应用验证支撑。</w:t>
      </w:r>
    </w:p>
    <w:p w14:paraId="411D4F43">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基于上述科研项目研究成果和示范实践，结合国内外森林复合经营、林下经济和中药材生态种植相关技术标准，经系统总结、集成和优化，形成《杉木林下箭叶淫羊藿—珍贵阔叶树复合经营技术规程》，旨在规范杉木人工林林下药用植物与珍贵树种协同经营技术，提高杉木人工林生态功能和综合利用效益，为南方集体林区林下经济高质量发展提供技术标准支撑。</w:t>
      </w:r>
    </w:p>
    <w:p w14:paraId="5DCA0E43">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（三）主要工作过程</w:t>
      </w:r>
    </w:p>
    <w:p w14:paraId="64057A97">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lang w:val="en-US" w:eastAsia="zh-CN"/>
        </w:rPr>
        <w:t>1、</w:t>
      </w:r>
      <w:r>
        <w:rPr>
          <w:rFonts w:hint="eastAsia" w:ascii="宋体" w:hAnsi="宋体"/>
          <w:kern w:val="0"/>
          <w:sz w:val="24"/>
          <w:szCs w:val="24"/>
        </w:rPr>
        <w:t>资料收集与调研阶段</w:t>
      </w:r>
    </w:p>
    <w:p w14:paraId="6F87197F">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202</w:t>
      </w:r>
      <w:r>
        <w:rPr>
          <w:rFonts w:hint="eastAsia" w:ascii="宋体" w:hAnsi="宋体"/>
          <w:kern w:val="0"/>
          <w:sz w:val="24"/>
          <w:szCs w:val="24"/>
          <w:lang w:val="en-US" w:eastAsia="zh-CN"/>
        </w:rPr>
        <w:t>5</w:t>
      </w:r>
      <w:r>
        <w:rPr>
          <w:rFonts w:hint="eastAsia" w:ascii="宋体" w:hAnsi="宋体"/>
          <w:kern w:val="0"/>
          <w:sz w:val="24"/>
          <w:szCs w:val="24"/>
        </w:rPr>
        <w:t>年</w:t>
      </w:r>
      <w:r>
        <w:rPr>
          <w:rFonts w:hint="eastAsia" w:ascii="宋体" w:hAnsi="宋体"/>
          <w:kern w:val="0"/>
          <w:sz w:val="24"/>
          <w:szCs w:val="24"/>
          <w:lang w:val="en-US" w:eastAsia="zh-CN"/>
        </w:rPr>
        <w:t>1</w:t>
      </w:r>
      <w:r>
        <w:rPr>
          <w:rFonts w:hint="eastAsia" w:ascii="宋体" w:hAnsi="宋体"/>
          <w:kern w:val="0"/>
          <w:sz w:val="24"/>
          <w:szCs w:val="24"/>
        </w:rPr>
        <w:t>月至</w:t>
      </w:r>
      <w:r>
        <w:rPr>
          <w:rFonts w:hint="eastAsia" w:ascii="宋体" w:hAnsi="宋体"/>
          <w:kern w:val="0"/>
          <w:sz w:val="24"/>
          <w:szCs w:val="24"/>
          <w:lang w:val="en-US" w:eastAsia="zh-CN"/>
        </w:rPr>
        <w:t>8</w:t>
      </w:r>
      <w:r>
        <w:rPr>
          <w:rFonts w:hint="eastAsia" w:ascii="宋体" w:hAnsi="宋体"/>
          <w:kern w:val="0"/>
          <w:sz w:val="24"/>
          <w:szCs w:val="24"/>
        </w:rPr>
        <w:t>月，标准编制组系统收集国内外有关森林复合经营、林下经济、林药复合经营、珍贵树种培育等方面的技术资料，开展相关标准、技术规程和研究成果分析。同时，对南方杉木人工林林下经济发展区域开展实地调研，了解生产主体技术需求和实际生产问题。</w:t>
      </w:r>
    </w:p>
    <w:p w14:paraId="513F9FDB">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lang w:val="en-US" w:eastAsia="zh-CN"/>
        </w:rPr>
        <w:t>2、</w:t>
      </w:r>
      <w:r>
        <w:rPr>
          <w:rFonts w:hint="eastAsia" w:ascii="宋体" w:hAnsi="宋体"/>
          <w:kern w:val="0"/>
          <w:sz w:val="24"/>
          <w:szCs w:val="24"/>
        </w:rPr>
        <w:t>试验研究与技术集成阶段</w:t>
      </w:r>
    </w:p>
    <w:p w14:paraId="525D0E04">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202</w:t>
      </w:r>
      <w:r>
        <w:rPr>
          <w:rFonts w:hint="eastAsia" w:ascii="宋体" w:hAnsi="宋体"/>
          <w:kern w:val="0"/>
          <w:sz w:val="24"/>
          <w:szCs w:val="24"/>
          <w:lang w:val="en-US" w:eastAsia="zh-CN"/>
        </w:rPr>
        <w:t>5</w:t>
      </w:r>
      <w:r>
        <w:rPr>
          <w:rFonts w:hint="eastAsia" w:ascii="宋体" w:hAnsi="宋体"/>
          <w:kern w:val="0"/>
          <w:sz w:val="24"/>
          <w:szCs w:val="24"/>
        </w:rPr>
        <w:t>年</w:t>
      </w:r>
      <w:r>
        <w:rPr>
          <w:rFonts w:hint="eastAsia" w:ascii="宋体" w:hAnsi="宋体"/>
          <w:kern w:val="0"/>
          <w:sz w:val="24"/>
          <w:szCs w:val="24"/>
          <w:lang w:val="en-US" w:eastAsia="zh-CN"/>
        </w:rPr>
        <w:t>9月</w:t>
      </w:r>
      <w:r>
        <w:rPr>
          <w:rFonts w:hint="eastAsia" w:ascii="宋体" w:hAnsi="宋体"/>
          <w:kern w:val="0"/>
          <w:sz w:val="24"/>
          <w:szCs w:val="24"/>
        </w:rPr>
        <w:t>至202</w:t>
      </w:r>
      <w:r>
        <w:rPr>
          <w:rFonts w:hint="eastAsia" w:ascii="宋体" w:hAnsi="宋体"/>
          <w:kern w:val="0"/>
          <w:sz w:val="24"/>
          <w:szCs w:val="24"/>
          <w:lang w:val="en-US" w:eastAsia="zh-CN"/>
        </w:rPr>
        <w:t>5</w:t>
      </w:r>
      <w:r>
        <w:rPr>
          <w:rFonts w:hint="eastAsia" w:ascii="宋体" w:hAnsi="宋体"/>
          <w:kern w:val="0"/>
          <w:sz w:val="24"/>
          <w:szCs w:val="24"/>
        </w:rPr>
        <w:t>年</w:t>
      </w:r>
      <w:r>
        <w:rPr>
          <w:rFonts w:hint="eastAsia" w:ascii="宋体" w:hAnsi="宋体"/>
          <w:kern w:val="0"/>
          <w:sz w:val="24"/>
          <w:szCs w:val="24"/>
          <w:lang w:val="en-US" w:eastAsia="zh-CN"/>
        </w:rPr>
        <w:t>12月</w:t>
      </w:r>
      <w:r>
        <w:rPr>
          <w:rFonts w:hint="eastAsia" w:ascii="宋体" w:hAnsi="宋体"/>
          <w:kern w:val="0"/>
          <w:sz w:val="24"/>
          <w:szCs w:val="24"/>
        </w:rPr>
        <w:t>，依托杉木人工林林下经济示范基地，开展杉木林冠调控、珍贵阔叶树补植、箭叶淫羊藿栽培密度、林下光环境调节、水肥管理和采收方式等试验研究。通过长期定位观测和生产实践，总结形成杉木—珍贵阔叶树—箭叶淫羊藿复合经营关键技术参数。</w:t>
      </w:r>
    </w:p>
    <w:p w14:paraId="291F7C6D">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lang w:val="en-US" w:eastAsia="zh-CN"/>
        </w:rPr>
        <w:t>3、</w:t>
      </w:r>
      <w:r>
        <w:rPr>
          <w:rFonts w:hint="eastAsia" w:ascii="宋体" w:hAnsi="宋体"/>
          <w:kern w:val="0"/>
          <w:sz w:val="24"/>
          <w:szCs w:val="24"/>
        </w:rPr>
        <w:t>标准起草阶段</w:t>
      </w:r>
    </w:p>
    <w:p w14:paraId="319BB4A6">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202</w:t>
      </w:r>
      <w:r>
        <w:rPr>
          <w:rFonts w:hint="eastAsia" w:ascii="宋体" w:hAnsi="宋体"/>
          <w:kern w:val="0"/>
          <w:sz w:val="24"/>
          <w:szCs w:val="24"/>
          <w:lang w:val="en-US" w:eastAsia="zh-CN"/>
        </w:rPr>
        <w:t>6</w:t>
      </w:r>
      <w:r>
        <w:rPr>
          <w:rFonts w:hint="eastAsia" w:ascii="宋体" w:hAnsi="宋体"/>
          <w:kern w:val="0"/>
          <w:sz w:val="24"/>
          <w:szCs w:val="24"/>
        </w:rPr>
        <w:t>年</w:t>
      </w:r>
      <w:r>
        <w:rPr>
          <w:rFonts w:hint="eastAsia" w:ascii="宋体" w:hAnsi="宋体"/>
          <w:kern w:val="0"/>
          <w:sz w:val="24"/>
          <w:szCs w:val="24"/>
          <w:lang w:val="en-US" w:eastAsia="zh-CN"/>
        </w:rPr>
        <w:t>1</w:t>
      </w:r>
      <w:r>
        <w:rPr>
          <w:rFonts w:hint="eastAsia" w:ascii="宋体" w:hAnsi="宋体"/>
          <w:kern w:val="0"/>
          <w:sz w:val="24"/>
          <w:szCs w:val="24"/>
        </w:rPr>
        <w:t>月，成立标准起草组。起草组结合试验数据、生产实践和相关标准要求，完成标准草案编制。</w:t>
      </w:r>
    </w:p>
    <w:p w14:paraId="780A9CF7">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lang w:val="en-US" w:eastAsia="zh-CN"/>
        </w:rPr>
        <w:t>4、</w:t>
      </w:r>
      <w:r>
        <w:rPr>
          <w:rFonts w:hint="eastAsia" w:ascii="宋体" w:hAnsi="宋体"/>
          <w:kern w:val="0"/>
          <w:sz w:val="24"/>
          <w:szCs w:val="24"/>
        </w:rPr>
        <w:t>征求意见和修改阶段</w:t>
      </w:r>
    </w:p>
    <w:p w14:paraId="2158BEA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202</w:t>
      </w:r>
      <w:r>
        <w:rPr>
          <w:rFonts w:hint="eastAsia" w:ascii="宋体" w:hAnsi="宋体"/>
          <w:kern w:val="0"/>
          <w:sz w:val="24"/>
          <w:szCs w:val="24"/>
          <w:lang w:val="en-US" w:eastAsia="zh-CN"/>
        </w:rPr>
        <w:t>6</w:t>
      </w:r>
      <w:r>
        <w:rPr>
          <w:rFonts w:hint="eastAsia" w:ascii="宋体" w:hAnsi="宋体"/>
          <w:kern w:val="0"/>
          <w:sz w:val="24"/>
          <w:szCs w:val="24"/>
        </w:rPr>
        <w:t>年</w:t>
      </w:r>
      <w:r>
        <w:rPr>
          <w:rFonts w:hint="eastAsia" w:ascii="宋体" w:hAnsi="宋体"/>
          <w:kern w:val="0"/>
          <w:sz w:val="24"/>
          <w:szCs w:val="24"/>
          <w:lang w:val="en-US" w:eastAsia="zh-CN"/>
        </w:rPr>
        <w:t>3</w:t>
      </w:r>
      <w:r>
        <w:rPr>
          <w:rFonts w:hint="eastAsia" w:ascii="宋体" w:hAnsi="宋体"/>
          <w:kern w:val="0"/>
          <w:sz w:val="24"/>
          <w:szCs w:val="24"/>
        </w:rPr>
        <w:t>月</w:t>
      </w:r>
      <w:r>
        <w:rPr>
          <w:rFonts w:hint="eastAsia" w:ascii="宋体" w:hAnsi="宋体"/>
          <w:kern w:val="0"/>
          <w:sz w:val="24"/>
          <w:szCs w:val="24"/>
          <w:lang w:val="en-US" w:eastAsia="zh-CN"/>
        </w:rPr>
        <w:t>至2026年6月</w:t>
      </w:r>
      <w:r>
        <w:rPr>
          <w:rFonts w:hint="eastAsia" w:ascii="宋体" w:hAnsi="宋体"/>
          <w:kern w:val="0"/>
          <w:sz w:val="24"/>
          <w:szCs w:val="24"/>
          <w:lang w:eastAsia="zh-CN"/>
        </w:rPr>
        <w:t>，</w:t>
      </w:r>
      <w:r>
        <w:rPr>
          <w:rFonts w:hint="eastAsia" w:ascii="宋体" w:hAnsi="宋体"/>
          <w:kern w:val="0"/>
          <w:sz w:val="24"/>
          <w:szCs w:val="24"/>
        </w:rPr>
        <w:t>通过专家咨询、行业座谈和书面征求意见等方式，对标准文本进行修改完善，形成标准</w:t>
      </w:r>
      <w:r>
        <w:rPr>
          <w:rFonts w:hint="eastAsia" w:ascii="宋体" w:hAnsi="宋体"/>
          <w:kern w:val="0"/>
          <w:sz w:val="24"/>
          <w:szCs w:val="24"/>
          <w:lang w:val="en-US" w:eastAsia="zh-CN"/>
        </w:rPr>
        <w:t>征求意见</w:t>
      </w:r>
      <w:r>
        <w:rPr>
          <w:rFonts w:hint="eastAsia" w:ascii="宋体" w:hAnsi="宋体"/>
          <w:kern w:val="0"/>
          <w:sz w:val="24"/>
          <w:szCs w:val="24"/>
        </w:rPr>
        <w:t>稿。</w:t>
      </w:r>
    </w:p>
    <w:p w14:paraId="53E241F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b/>
          <w:bCs/>
          <w:kern w:val="0"/>
          <w:sz w:val="24"/>
          <w:szCs w:val="24"/>
        </w:rPr>
        <w:t>二、标准编制原则和确定标准主要内容</w:t>
      </w:r>
    </w:p>
    <w:p w14:paraId="025E79A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（一）标准编制原则</w:t>
      </w:r>
    </w:p>
    <w:p w14:paraId="02B9C093">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1. 科学性原则</w:t>
      </w:r>
    </w:p>
    <w:p w14:paraId="6D760FD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标准制定以森林生态学、森林培育学、药用植物栽培学理论为基础，结合长期试验研究和生产实践，确定关键技术指标。</w:t>
      </w:r>
    </w:p>
    <w:p w14:paraId="01E35C6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 适用性原则</w:t>
      </w:r>
    </w:p>
    <w:p w14:paraId="5AC6E5AE">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充分考虑南方杉木人工林经营实际，技术要求具有可操作性，适用于不同经营主体推广应用。</w:t>
      </w:r>
    </w:p>
    <w:p w14:paraId="4C682173">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3. 生态优先原则</w:t>
      </w:r>
    </w:p>
    <w:p w14:paraId="36CFD01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标准坚持森林生态系统稳定性原则，强调杉木保育、珍贵阔叶树培育和林下药材生产协调发展。</w:t>
      </w:r>
    </w:p>
    <w:p w14:paraId="5C46C6AD">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4. 可推广原则</w:t>
      </w:r>
    </w:p>
    <w:p w14:paraId="10CDB5D4">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技术指标充分考虑生产成本和管理水平，便于林场、企业、合作社和林农应用。</w:t>
      </w:r>
    </w:p>
    <w:p w14:paraId="1909D56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（二）主要技术内容确定依据</w:t>
      </w:r>
    </w:p>
    <w:p w14:paraId="531309F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1. 林分选择指标</w:t>
      </w:r>
    </w:p>
    <w:p w14:paraId="4635DDD6">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根据杉木人工林生长规律和箭叶淫羊藿耐阴特性，确定：林龄10～30年；郁闭度0.60～0.85；土壤pH 4.5～6.5；土层厚度≥40 cm。</w:t>
      </w:r>
    </w:p>
    <w:p w14:paraId="3C808542">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上述指标来源于杉木人工林经营研究和箭叶淫羊藿生态适应性研究。</w:t>
      </w:r>
    </w:p>
    <w:p w14:paraId="643FE37D">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 林分调控指标</w:t>
      </w:r>
    </w:p>
    <w:p w14:paraId="2784E1A8">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依据森林抚育相关研究成果，确定：疏伐强度不超过25%；调控后郁闭度0.</w:t>
      </w:r>
      <w:r>
        <w:rPr>
          <w:rFonts w:hint="eastAsia" w:ascii="宋体" w:hAnsi="宋体"/>
          <w:kern w:val="0"/>
          <w:sz w:val="24"/>
          <w:szCs w:val="24"/>
          <w:lang w:val="en-US" w:eastAsia="zh-CN"/>
        </w:rPr>
        <w:t>60</w:t>
      </w:r>
      <w:r>
        <w:rPr>
          <w:rFonts w:hint="eastAsia" w:ascii="宋体" w:hAnsi="宋体"/>
          <w:kern w:val="0"/>
          <w:sz w:val="24"/>
          <w:szCs w:val="24"/>
        </w:rPr>
        <w:t>～0.</w:t>
      </w:r>
      <w:r>
        <w:rPr>
          <w:rFonts w:hint="eastAsia" w:ascii="宋体" w:hAnsi="宋体"/>
          <w:kern w:val="0"/>
          <w:sz w:val="24"/>
          <w:szCs w:val="24"/>
          <w:lang w:val="en-US" w:eastAsia="zh-CN"/>
        </w:rPr>
        <w:t>80</w:t>
      </w:r>
      <w:r>
        <w:rPr>
          <w:rFonts w:hint="eastAsia" w:ascii="宋体" w:hAnsi="宋体"/>
          <w:kern w:val="0"/>
          <w:sz w:val="24"/>
          <w:szCs w:val="24"/>
        </w:rPr>
        <w:t>；林下相对光照20%～40%。</w:t>
      </w:r>
    </w:p>
    <w:p w14:paraId="2C55E7A5">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该范围能够兼顾杉木生长和箭叶淫羊藿耐阴需求。</w:t>
      </w:r>
    </w:p>
    <w:p w14:paraId="7CCE32C7">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3. 箭叶淫羊藿种植参数</w:t>
      </w:r>
    </w:p>
    <w:p w14:paraId="4B5736F5">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根据试验示范结果，确定：栽植密度12万～22万株/hm²；株距15～25 cm；行距20～30 cm。</w:t>
      </w:r>
    </w:p>
    <w:p w14:paraId="0574EE4B">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该密度范围能够保证群体快速形成，提高土地利用效率，同时避免过密导致病害发生。</w:t>
      </w:r>
    </w:p>
    <w:p w14:paraId="105F738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4. 珍贵阔叶树配置参数</w:t>
      </w:r>
    </w:p>
    <w:p w14:paraId="0CF40963">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根据人工林混交培育研究，确定：初植密度300～750株/hm²；</w:t>
      </w:r>
    </w:p>
    <w:p w14:paraId="62F6DE82">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采用点状、群团状等配置方式。该配置方式有利于改善森林结构，提高林分稳定性。</w:t>
      </w:r>
    </w:p>
    <w:p w14:paraId="172B800C">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b/>
          <w:bCs/>
          <w:kern w:val="0"/>
          <w:sz w:val="24"/>
          <w:szCs w:val="24"/>
        </w:rPr>
        <w:t>三、主要试验的分析、技术经济论证，预期的经济效果</w:t>
      </w:r>
    </w:p>
    <w:p w14:paraId="296CF4F6">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（一）主要试验情况</w:t>
      </w:r>
    </w:p>
    <w:p w14:paraId="4364F1E7">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标准编制过程中，依托杉木人工林林下经济示范基地开展技术验证。</w:t>
      </w:r>
    </w:p>
    <w:p w14:paraId="3885FBF5">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主要开展：</w:t>
      </w:r>
    </w:p>
    <w:p w14:paraId="6D2878F6">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1. 林冠调控试验</w:t>
      </w:r>
    </w:p>
    <w:p w14:paraId="4C40CB5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kern w:val="0"/>
          <w:sz w:val="24"/>
          <w:szCs w:val="24"/>
        </w:rPr>
      </w:pPr>
      <w:r>
        <w:rPr>
          <w:rFonts w:hint="eastAsia" w:ascii="宋体" w:hAnsi="宋体"/>
          <w:kern w:val="0"/>
          <w:sz w:val="24"/>
          <w:szCs w:val="24"/>
        </w:rPr>
        <w:t>设置不同郁闭度处理，监测：林下光照；温湿度；箭叶淫羊藿生长量；叶片产量。</w:t>
      </w:r>
    </w:p>
    <w:p w14:paraId="03EDE1A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结果表明，适度降低杉木郁闭度，可显著改善林下光环境，提高箭叶淫羊藿生长量。</w:t>
      </w:r>
      <w:bookmarkStart w:id="0" w:name="_GoBack"/>
      <w:bookmarkEnd w:id="0"/>
    </w:p>
    <w:p w14:paraId="417450B1">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2. 栽植密度试验</w:t>
      </w:r>
    </w:p>
    <w:p w14:paraId="12CC4D44">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设置不同栽植密度：低密度；中密度；高密度。</w:t>
      </w:r>
    </w:p>
    <w:p w14:paraId="04BCA57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结果表明，中等密度条件下箭叶淫羊藿群体形成速度快、产量稳定，综合效益较高。</w:t>
      </w:r>
    </w:p>
    <w:p w14:paraId="23B0F924">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3. 珍贵阔叶树配置试验</w:t>
      </w:r>
    </w:p>
    <w:p w14:paraId="39683C3A">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通过不同树种配置方式比较，发现引入珍贵阔叶树能够提高林分树种多样性，改善林下生态环境。</w:t>
      </w:r>
    </w:p>
    <w:p w14:paraId="1DA1AFA9">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（二）技术经济分析</w:t>
      </w:r>
    </w:p>
    <w:p w14:paraId="2E950FB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传统杉木人工林主要依靠木材收益，经济收益周期长，经营模式单一。采用复合经营模式后：不改变杉木长期培育目标；增加林下药材收入；提高单位面积综合产出；增强森林生态服务功能。箭叶淫羊藿进入稳定生产期后，可形成持续性林下经济收益，同时珍贵阔叶树具有长期培育价值。该模式能够提高林地综合利用效率，促进林农增收，具有较好的推广应用前景。</w:t>
      </w:r>
    </w:p>
    <w:p w14:paraId="4FBD9D4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b/>
          <w:bCs/>
          <w:kern w:val="0"/>
          <w:sz w:val="24"/>
          <w:szCs w:val="24"/>
        </w:rPr>
        <w:t>四、标准涉及的相关知识产权说明</w:t>
      </w:r>
    </w:p>
    <w:p w14:paraId="190CA71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本标准涉及的技术内容主要来源于公开发表的科研成果、长期试验研究和生产实践总结。</w:t>
      </w:r>
    </w:p>
    <w:p w14:paraId="78969030">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标准编制过程中未发现涉及专利、软件著作权等限制性知识产权内容。</w:t>
      </w:r>
    </w:p>
    <w:p w14:paraId="1997B15D">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标准中的技术参数和管理措施属于森林经营技术规范，不涉及专有技术保护。</w:t>
      </w:r>
    </w:p>
    <w:p w14:paraId="0F9430D2">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kern w:val="0"/>
          <w:sz w:val="24"/>
          <w:szCs w:val="24"/>
        </w:rPr>
      </w:pPr>
      <w:r>
        <w:rPr>
          <w:rFonts w:hint="eastAsia" w:ascii="宋体" w:hAnsi="宋体"/>
          <w:kern w:val="0"/>
          <w:sz w:val="24"/>
          <w:szCs w:val="24"/>
        </w:rPr>
        <w:t xml:space="preserve">    </w:t>
      </w:r>
      <w:r>
        <w:rPr>
          <w:rFonts w:hint="eastAsia" w:ascii="宋体" w:hAnsi="宋体"/>
          <w:b/>
          <w:bCs/>
          <w:kern w:val="0"/>
          <w:sz w:val="24"/>
          <w:szCs w:val="24"/>
        </w:rPr>
        <w:t>五、采用国际标准的程度与水平的简要说明</w:t>
      </w:r>
    </w:p>
    <w:p w14:paraId="0EBCD1EE">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本标准未直接采用国际标准。</w:t>
      </w:r>
    </w:p>
    <w:p w14:paraId="112563DB">
      <w:pPr>
        <w:keepNext w:val="0"/>
        <w:keepLines w:val="0"/>
        <w:pageBreakBefore w:val="0"/>
        <w:kinsoku/>
        <w:wordWrap/>
        <w:overflowPunct/>
        <w:topLinePunct w:val="0"/>
        <w:autoSpaceDE/>
        <w:autoSpaceDN/>
        <w:bidi w:val="0"/>
        <w:adjustRightInd w:val="0"/>
        <w:snapToGrid w:val="0"/>
        <w:spacing w:line="360" w:lineRule="auto"/>
        <w:ind w:firstLine="560"/>
        <w:textAlignment w:val="auto"/>
        <w:rPr>
          <w:rFonts w:hint="eastAsia" w:ascii="宋体" w:hAnsi="宋体"/>
          <w:kern w:val="0"/>
          <w:sz w:val="24"/>
          <w:szCs w:val="24"/>
        </w:rPr>
      </w:pPr>
      <w:r>
        <w:rPr>
          <w:rFonts w:hint="eastAsia" w:ascii="宋体" w:hAnsi="宋体"/>
          <w:kern w:val="0"/>
          <w:sz w:val="24"/>
          <w:szCs w:val="24"/>
        </w:rPr>
        <w:t>本标准结合我国杉木人工林经营特点、林下药材生产需求和珍贵树种培育要求，提出适用于我国南方地区的复合经营技术体系，技术内容达到国内先进水平。</w:t>
      </w:r>
    </w:p>
    <w:p w14:paraId="5743839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宋体" w:hAnsi="宋体"/>
          <w:kern w:val="0"/>
          <w:sz w:val="24"/>
          <w:szCs w:val="24"/>
        </w:rPr>
      </w:pPr>
      <w:r>
        <w:rPr>
          <w:rFonts w:hint="eastAsia" w:ascii="宋体" w:hAnsi="宋体"/>
          <w:kern w:val="0"/>
          <w:sz w:val="24"/>
          <w:szCs w:val="24"/>
        </w:rPr>
        <w:t>六、重大意见分歧的处理经过和依据；</w:t>
      </w:r>
    </w:p>
    <w:p w14:paraId="546DC896">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kern w:val="0"/>
          <w:sz w:val="24"/>
          <w:szCs w:val="24"/>
          <w:lang w:val="en-US" w:eastAsia="zh-CN"/>
        </w:rPr>
      </w:pPr>
      <w:r>
        <w:rPr>
          <w:rFonts w:hint="eastAsia" w:ascii="宋体" w:hAnsi="宋体"/>
          <w:kern w:val="0"/>
          <w:sz w:val="24"/>
          <w:szCs w:val="24"/>
        </w:rPr>
        <w:t xml:space="preserve">    </w:t>
      </w:r>
      <w:r>
        <w:rPr>
          <w:rFonts w:hint="eastAsia" w:ascii="宋体" w:hAnsi="宋体"/>
          <w:kern w:val="0"/>
          <w:sz w:val="24"/>
          <w:szCs w:val="24"/>
          <w:lang w:val="en-US" w:eastAsia="zh-CN"/>
        </w:rPr>
        <w:t>无。</w:t>
      </w:r>
    </w:p>
    <w:p w14:paraId="6443ABE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宋体" w:hAnsi="宋体"/>
          <w:kern w:val="0"/>
          <w:sz w:val="24"/>
          <w:szCs w:val="24"/>
        </w:rPr>
      </w:pPr>
      <w:r>
        <w:rPr>
          <w:rFonts w:hint="eastAsia" w:ascii="宋体" w:hAnsi="宋体"/>
          <w:kern w:val="0"/>
          <w:sz w:val="24"/>
          <w:szCs w:val="24"/>
        </w:rPr>
        <w:t>七、其他应予说明的事项。</w:t>
      </w:r>
    </w:p>
    <w:p w14:paraId="27386253">
      <w:pPr>
        <w:pStyle w:val="9"/>
        <w:keepNext w:val="0"/>
        <w:keepLines w:val="0"/>
        <w:pageBreakBefore w:val="0"/>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无。</w:t>
      </w:r>
    </w:p>
    <w:p w14:paraId="619536B8">
      <w:pPr>
        <w:rPr>
          <w:rFonts w:ascii="宋体" w:hAnsi="宋体"/>
          <w:sz w:val="28"/>
          <w:szCs w:val="28"/>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AB73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C455B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AC455B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FF"/>
    <w:rsid w:val="000431F4"/>
    <w:rsid w:val="00063895"/>
    <w:rsid w:val="000D5ADB"/>
    <w:rsid w:val="001E0A2E"/>
    <w:rsid w:val="00217917"/>
    <w:rsid w:val="00277F29"/>
    <w:rsid w:val="005957FA"/>
    <w:rsid w:val="006A4AAC"/>
    <w:rsid w:val="007300E0"/>
    <w:rsid w:val="008668CB"/>
    <w:rsid w:val="009F1476"/>
    <w:rsid w:val="00A04879"/>
    <w:rsid w:val="00A67527"/>
    <w:rsid w:val="00B16167"/>
    <w:rsid w:val="00B3417B"/>
    <w:rsid w:val="00B5398A"/>
    <w:rsid w:val="00C342B2"/>
    <w:rsid w:val="00C3644A"/>
    <w:rsid w:val="00C734BE"/>
    <w:rsid w:val="00C84132"/>
    <w:rsid w:val="00C86020"/>
    <w:rsid w:val="00CF197F"/>
    <w:rsid w:val="00CF56FF"/>
    <w:rsid w:val="00D804FC"/>
    <w:rsid w:val="00D817AC"/>
    <w:rsid w:val="00DB0192"/>
    <w:rsid w:val="54DC6B21"/>
    <w:rsid w:val="6EF2F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rPr>
      <w:rFonts w:eastAsia="微软雅黑"/>
      <w:kern w:val="0"/>
      <w:sz w:val="22"/>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253</Words>
  <Characters>253</Characters>
  <Lines>2</Lines>
  <Paragraphs>1</Paragraphs>
  <TotalTime>10</TotalTime>
  <ScaleCrop>false</ScaleCrop>
  <LinksUpToDate>false</LinksUpToDate>
  <CharactersWithSpaces>285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2018-09-06T08:30:00Z</dcterms:created>
  <dc:creator>201</dc:creator>
  <cp:lastModifiedBy>gjlcj</cp:lastModifiedBy>
  <cp:lastPrinted>2026-09-02T09:52:47Z</cp:lastPrinted>
  <dcterms:modified xsi:type="dcterms:W3CDTF">2026-09-02T09:54:16Z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eyJoZGlkIjoiZjgxNzExMDFiNWM5ZDZiN2RkNjc5MTdiZmQ4Njg1ZWYiLCJ1c2VySWQiOiIyMTUwOTk3MDgifQ==</vt:lpwstr>
  </property>
  <property fmtid="{D5CDD505-2E9C-101B-9397-08002B2CF9AE}" pid="3" name="KSOProductBuildVer">
    <vt:lpwstr>2052-12.1.2.24722</vt:lpwstr>
  </property>
  <property fmtid="{D5CDD505-2E9C-101B-9397-08002B2CF9AE}" pid="4" name="ICV">
    <vt:lpwstr>450E5C1DA32E4EC79687E1CD1BB43E93_13</vt:lpwstr>
  </property>
</Properties>
</file>