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29E5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44BCA4C">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6A9C8B71">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点击此处添加ICS号</w:t>
            </w:r>
            <w:r>
              <w:rPr>
                <w:rFonts w:ascii="黑体" w:hAnsi="黑体" w:eastAsia="黑体"/>
                <w:sz w:val="21"/>
                <w:szCs w:val="21"/>
              </w:rPr>
              <w:fldChar w:fldCharType="end"/>
            </w:r>
            <w:bookmarkEnd w:id="0"/>
          </w:p>
        </w:tc>
      </w:tr>
      <w:tr w14:paraId="72C6A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EE2345C">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8855"/>
            </w:tblGrid>
            <w:tr w14:paraId="3479211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26FF8AB6">
                  <w:pPr>
                    <w:pStyle w:val="49"/>
                    <w:framePr w:wrap="notBeside" w:vAnchor="page" w:hAnchor="page" w:x="1372" w:y="568"/>
                    <w:ind w:left="420" w:right="624"/>
                    <w:rPr>
                      <w:rFonts w:hint="eastAsia"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CSF</w:t>
                  </w:r>
                  <w:r>
                    <w:fldChar w:fldCharType="end"/>
                  </w:r>
                  <w:bookmarkEnd w:id="1"/>
                </w:p>
              </w:tc>
            </w:tr>
          </w:tbl>
          <w:p w14:paraId="25F63E74">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2"/>
          </w:p>
        </w:tc>
      </w:tr>
    </w:tbl>
    <w:p w14:paraId="4924645F">
      <w:pPr>
        <w:pStyle w:val="50"/>
        <w:framePr w:w="9639" w:h="624" w:hRule="exact" w:hSpace="181" w:vSpace="181" w:wrap="around" w:hAnchor="page" w:x="1305" w:y="2269"/>
        <w:rPr>
          <w:rFonts w:hint="eastAsia"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ascii="黑体" w:eastAsia="黑体"/>
          <w:b w:val="0"/>
          <w:w w:val="100"/>
          <w:sz w:val="48"/>
        </w:rPr>
        <w:t>     </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142B67CE">
      <w:pPr>
        <w:pStyle w:val="195"/>
        <w:framePr/>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t>CSF</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603A14C3">
      <w:pPr>
        <w:pStyle w:val="196"/>
        <w:framePr/>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2F3B6F42">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1627F877">
      <w:pPr>
        <w:pStyle w:val="50"/>
        <w:framePr w:w="9639" w:h="6976" w:hRule="exact" w:hSpace="0" w:vSpace="0" w:wrap="around" w:hAnchor="page" w:y="6408"/>
        <w:jc w:val="center"/>
        <w:rPr>
          <w:rFonts w:hint="eastAsia" w:ascii="黑体" w:hAnsi="黑体" w:eastAsia="黑体"/>
          <w:b w:val="0"/>
          <w:bCs w:val="0"/>
          <w:w w:val="100"/>
        </w:rPr>
      </w:pPr>
    </w:p>
    <w:p w14:paraId="1673BDA2">
      <w:pPr>
        <w:pStyle w:val="197"/>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bookmarkStart w:id="10" w:name="_Hlk233619872"/>
      <w:r>
        <w:t>森林可燃物含水率传感器</w:t>
      </w:r>
      <w:bookmarkEnd w:id="10"/>
      <w:r>
        <w:fldChar w:fldCharType="end"/>
      </w:r>
      <w:bookmarkEnd w:id="9"/>
    </w:p>
    <w:p w14:paraId="713E9F81">
      <w:pPr>
        <w:framePr w:w="9639" w:h="6974" w:hRule="exact" w:wrap="around" w:vAnchor="page" w:hAnchor="page" w:x="1419" w:y="6408" w:anchorLock="1"/>
        <w:ind w:left="-1418"/>
      </w:pPr>
    </w:p>
    <w:p w14:paraId="0A7A05C9">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1" w:name="ESTD_NAME"/>
      <w:r>
        <w:rPr>
          <w:rFonts w:eastAsia="黑体"/>
          <w:szCs w:val="28"/>
        </w:rPr>
        <w:instrText xml:space="preserve"> FORMTEXT </w:instrText>
      </w:r>
      <w:r>
        <w:rPr>
          <w:rFonts w:eastAsia="黑体"/>
          <w:szCs w:val="28"/>
        </w:rPr>
        <w:fldChar w:fldCharType="separate"/>
      </w:r>
      <w:r>
        <w:rPr>
          <w:rFonts w:eastAsia="黑体"/>
          <w:szCs w:val="28"/>
        </w:rPr>
        <w:t xml:space="preserve">Forest </w:t>
      </w:r>
      <w:r>
        <w:rPr>
          <w:rFonts w:hint="eastAsia" w:eastAsia="黑体"/>
          <w:szCs w:val="28"/>
        </w:rPr>
        <w:t>f</w:t>
      </w:r>
      <w:r>
        <w:rPr>
          <w:rFonts w:eastAsia="黑体"/>
          <w:szCs w:val="28"/>
        </w:rPr>
        <w:t xml:space="preserve">uel </w:t>
      </w:r>
      <w:r>
        <w:rPr>
          <w:rFonts w:hint="eastAsia" w:eastAsia="黑体"/>
          <w:szCs w:val="28"/>
        </w:rPr>
        <w:t>m</w:t>
      </w:r>
      <w:r>
        <w:rPr>
          <w:rFonts w:eastAsia="黑体"/>
          <w:szCs w:val="28"/>
        </w:rPr>
        <w:t xml:space="preserve">oisture </w:t>
      </w:r>
      <w:r>
        <w:rPr>
          <w:rFonts w:hint="eastAsia" w:eastAsia="黑体"/>
          <w:szCs w:val="28"/>
        </w:rPr>
        <w:t>co</w:t>
      </w:r>
      <w:r>
        <w:rPr>
          <w:rFonts w:eastAsia="黑体"/>
          <w:szCs w:val="28"/>
        </w:rPr>
        <w:t xml:space="preserve">ntent </w:t>
      </w:r>
      <w:r>
        <w:rPr>
          <w:rFonts w:hint="eastAsia" w:eastAsia="黑体"/>
          <w:szCs w:val="28"/>
        </w:rPr>
        <w:t>se</w:t>
      </w:r>
      <w:r>
        <w:rPr>
          <w:rFonts w:eastAsia="黑体"/>
          <w:szCs w:val="28"/>
        </w:rPr>
        <w:t>nsor</w:t>
      </w:r>
      <w:r>
        <w:rPr>
          <w:rFonts w:eastAsia="黑体"/>
          <w:szCs w:val="28"/>
        </w:rPr>
        <w:fldChar w:fldCharType="end"/>
      </w:r>
      <w:bookmarkEnd w:id="11"/>
    </w:p>
    <w:p w14:paraId="063CB57B">
      <w:pPr>
        <w:framePr w:w="9639" w:h="6974" w:hRule="exact" w:wrap="around" w:vAnchor="page" w:hAnchor="page" w:x="1419" w:y="6408" w:anchorLock="1"/>
        <w:spacing w:line="760" w:lineRule="exact"/>
        <w:ind w:left="-1418"/>
      </w:pPr>
    </w:p>
    <w:p w14:paraId="620AF1C5">
      <w:pPr>
        <w:pStyle w:val="125"/>
        <w:framePr w:w="9639" w:h="6974" w:hRule="exact" w:wrap="around" w:vAnchor="page" w:hAnchor="page" w:x="1419" w:y="6408" w:anchorLock="1"/>
        <w:textAlignment w:val="bottom"/>
        <w:rPr>
          <w:rFonts w:eastAsia="黑体"/>
          <w:szCs w:val="28"/>
        </w:rPr>
      </w:pPr>
    </w:p>
    <w:p w14:paraId="58E9F459">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Pr>
          <w:sz w:val="24"/>
          <w:szCs w:val="28"/>
        </w:rPr>
        <w:fldChar w:fldCharType="separate"/>
      </w:r>
      <w:r>
        <w:rPr>
          <w:sz w:val="24"/>
          <w:szCs w:val="28"/>
        </w:rPr>
        <w:fldChar w:fldCharType="end"/>
      </w:r>
      <w:bookmarkEnd w:id="12"/>
    </w:p>
    <w:p w14:paraId="224FD5BF">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3"/>
    </w:p>
    <w:p w14:paraId="6BC7CAF0">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Pr>
          <w:b/>
          <w:sz w:val="21"/>
          <w:szCs w:val="28"/>
        </w:rPr>
        <w:fldChar w:fldCharType="separate"/>
      </w:r>
      <w:r>
        <w:rPr>
          <w:b/>
          <w:sz w:val="21"/>
          <w:szCs w:val="28"/>
        </w:rPr>
        <w:fldChar w:fldCharType="end"/>
      </w:r>
      <w:bookmarkEnd w:id="14"/>
    </w:p>
    <w:p w14:paraId="6AC14F1F">
      <w:pPr>
        <w:pStyle w:val="193"/>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发布</w:t>
      </w:r>
    </w:p>
    <w:p w14:paraId="150554DF">
      <w:pPr>
        <w:pStyle w:val="194"/>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20"/>
      <w:r>
        <w:rPr>
          <w:rFonts w:hint="eastAsia"/>
        </w:rPr>
        <w:t>实施</w:t>
      </w:r>
    </w:p>
    <w:p w14:paraId="0895A51D">
      <w:pPr>
        <w:pStyle w:val="151"/>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 国 林 学 会</w:t>
      </w:r>
      <w:r>
        <w:rPr>
          <w:rFonts w:hAnsi="黑体"/>
          <w:w w:val="100"/>
          <w:sz w:val="28"/>
        </w:rPr>
        <w:fldChar w:fldCharType="end"/>
      </w:r>
      <w:bookmarkEnd w:id="21"/>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6FEC028E">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483A5580">
      <w:pPr>
        <w:pStyle w:val="91"/>
        <w:spacing w:after="360"/>
      </w:pPr>
      <w:bookmarkStart w:id="22" w:name="BookMark1"/>
      <w:r>
        <w:rPr>
          <w:spacing w:val="320"/>
        </w:rPr>
        <w:t>目</w:t>
      </w:r>
      <w:r>
        <w:t>次</w:t>
      </w:r>
    </w:p>
    <w:p w14:paraId="0144FEBA">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"_Toc236849461" </w:instrText>
      </w:r>
      <w:r>
        <w:fldChar w:fldCharType="separate"/>
      </w:r>
      <w:r>
        <w:rPr>
          <w:rStyle w:val="32"/>
          <w:rFonts w:hint="eastAsia"/>
          <w:spacing w:val="320"/>
        </w:rPr>
        <w:t>前</w:t>
      </w:r>
      <w:r>
        <w:rPr>
          <w:rStyle w:val="32"/>
          <w:rFonts w:hint="eastAsia"/>
        </w:rPr>
        <w:t>言</w:t>
      </w:r>
      <w:r>
        <w:rPr>
          <w:rFonts w:hint="eastAsia"/>
        </w:rPr>
        <w:tab/>
      </w:r>
      <w:r>
        <w:rPr>
          <w:rFonts w:hint="eastAsia"/>
        </w:rPr>
        <w:fldChar w:fldCharType="begin"/>
      </w:r>
      <w:r>
        <w:rPr>
          <w:rFonts w:hint="eastAsia"/>
        </w:rPr>
        <w:instrText xml:space="preserve"> </w:instrText>
      </w:r>
      <w:r>
        <w:instrText xml:space="preserve">PAGEREF _Toc236849461 \h</w:instrText>
      </w:r>
      <w:r>
        <w:rPr>
          <w:rFonts w:hint="eastAsia"/>
        </w:rPr>
        <w:instrText xml:space="preserve"> </w:instrText>
      </w:r>
      <w:r>
        <w:fldChar w:fldCharType="separate"/>
      </w:r>
      <w:r>
        <w:t>II</w:t>
      </w:r>
      <w:r>
        <w:rPr>
          <w:rFonts w:hint="eastAsia"/>
        </w:rPr>
        <w:fldChar w:fldCharType="end"/>
      </w:r>
      <w:r>
        <w:rPr>
          <w:rFonts w:hint="eastAsia"/>
        </w:rPr>
        <w:fldChar w:fldCharType="end"/>
      </w:r>
    </w:p>
    <w:p w14:paraId="4EECCDCE">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"_Toc236849462" </w:instrText>
      </w:r>
      <w:r>
        <w:fldChar w:fldCharType="separate"/>
      </w:r>
      <w:r>
        <w:rPr>
          <w:rStyle w:val="32"/>
          <w:rFonts w:hint="eastAsia"/>
        </w:rPr>
        <w:t>1 范围</w:t>
      </w:r>
      <w:r>
        <w:rPr>
          <w:rFonts w:hint="eastAsia"/>
        </w:rPr>
        <w:tab/>
      </w:r>
      <w:r>
        <w:rPr>
          <w:rFonts w:hint="eastAsia"/>
        </w:rPr>
        <w:fldChar w:fldCharType="begin"/>
      </w:r>
      <w:r>
        <w:rPr>
          <w:rFonts w:hint="eastAsia"/>
        </w:rPr>
        <w:instrText xml:space="preserve"> </w:instrText>
      </w:r>
      <w:r>
        <w:instrText xml:space="preserve">PAGEREF _Toc236849462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6DA0466E">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"_Toc236849463" </w:instrText>
      </w:r>
      <w:r>
        <w:fldChar w:fldCharType="separate"/>
      </w:r>
      <w:r>
        <w:rPr>
          <w:rStyle w:val="32"/>
          <w:rFonts w:hint="eastAsia"/>
        </w:rPr>
        <w:t>2 规范性引用文件</w:t>
      </w:r>
      <w:r>
        <w:rPr>
          <w:rFonts w:hint="eastAsia"/>
        </w:rPr>
        <w:tab/>
      </w:r>
      <w:r>
        <w:rPr>
          <w:rFonts w:hint="eastAsia"/>
        </w:rPr>
        <w:fldChar w:fldCharType="begin"/>
      </w:r>
      <w:r>
        <w:rPr>
          <w:rFonts w:hint="eastAsia"/>
        </w:rPr>
        <w:instrText xml:space="preserve"> </w:instrText>
      </w:r>
      <w:r>
        <w:instrText xml:space="preserve">PAGEREF _Toc236849463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38BAD329">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"_Toc236849464" </w:instrText>
      </w:r>
      <w:r>
        <w:fldChar w:fldCharType="separate"/>
      </w:r>
      <w:r>
        <w:rPr>
          <w:rStyle w:val="32"/>
          <w:rFonts w:hint="eastAsia"/>
        </w:rPr>
        <w:t>3 术语和定义</w:t>
      </w:r>
      <w:r>
        <w:rPr>
          <w:rFonts w:hint="eastAsia"/>
        </w:rPr>
        <w:tab/>
      </w:r>
      <w:r>
        <w:rPr>
          <w:rFonts w:hint="eastAsia"/>
        </w:rPr>
        <w:fldChar w:fldCharType="begin"/>
      </w:r>
      <w:r>
        <w:rPr>
          <w:rFonts w:hint="eastAsia"/>
        </w:rPr>
        <w:instrText xml:space="preserve"> </w:instrText>
      </w:r>
      <w:r>
        <w:instrText xml:space="preserve">PAGEREF _Toc236849464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7243A6A1">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"_Toc236849465" </w:instrText>
      </w:r>
      <w:r>
        <w:fldChar w:fldCharType="separate"/>
      </w:r>
      <w:r>
        <w:rPr>
          <w:rStyle w:val="32"/>
          <w:rFonts w:hint="eastAsia"/>
        </w:rPr>
        <w:t>4 分类及型号编制方法</w:t>
      </w:r>
      <w:r>
        <w:rPr>
          <w:rFonts w:hint="eastAsia"/>
        </w:rPr>
        <w:tab/>
      </w:r>
      <w:r>
        <w:rPr>
          <w:rFonts w:hint="eastAsia"/>
        </w:rPr>
        <w:fldChar w:fldCharType="begin"/>
      </w:r>
      <w:r>
        <w:rPr>
          <w:rFonts w:hint="eastAsia"/>
        </w:rPr>
        <w:instrText xml:space="preserve"> </w:instrText>
      </w:r>
      <w:r>
        <w:instrText xml:space="preserve">PAGEREF _Toc236849465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285C6D6B">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"_Toc236849466" </w:instrText>
      </w:r>
      <w:r>
        <w:fldChar w:fldCharType="separate"/>
      </w:r>
      <w:r>
        <w:rPr>
          <w:rStyle w:val="32"/>
          <w:rFonts w:hint="eastAsia"/>
          <w14:scene3d w14:prst="orthographicFront">
            <w14:lightRig w14:rig="threePt" w14:dir="t">
              <w14:rot w14:lat="0" w14:lon="0" w14:rev="0"/>
            </w14:lightRig>
          </w14:scene3d>
        </w:rPr>
        <w:t>4.1</w:t>
      </w:r>
      <w:r>
        <w:rPr>
          <w:rStyle w:val="32"/>
          <w:rFonts w:hint="eastAsia"/>
        </w:rPr>
        <w:t xml:space="preserve"> 分类方法及类型代号</w:t>
      </w:r>
      <w:r>
        <w:rPr>
          <w:rFonts w:hint="eastAsia"/>
        </w:rPr>
        <w:tab/>
      </w:r>
      <w:r>
        <w:rPr>
          <w:rFonts w:hint="eastAsia"/>
        </w:rPr>
        <w:fldChar w:fldCharType="begin"/>
      </w:r>
      <w:r>
        <w:rPr>
          <w:rFonts w:hint="eastAsia"/>
        </w:rPr>
        <w:instrText xml:space="preserve"> </w:instrText>
      </w:r>
      <w:r>
        <w:instrText xml:space="preserve">PAGEREF _Toc236849466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7CDE7051">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"_Toc236849467" </w:instrText>
      </w:r>
      <w:r>
        <w:fldChar w:fldCharType="separate"/>
      </w:r>
      <w:r>
        <w:rPr>
          <w:rStyle w:val="32"/>
          <w:rFonts w:hint="eastAsia"/>
          <w14:scene3d w14:prst="orthographicFront">
            <w14:lightRig w14:rig="threePt" w14:dir="t">
              <w14:rot w14:lat="0" w14:lon="0" w14:rev="0"/>
            </w14:lightRig>
          </w14:scene3d>
        </w:rPr>
        <w:t>4.2</w:t>
      </w:r>
      <w:r>
        <w:rPr>
          <w:rStyle w:val="32"/>
          <w:rFonts w:hint="eastAsia"/>
        </w:rPr>
        <w:t xml:space="preserve"> 型号编制方法</w:t>
      </w:r>
      <w:r>
        <w:rPr>
          <w:rFonts w:hint="eastAsia"/>
        </w:rPr>
        <w:tab/>
      </w:r>
      <w:r>
        <w:rPr>
          <w:rFonts w:hint="eastAsia"/>
        </w:rPr>
        <w:fldChar w:fldCharType="begin"/>
      </w:r>
      <w:r>
        <w:rPr>
          <w:rFonts w:hint="eastAsia"/>
        </w:rPr>
        <w:instrText xml:space="preserve"> </w:instrText>
      </w:r>
      <w:r>
        <w:instrText xml:space="preserve">PAGEREF _Toc236849467 \h</w:instrText>
      </w:r>
      <w:r>
        <w:rPr>
          <w:rFonts w:hint="eastAsia"/>
        </w:rPr>
        <w:instrText xml:space="preserve"> </w:instrText>
      </w:r>
      <w:r>
        <w:fldChar w:fldCharType="separate"/>
      </w:r>
      <w:r>
        <w:t>3</w:t>
      </w:r>
      <w:r>
        <w:rPr>
          <w:rFonts w:hint="eastAsia"/>
        </w:rPr>
        <w:fldChar w:fldCharType="end"/>
      </w:r>
      <w:r>
        <w:rPr>
          <w:rFonts w:hint="eastAsia"/>
        </w:rPr>
        <w:fldChar w:fldCharType="end"/>
      </w:r>
    </w:p>
    <w:p w14:paraId="7C87DA71">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"_Toc236849468" </w:instrText>
      </w:r>
      <w:r>
        <w:fldChar w:fldCharType="separate"/>
      </w:r>
      <w:r>
        <w:rPr>
          <w:rStyle w:val="32"/>
          <w:rFonts w:hint="eastAsia"/>
        </w:rPr>
        <w:t>5 技术要求</w:t>
      </w:r>
      <w:r>
        <w:rPr>
          <w:rFonts w:hint="eastAsia"/>
        </w:rPr>
        <w:tab/>
      </w:r>
      <w:r>
        <w:rPr>
          <w:rFonts w:hint="eastAsia"/>
        </w:rPr>
        <w:fldChar w:fldCharType="begin"/>
      </w:r>
      <w:r>
        <w:rPr>
          <w:rFonts w:hint="eastAsia"/>
        </w:rPr>
        <w:instrText xml:space="preserve"> </w:instrText>
      </w:r>
      <w:r>
        <w:instrText xml:space="preserve">PAGEREF _Toc236849468 \h</w:instrText>
      </w:r>
      <w:r>
        <w:rPr>
          <w:rFonts w:hint="eastAsia"/>
        </w:rPr>
        <w:instrText xml:space="preserve"> </w:instrText>
      </w:r>
      <w:r>
        <w:fldChar w:fldCharType="separate"/>
      </w:r>
      <w:r>
        <w:t>3</w:t>
      </w:r>
      <w:r>
        <w:rPr>
          <w:rFonts w:hint="eastAsia"/>
        </w:rPr>
        <w:fldChar w:fldCharType="end"/>
      </w:r>
      <w:r>
        <w:rPr>
          <w:rFonts w:hint="eastAsia"/>
        </w:rPr>
        <w:fldChar w:fldCharType="end"/>
      </w:r>
    </w:p>
    <w:p w14:paraId="02D42D8C">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"_Toc236849469" </w:instrText>
      </w:r>
      <w:r>
        <w:fldChar w:fldCharType="separate"/>
      </w:r>
      <w:r>
        <w:rPr>
          <w:rStyle w:val="32"/>
          <w:rFonts w:hint="eastAsia"/>
          <w14:scene3d w14:prst="orthographicFront">
            <w14:lightRig w14:rig="threePt" w14:dir="t">
              <w14:rot w14:lat="0" w14:lon="0" w14:rev="0"/>
            </w14:lightRig>
          </w14:scene3d>
        </w:rPr>
        <w:t>5.1</w:t>
      </w:r>
      <w:r>
        <w:rPr>
          <w:rStyle w:val="32"/>
          <w:rFonts w:hint="eastAsia"/>
        </w:rPr>
        <w:t xml:space="preserve"> 环境适应性</w:t>
      </w:r>
      <w:r>
        <w:rPr>
          <w:rFonts w:hint="eastAsia"/>
        </w:rPr>
        <w:tab/>
      </w:r>
      <w:r>
        <w:rPr>
          <w:rFonts w:hint="eastAsia"/>
        </w:rPr>
        <w:fldChar w:fldCharType="begin"/>
      </w:r>
      <w:r>
        <w:rPr>
          <w:rFonts w:hint="eastAsia"/>
        </w:rPr>
        <w:instrText xml:space="preserve"> </w:instrText>
      </w:r>
      <w:r>
        <w:instrText xml:space="preserve">PAGEREF _Toc236849469 \h</w:instrText>
      </w:r>
      <w:r>
        <w:rPr>
          <w:rFonts w:hint="eastAsia"/>
        </w:rPr>
        <w:instrText xml:space="preserve"> </w:instrText>
      </w:r>
      <w:r>
        <w:fldChar w:fldCharType="separate"/>
      </w:r>
      <w:r>
        <w:t>3</w:t>
      </w:r>
      <w:r>
        <w:rPr>
          <w:rFonts w:hint="eastAsia"/>
        </w:rPr>
        <w:fldChar w:fldCharType="end"/>
      </w:r>
      <w:r>
        <w:rPr>
          <w:rFonts w:hint="eastAsia"/>
        </w:rPr>
        <w:fldChar w:fldCharType="end"/>
      </w:r>
    </w:p>
    <w:p w14:paraId="20E3F727">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"_Toc236849470" </w:instrText>
      </w:r>
      <w:r>
        <w:fldChar w:fldCharType="separate"/>
      </w:r>
      <w:r>
        <w:rPr>
          <w:rStyle w:val="32"/>
          <w:rFonts w:hint="eastAsia"/>
          <w14:scene3d w14:prst="orthographicFront">
            <w14:lightRig w14:rig="threePt" w14:dir="t">
              <w14:rot w14:lat="0" w14:lon="0" w14:rev="0"/>
            </w14:lightRig>
          </w14:scene3d>
        </w:rPr>
        <w:t>5.2</w:t>
      </w:r>
      <w:r>
        <w:rPr>
          <w:rStyle w:val="32"/>
          <w:rFonts w:hint="eastAsia"/>
        </w:rPr>
        <w:t xml:space="preserve"> 外观完整性</w:t>
      </w:r>
      <w:r>
        <w:rPr>
          <w:rFonts w:hint="eastAsia"/>
        </w:rPr>
        <w:tab/>
      </w:r>
      <w:r>
        <w:rPr>
          <w:rFonts w:hint="eastAsia"/>
        </w:rPr>
        <w:fldChar w:fldCharType="begin"/>
      </w:r>
      <w:r>
        <w:rPr>
          <w:rFonts w:hint="eastAsia"/>
        </w:rPr>
        <w:instrText xml:space="preserve"> </w:instrText>
      </w:r>
      <w:r>
        <w:instrText xml:space="preserve">PAGEREF _Toc236849470 \h</w:instrText>
      </w:r>
      <w:r>
        <w:rPr>
          <w:rFonts w:hint="eastAsia"/>
        </w:rPr>
        <w:instrText xml:space="preserve"> </w:instrText>
      </w:r>
      <w:r>
        <w:fldChar w:fldCharType="separate"/>
      </w:r>
      <w:r>
        <w:t>3</w:t>
      </w:r>
      <w:r>
        <w:rPr>
          <w:rFonts w:hint="eastAsia"/>
        </w:rPr>
        <w:fldChar w:fldCharType="end"/>
      </w:r>
      <w:r>
        <w:rPr>
          <w:rFonts w:hint="eastAsia"/>
        </w:rPr>
        <w:fldChar w:fldCharType="end"/>
      </w:r>
    </w:p>
    <w:p w14:paraId="648D5BD9">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"_Toc236849471" </w:instrText>
      </w:r>
      <w:r>
        <w:fldChar w:fldCharType="separate"/>
      </w:r>
      <w:r>
        <w:rPr>
          <w:rStyle w:val="32"/>
          <w:rFonts w:hint="eastAsia"/>
          <w14:scene3d w14:prst="orthographicFront">
            <w14:lightRig w14:rig="threePt" w14:dir="t">
              <w14:rot w14:lat="0" w14:lon="0" w14:rev="0"/>
            </w14:lightRig>
          </w14:scene3d>
        </w:rPr>
        <w:t>5.3</w:t>
      </w:r>
      <w:r>
        <w:rPr>
          <w:rStyle w:val="32"/>
          <w:rFonts w:hint="eastAsia"/>
        </w:rPr>
        <w:t xml:space="preserve"> 含水率</w:t>
      </w:r>
      <w:r>
        <w:rPr>
          <w:rFonts w:hint="eastAsia"/>
        </w:rPr>
        <w:tab/>
      </w:r>
      <w:r>
        <w:rPr>
          <w:rFonts w:hint="eastAsia"/>
        </w:rPr>
        <w:fldChar w:fldCharType="begin"/>
      </w:r>
      <w:r>
        <w:rPr>
          <w:rFonts w:hint="eastAsia"/>
        </w:rPr>
        <w:instrText xml:space="preserve"> </w:instrText>
      </w:r>
      <w:r>
        <w:instrText xml:space="preserve">PAGEREF _Toc236849471 \h</w:instrText>
      </w:r>
      <w:r>
        <w:rPr>
          <w:rFonts w:hint="eastAsia"/>
        </w:rPr>
        <w:instrText xml:space="preserve"> </w:instrText>
      </w:r>
      <w:r>
        <w:fldChar w:fldCharType="separate"/>
      </w:r>
      <w:r>
        <w:t>4</w:t>
      </w:r>
      <w:r>
        <w:rPr>
          <w:rFonts w:hint="eastAsia"/>
        </w:rPr>
        <w:fldChar w:fldCharType="end"/>
      </w:r>
      <w:r>
        <w:rPr>
          <w:rFonts w:hint="eastAsia"/>
        </w:rPr>
        <w:fldChar w:fldCharType="end"/>
      </w:r>
    </w:p>
    <w:p w14:paraId="1E098C05">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"_Toc236849472" </w:instrText>
      </w:r>
      <w:r>
        <w:fldChar w:fldCharType="separate"/>
      </w:r>
      <w:r>
        <w:rPr>
          <w:rStyle w:val="32"/>
          <w:rFonts w:hint="eastAsia"/>
          <w14:scene3d w14:prst="orthographicFront">
            <w14:lightRig w14:rig="threePt" w14:dir="t">
              <w14:rot w14:lat="0" w14:lon="0" w14:rev="0"/>
            </w14:lightRig>
          </w14:scene3d>
        </w:rPr>
        <w:t>5.4</w:t>
      </w:r>
      <w:r>
        <w:rPr>
          <w:rStyle w:val="32"/>
          <w:rFonts w:hint="eastAsia"/>
        </w:rPr>
        <w:t xml:space="preserve"> 垂直探测距离</w:t>
      </w:r>
      <w:r>
        <w:rPr>
          <w:rFonts w:hint="eastAsia"/>
        </w:rPr>
        <w:tab/>
      </w:r>
      <w:r>
        <w:rPr>
          <w:rFonts w:hint="eastAsia"/>
        </w:rPr>
        <w:fldChar w:fldCharType="begin"/>
      </w:r>
      <w:r>
        <w:rPr>
          <w:rFonts w:hint="eastAsia"/>
        </w:rPr>
        <w:instrText xml:space="preserve"> </w:instrText>
      </w:r>
      <w:r>
        <w:instrText xml:space="preserve">PAGEREF _Toc236849472 \h</w:instrText>
      </w:r>
      <w:r>
        <w:rPr>
          <w:rFonts w:hint="eastAsia"/>
        </w:rPr>
        <w:instrText xml:space="preserve"> </w:instrText>
      </w:r>
      <w:r>
        <w:fldChar w:fldCharType="separate"/>
      </w:r>
      <w:r>
        <w:t>4</w:t>
      </w:r>
      <w:r>
        <w:rPr>
          <w:rFonts w:hint="eastAsia"/>
        </w:rPr>
        <w:fldChar w:fldCharType="end"/>
      </w:r>
      <w:r>
        <w:rPr>
          <w:rFonts w:hint="eastAsia"/>
        </w:rPr>
        <w:fldChar w:fldCharType="end"/>
      </w:r>
    </w:p>
    <w:p w14:paraId="6F4D5CC7">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"_Toc236849473" </w:instrText>
      </w:r>
      <w:r>
        <w:fldChar w:fldCharType="separate"/>
      </w:r>
      <w:r>
        <w:rPr>
          <w:rStyle w:val="32"/>
          <w:rFonts w:hint="eastAsia"/>
          <w14:scene3d w14:prst="orthographicFront">
            <w14:lightRig w14:rig="threePt" w14:dir="t">
              <w14:rot w14:lat="0" w14:lon="0" w14:rev="0"/>
            </w14:lightRig>
          </w14:scene3d>
        </w:rPr>
        <w:t>5.5</w:t>
      </w:r>
      <w:r>
        <w:rPr>
          <w:rStyle w:val="32"/>
          <w:rFonts w:hint="eastAsia"/>
        </w:rPr>
        <w:t xml:space="preserve"> 温度</w:t>
      </w:r>
      <w:r>
        <w:rPr>
          <w:rFonts w:hint="eastAsia"/>
        </w:rPr>
        <w:tab/>
      </w:r>
      <w:r>
        <w:rPr>
          <w:rFonts w:hint="eastAsia"/>
        </w:rPr>
        <w:fldChar w:fldCharType="begin"/>
      </w:r>
      <w:r>
        <w:rPr>
          <w:rFonts w:hint="eastAsia"/>
        </w:rPr>
        <w:instrText xml:space="preserve"> </w:instrText>
      </w:r>
      <w:r>
        <w:instrText xml:space="preserve">PAGEREF _Toc236849473 \h</w:instrText>
      </w:r>
      <w:r>
        <w:rPr>
          <w:rFonts w:hint="eastAsia"/>
        </w:rPr>
        <w:instrText xml:space="preserve"> </w:instrText>
      </w:r>
      <w:r>
        <w:fldChar w:fldCharType="separate"/>
      </w:r>
      <w:r>
        <w:t>4</w:t>
      </w:r>
      <w:r>
        <w:rPr>
          <w:rFonts w:hint="eastAsia"/>
        </w:rPr>
        <w:fldChar w:fldCharType="end"/>
      </w:r>
      <w:r>
        <w:rPr>
          <w:rFonts w:hint="eastAsia"/>
        </w:rPr>
        <w:fldChar w:fldCharType="end"/>
      </w:r>
    </w:p>
    <w:p w14:paraId="05ED2AA5">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"_Toc236849474" </w:instrText>
      </w:r>
      <w:r>
        <w:fldChar w:fldCharType="separate"/>
      </w:r>
      <w:r>
        <w:rPr>
          <w:rStyle w:val="32"/>
          <w:rFonts w:hint="eastAsia"/>
          <w14:scene3d w14:prst="orthographicFront">
            <w14:lightRig w14:rig="threePt" w14:dir="t">
              <w14:rot w14:lat="0" w14:lon="0" w14:rev="0"/>
            </w14:lightRig>
          </w14:scene3d>
        </w:rPr>
        <w:t>5.6</w:t>
      </w:r>
      <w:r>
        <w:rPr>
          <w:rStyle w:val="32"/>
          <w:rFonts w:hint="eastAsia"/>
        </w:rPr>
        <w:t xml:space="preserve"> 可靠性</w:t>
      </w:r>
      <w:r>
        <w:rPr>
          <w:rFonts w:hint="eastAsia"/>
        </w:rPr>
        <w:tab/>
      </w:r>
      <w:r>
        <w:rPr>
          <w:rFonts w:hint="eastAsia"/>
        </w:rPr>
        <w:fldChar w:fldCharType="begin"/>
      </w:r>
      <w:r>
        <w:rPr>
          <w:rFonts w:hint="eastAsia"/>
        </w:rPr>
        <w:instrText xml:space="preserve"> </w:instrText>
      </w:r>
      <w:r>
        <w:instrText xml:space="preserve">PAGEREF _Toc236849474 \h</w:instrText>
      </w:r>
      <w:r>
        <w:rPr>
          <w:rFonts w:hint="eastAsia"/>
        </w:rPr>
        <w:instrText xml:space="preserve"> </w:instrText>
      </w:r>
      <w:r>
        <w:fldChar w:fldCharType="separate"/>
      </w:r>
      <w:r>
        <w:t>4</w:t>
      </w:r>
      <w:r>
        <w:rPr>
          <w:rFonts w:hint="eastAsia"/>
        </w:rPr>
        <w:fldChar w:fldCharType="end"/>
      </w:r>
      <w:r>
        <w:rPr>
          <w:rFonts w:hint="eastAsia"/>
        </w:rPr>
        <w:fldChar w:fldCharType="end"/>
      </w:r>
    </w:p>
    <w:p w14:paraId="7689A23A">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"_Toc236849475" </w:instrText>
      </w:r>
      <w:r>
        <w:fldChar w:fldCharType="separate"/>
      </w:r>
      <w:r>
        <w:rPr>
          <w:rStyle w:val="32"/>
          <w:rFonts w:hint="eastAsia"/>
          <w14:scene3d w14:prst="orthographicFront">
            <w14:lightRig w14:rig="threePt" w14:dir="t">
              <w14:rot w14:lat="0" w14:lon="0" w14:rev="0"/>
            </w14:lightRig>
          </w14:scene3d>
        </w:rPr>
        <w:t>5.7</w:t>
      </w:r>
      <w:r>
        <w:rPr>
          <w:rStyle w:val="32"/>
          <w:rFonts w:hint="eastAsia"/>
        </w:rPr>
        <w:t xml:space="preserve"> 耐久性</w:t>
      </w:r>
      <w:r>
        <w:rPr>
          <w:rFonts w:hint="eastAsia"/>
        </w:rPr>
        <w:tab/>
      </w:r>
      <w:r>
        <w:rPr>
          <w:rFonts w:hint="eastAsia"/>
        </w:rPr>
        <w:fldChar w:fldCharType="begin"/>
      </w:r>
      <w:r>
        <w:rPr>
          <w:rFonts w:hint="eastAsia"/>
        </w:rPr>
        <w:instrText xml:space="preserve"> </w:instrText>
      </w:r>
      <w:r>
        <w:instrText xml:space="preserve">PAGEREF _Toc236849475 \h</w:instrText>
      </w:r>
      <w:r>
        <w:rPr>
          <w:rFonts w:hint="eastAsia"/>
        </w:rPr>
        <w:instrText xml:space="preserve"> </w:instrText>
      </w:r>
      <w:r>
        <w:fldChar w:fldCharType="separate"/>
      </w:r>
      <w:r>
        <w:t>4</w:t>
      </w:r>
      <w:r>
        <w:rPr>
          <w:rFonts w:hint="eastAsia"/>
        </w:rPr>
        <w:fldChar w:fldCharType="end"/>
      </w:r>
      <w:r>
        <w:rPr>
          <w:rFonts w:hint="eastAsia"/>
        </w:rPr>
        <w:fldChar w:fldCharType="end"/>
      </w:r>
    </w:p>
    <w:p w14:paraId="1921844F">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"_Toc236849476" </w:instrText>
      </w:r>
      <w:r>
        <w:fldChar w:fldCharType="separate"/>
      </w:r>
      <w:r>
        <w:rPr>
          <w:rStyle w:val="32"/>
          <w:rFonts w:hint="eastAsia"/>
          <w14:scene3d w14:prst="orthographicFront">
            <w14:lightRig w14:rig="threePt" w14:dir="t">
              <w14:rot w14:lat="0" w14:lon="0" w14:rev="0"/>
            </w14:lightRig>
          </w14:scene3d>
        </w:rPr>
        <w:t>5.8</w:t>
      </w:r>
      <w:r>
        <w:rPr>
          <w:rStyle w:val="32"/>
          <w:rFonts w:hint="eastAsia"/>
        </w:rPr>
        <w:t xml:space="preserve"> 防护等级</w:t>
      </w:r>
      <w:r>
        <w:rPr>
          <w:rFonts w:hint="eastAsia"/>
        </w:rPr>
        <w:tab/>
      </w:r>
      <w:r>
        <w:rPr>
          <w:rFonts w:hint="eastAsia"/>
        </w:rPr>
        <w:fldChar w:fldCharType="begin"/>
      </w:r>
      <w:r>
        <w:rPr>
          <w:rFonts w:hint="eastAsia"/>
        </w:rPr>
        <w:instrText xml:space="preserve"> </w:instrText>
      </w:r>
      <w:r>
        <w:instrText xml:space="preserve">PAGEREF _Toc236849476 \h</w:instrText>
      </w:r>
      <w:r>
        <w:rPr>
          <w:rFonts w:hint="eastAsia"/>
        </w:rPr>
        <w:instrText xml:space="preserve"> </w:instrText>
      </w:r>
      <w:r>
        <w:fldChar w:fldCharType="separate"/>
      </w:r>
      <w:r>
        <w:t>4</w:t>
      </w:r>
      <w:r>
        <w:rPr>
          <w:rFonts w:hint="eastAsia"/>
        </w:rPr>
        <w:fldChar w:fldCharType="end"/>
      </w:r>
      <w:r>
        <w:rPr>
          <w:rFonts w:hint="eastAsia"/>
        </w:rPr>
        <w:fldChar w:fldCharType="end"/>
      </w:r>
    </w:p>
    <w:p w14:paraId="35DD7A48">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"_Toc236849477" </w:instrText>
      </w:r>
      <w:r>
        <w:fldChar w:fldCharType="separate"/>
      </w:r>
      <w:r>
        <w:rPr>
          <w:rStyle w:val="32"/>
          <w:rFonts w:hint="eastAsia"/>
          <w14:scene3d w14:prst="orthographicFront">
            <w14:lightRig w14:rig="threePt" w14:dir="t">
              <w14:rot w14:lat="0" w14:lon="0" w14:rev="0"/>
            </w14:lightRig>
          </w14:scene3d>
        </w:rPr>
        <w:t>5.9</w:t>
      </w:r>
      <w:r>
        <w:rPr>
          <w:rStyle w:val="32"/>
          <w:rFonts w:hint="eastAsia"/>
        </w:rPr>
        <w:t xml:space="preserve"> 供电方式</w:t>
      </w:r>
      <w:r>
        <w:rPr>
          <w:rFonts w:hint="eastAsia"/>
        </w:rPr>
        <w:tab/>
      </w:r>
      <w:r>
        <w:rPr>
          <w:rFonts w:hint="eastAsia"/>
        </w:rPr>
        <w:fldChar w:fldCharType="begin"/>
      </w:r>
      <w:r>
        <w:rPr>
          <w:rFonts w:hint="eastAsia"/>
        </w:rPr>
        <w:instrText xml:space="preserve"> </w:instrText>
      </w:r>
      <w:r>
        <w:instrText xml:space="preserve">PAGEREF _Toc236849477 \h</w:instrText>
      </w:r>
      <w:r>
        <w:rPr>
          <w:rFonts w:hint="eastAsia"/>
        </w:rPr>
        <w:instrText xml:space="preserve"> </w:instrText>
      </w:r>
      <w:r>
        <w:fldChar w:fldCharType="separate"/>
      </w:r>
      <w:r>
        <w:t>4</w:t>
      </w:r>
      <w:r>
        <w:rPr>
          <w:rFonts w:hint="eastAsia"/>
        </w:rPr>
        <w:fldChar w:fldCharType="end"/>
      </w:r>
      <w:r>
        <w:rPr>
          <w:rFonts w:hint="eastAsia"/>
        </w:rPr>
        <w:fldChar w:fldCharType="end"/>
      </w:r>
    </w:p>
    <w:p w14:paraId="0CA8DCBF">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"_Toc236849478" </w:instrText>
      </w:r>
      <w:r>
        <w:fldChar w:fldCharType="separate"/>
      </w:r>
      <w:r>
        <w:rPr>
          <w:rStyle w:val="32"/>
          <w:rFonts w:hint="eastAsia"/>
        </w:rPr>
        <w:t>6 试验方法</w:t>
      </w:r>
      <w:r>
        <w:rPr>
          <w:rFonts w:hint="eastAsia"/>
        </w:rPr>
        <w:tab/>
      </w:r>
      <w:r>
        <w:rPr>
          <w:rFonts w:hint="eastAsia"/>
        </w:rPr>
        <w:fldChar w:fldCharType="begin"/>
      </w:r>
      <w:r>
        <w:rPr>
          <w:rFonts w:hint="eastAsia"/>
        </w:rPr>
        <w:instrText xml:space="preserve"> </w:instrText>
      </w:r>
      <w:r>
        <w:instrText xml:space="preserve">PAGEREF _Toc236849478 \h</w:instrText>
      </w:r>
      <w:r>
        <w:rPr>
          <w:rFonts w:hint="eastAsia"/>
        </w:rPr>
        <w:instrText xml:space="preserve"> </w:instrText>
      </w:r>
      <w:r>
        <w:fldChar w:fldCharType="separate"/>
      </w:r>
      <w:r>
        <w:t>4</w:t>
      </w:r>
      <w:r>
        <w:rPr>
          <w:rFonts w:hint="eastAsia"/>
        </w:rPr>
        <w:fldChar w:fldCharType="end"/>
      </w:r>
      <w:r>
        <w:rPr>
          <w:rFonts w:hint="eastAsia"/>
        </w:rPr>
        <w:fldChar w:fldCharType="end"/>
      </w:r>
    </w:p>
    <w:p w14:paraId="452954E4">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"_Toc236849479" </w:instrText>
      </w:r>
      <w:r>
        <w:fldChar w:fldCharType="separate"/>
      </w:r>
      <w:r>
        <w:rPr>
          <w:rStyle w:val="32"/>
          <w:rFonts w:hint="eastAsia"/>
          <w14:scene3d w14:prst="orthographicFront">
            <w14:lightRig w14:rig="threePt" w14:dir="t">
              <w14:rot w14:lat="0" w14:lon="0" w14:rev="0"/>
            </w14:lightRig>
          </w14:scene3d>
        </w:rPr>
        <w:t>6.1</w:t>
      </w:r>
      <w:r>
        <w:rPr>
          <w:rStyle w:val="32"/>
          <w:rFonts w:hint="eastAsia"/>
        </w:rPr>
        <w:t xml:space="preserve"> 探测性能</w:t>
      </w:r>
      <w:r>
        <w:rPr>
          <w:rFonts w:hint="eastAsia"/>
        </w:rPr>
        <w:tab/>
      </w:r>
      <w:r>
        <w:rPr>
          <w:rFonts w:hint="eastAsia"/>
        </w:rPr>
        <w:fldChar w:fldCharType="begin"/>
      </w:r>
      <w:r>
        <w:rPr>
          <w:rFonts w:hint="eastAsia"/>
        </w:rPr>
        <w:instrText xml:space="preserve"> </w:instrText>
      </w:r>
      <w:r>
        <w:instrText xml:space="preserve">PAGEREF _Toc236849479 \h</w:instrText>
      </w:r>
      <w:r>
        <w:rPr>
          <w:rFonts w:hint="eastAsia"/>
        </w:rPr>
        <w:instrText xml:space="preserve"> </w:instrText>
      </w:r>
      <w:r>
        <w:fldChar w:fldCharType="separate"/>
      </w:r>
      <w:r>
        <w:t>4</w:t>
      </w:r>
      <w:r>
        <w:rPr>
          <w:rFonts w:hint="eastAsia"/>
        </w:rPr>
        <w:fldChar w:fldCharType="end"/>
      </w:r>
      <w:r>
        <w:rPr>
          <w:rFonts w:hint="eastAsia"/>
        </w:rPr>
        <w:fldChar w:fldCharType="end"/>
      </w:r>
    </w:p>
    <w:p w14:paraId="5DAA8FEF">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"_Toc236849480" </w:instrText>
      </w:r>
      <w:r>
        <w:fldChar w:fldCharType="separate"/>
      </w:r>
      <w:r>
        <w:rPr>
          <w:rStyle w:val="32"/>
          <w:rFonts w:hint="eastAsia"/>
          <w14:scene3d w14:prst="orthographicFront">
            <w14:lightRig w14:rig="threePt" w14:dir="t">
              <w14:rot w14:lat="0" w14:lon="0" w14:rev="0"/>
            </w14:lightRig>
          </w14:scene3d>
        </w:rPr>
        <w:t>6.2</w:t>
      </w:r>
      <w:r>
        <w:rPr>
          <w:rStyle w:val="32"/>
          <w:rFonts w:hint="eastAsia"/>
        </w:rPr>
        <w:t xml:space="preserve"> 安全性能</w:t>
      </w:r>
      <w:r>
        <w:rPr>
          <w:rFonts w:hint="eastAsia"/>
        </w:rPr>
        <w:tab/>
      </w:r>
      <w:r>
        <w:rPr>
          <w:rFonts w:hint="eastAsia"/>
        </w:rPr>
        <w:fldChar w:fldCharType="begin"/>
      </w:r>
      <w:r>
        <w:rPr>
          <w:rFonts w:hint="eastAsia"/>
        </w:rPr>
        <w:instrText xml:space="preserve"> </w:instrText>
      </w:r>
      <w:r>
        <w:instrText xml:space="preserve">PAGEREF _Toc236849480 \h</w:instrText>
      </w:r>
      <w:r>
        <w:rPr>
          <w:rFonts w:hint="eastAsia"/>
        </w:rPr>
        <w:instrText xml:space="preserve"> </w:instrText>
      </w:r>
      <w:r>
        <w:fldChar w:fldCharType="separate"/>
      </w:r>
      <w:r>
        <w:t>6</w:t>
      </w:r>
      <w:r>
        <w:rPr>
          <w:rFonts w:hint="eastAsia"/>
        </w:rPr>
        <w:fldChar w:fldCharType="end"/>
      </w:r>
      <w:r>
        <w:rPr>
          <w:rFonts w:hint="eastAsia"/>
        </w:rPr>
        <w:fldChar w:fldCharType="end"/>
      </w:r>
    </w:p>
    <w:p w14:paraId="7360AD3F">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"_Toc236849481" </w:instrText>
      </w:r>
      <w:r>
        <w:fldChar w:fldCharType="separate"/>
      </w:r>
      <w:r>
        <w:rPr>
          <w:rStyle w:val="32"/>
          <w:rFonts w:hint="eastAsia"/>
        </w:rPr>
        <w:t>7 检验规则</w:t>
      </w:r>
      <w:r>
        <w:rPr>
          <w:rFonts w:hint="eastAsia"/>
        </w:rPr>
        <w:tab/>
      </w:r>
      <w:r>
        <w:rPr>
          <w:rFonts w:hint="eastAsia"/>
        </w:rPr>
        <w:fldChar w:fldCharType="begin"/>
      </w:r>
      <w:r>
        <w:rPr>
          <w:rFonts w:hint="eastAsia"/>
        </w:rPr>
        <w:instrText xml:space="preserve"> </w:instrText>
      </w:r>
      <w:r>
        <w:instrText xml:space="preserve">PAGEREF _Toc236849481 \h</w:instrText>
      </w:r>
      <w:r>
        <w:rPr>
          <w:rFonts w:hint="eastAsia"/>
        </w:rPr>
        <w:instrText xml:space="preserve"> </w:instrText>
      </w:r>
      <w:r>
        <w:fldChar w:fldCharType="separate"/>
      </w:r>
      <w:r>
        <w:t>6</w:t>
      </w:r>
      <w:r>
        <w:rPr>
          <w:rFonts w:hint="eastAsia"/>
        </w:rPr>
        <w:fldChar w:fldCharType="end"/>
      </w:r>
      <w:r>
        <w:rPr>
          <w:rFonts w:hint="eastAsia"/>
        </w:rPr>
        <w:fldChar w:fldCharType="end"/>
      </w:r>
    </w:p>
    <w:p w14:paraId="5EE33987">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"_Toc236849482" </w:instrText>
      </w:r>
      <w:r>
        <w:fldChar w:fldCharType="separate"/>
      </w:r>
      <w:r>
        <w:rPr>
          <w:rStyle w:val="32"/>
          <w:rFonts w:hint="eastAsia"/>
          <w14:scene3d w14:prst="orthographicFront">
            <w14:lightRig w14:rig="threePt" w14:dir="t">
              <w14:rot w14:lat="0" w14:lon="0" w14:rev="0"/>
            </w14:lightRig>
          </w14:scene3d>
        </w:rPr>
        <w:t>7.1</w:t>
      </w:r>
      <w:r>
        <w:rPr>
          <w:rStyle w:val="32"/>
          <w:rFonts w:hint="eastAsia"/>
        </w:rPr>
        <w:t xml:space="preserve"> 检验分类</w:t>
      </w:r>
      <w:r>
        <w:rPr>
          <w:rFonts w:hint="eastAsia"/>
        </w:rPr>
        <w:tab/>
      </w:r>
      <w:r>
        <w:rPr>
          <w:rFonts w:hint="eastAsia"/>
        </w:rPr>
        <w:fldChar w:fldCharType="begin"/>
      </w:r>
      <w:r>
        <w:rPr>
          <w:rFonts w:hint="eastAsia"/>
        </w:rPr>
        <w:instrText xml:space="preserve"> </w:instrText>
      </w:r>
      <w:r>
        <w:instrText xml:space="preserve">PAGEREF _Toc236849482 \h</w:instrText>
      </w:r>
      <w:r>
        <w:rPr>
          <w:rFonts w:hint="eastAsia"/>
        </w:rPr>
        <w:instrText xml:space="preserve"> </w:instrText>
      </w:r>
      <w:r>
        <w:fldChar w:fldCharType="separate"/>
      </w:r>
      <w:r>
        <w:t>6</w:t>
      </w:r>
      <w:r>
        <w:rPr>
          <w:rFonts w:hint="eastAsia"/>
        </w:rPr>
        <w:fldChar w:fldCharType="end"/>
      </w:r>
      <w:r>
        <w:rPr>
          <w:rFonts w:hint="eastAsia"/>
        </w:rPr>
        <w:fldChar w:fldCharType="end"/>
      </w:r>
    </w:p>
    <w:p w14:paraId="4E22E2C2">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"_Toc236849483" </w:instrText>
      </w:r>
      <w:r>
        <w:fldChar w:fldCharType="separate"/>
      </w:r>
      <w:r>
        <w:rPr>
          <w:rStyle w:val="32"/>
          <w:rFonts w:hint="eastAsia"/>
          <w14:scene3d w14:prst="orthographicFront">
            <w14:lightRig w14:rig="threePt" w14:dir="t">
              <w14:rot w14:lat="0" w14:lon="0" w14:rev="0"/>
            </w14:lightRig>
          </w14:scene3d>
        </w:rPr>
        <w:t>7.2</w:t>
      </w:r>
      <w:r>
        <w:rPr>
          <w:rStyle w:val="32"/>
          <w:rFonts w:hint="eastAsia"/>
        </w:rPr>
        <w:t xml:space="preserve"> 出厂检验</w:t>
      </w:r>
      <w:r>
        <w:rPr>
          <w:rFonts w:hint="eastAsia"/>
        </w:rPr>
        <w:tab/>
      </w:r>
      <w:r>
        <w:rPr>
          <w:rFonts w:hint="eastAsia"/>
        </w:rPr>
        <w:fldChar w:fldCharType="begin"/>
      </w:r>
      <w:r>
        <w:rPr>
          <w:rFonts w:hint="eastAsia"/>
        </w:rPr>
        <w:instrText xml:space="preserve"> </w:instrText>
      </w:r>
      <w:r>
        <w:instrText xml:space="preserve">PAGEREF _Toc236849483 \h</w:instrText>
      </w:r>
      <w:r>
        <w:rPr>
          <w:rFonts w:hint="eastAsia"/>
        </w:rPr>
        <w:instrText xml:space="preserve"> </w:instrText>
      </w:r>
      <w:r>
        <w:fldChar w:fldCharType="separate"/>
      </w:r>
      <w:r>
        <w:t>6</w:t>
      </w:r>
      <w:r>
        <w:rPr>
          <w:rFonts w:hint="eastAsia"/>
        </w:rPr>
        <w:fldChar w:fldCharType="end"/>
      </w:r>
      <w:r>
        <w:rPr>
          <w:rFonts w:hint="eastAsia"/>
        </w:rPr>
        <w:fldChar w:fldCharType="end"/>
      </w:r>
    </w:p>
    <w:p w14:paraId="2B6209D7">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"_Toc236849484" </w:instrText>
      </w:r>
      <w:r>
        <w:fldChar w:fldCharType="separate"/>
      </w:r>
      <w:r>
        <w:rPr>
          <w:rStyle w:val="32"/>
          <w:rFonts w:hint="eastAsia"/>
          <w14:scene3d w14:prst="orthographicFront">
            <w14:lightRig w14:rig="threePt" w14:dir="t">
              <w14:rot w14:lat="0" w14:lon="0" w14:rev="0"/>
            </w14:lightRig>
          </w14:scene3d>
        </w:rPr>
        <w:t>7.3</w:t>
      </w:r>
      <w:r>
        <w:rPr>
          <w:rStyle w:val="32"/>
          <w:rFonts w:hint="eastAsia"/>
        </w:rPr>
        <w:t xml:space="preserve"> 型式检验</w:t>
      </w:r>
      <w:r>
        <w:rPr>
          <w:rFonts w:hint="eastAsia"/>
        </w:rPr>
        <w:tab/>
      </w:r>
      <w:r>
        <w:rPr>
          <w:rFonts w:hint="eastAsia"/>
        </w:rPr>
        <w:fldChar w:fldCharType="begin"/>
      </w:r>
      <w:r>
        <w:rPr>
          <w:rFonts w:hint="eastAsia"/>
        </w:rPr>
        <w:instrText xml:space="preserve"> </w:instrText>
      </w:r>
      <w:r>
        <w:instrText xml:space="preserve">PAGEREF _Toc236849484 \h</w:instrText>
      </w:r>
      <w:r>
        <w:rPr>
          <w:rFonts w:hint="eastAsia"/>
        </w:rPr>
        <w:instrText xml:space="preserve"> </w:instrText>
      </w:r>
      <w:r>
        <w:fldChar w:fldCharType="separate"/>
      </w:r>
      <w:r>
        <w:t>6</w:t>
      </w:r>
      <w:r>
        <w:rPr>
          <w:rFonts w:hint="eastAsia"/>
        </w:rPr>
        <w:fldChar w:fldCharType="end"/>
      </w:r>
      <w:r>
        <w:rPr>
          <w:rFonts w:hint="eastAsia"/>
        </w:rPr>
        <w:fldChar w:fldCharType="end"/>
      </w:r>
    </w:p>
    <w:p w14:paraId="6B203D04">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"_Toc236849485" </w:instrText>
      </w:r>
      <w:r>
        <w:fldChar w:fldCharType="separate"/>
      </w:r>
      <w:r>
        <w:rPr>
          <w:rStyle w:val="32"/>
          <w:rFonts w:hint="eastAsia"/>
        </w:rPr>
        <w:t>8 标志、使用说明书、包装、运输和贮存</w:t>
      </w:r>
      <w:r>
        <w:rPr>
          <w:rFonts w:hint="eastAsia"/>
        </w:rPr>
        <w:tab/>
      </w:r>
      <w:r>
        <w:rPr>
          <w:rFonts w:hint="eastAsia"/>
        </w:rPr>
        <w:fldChar w:fldCharType="begin"/>
      </w:r>
      <w:r>
        <w:rPr>
          <w:rFonts w:hint="eastAsia"/>
        </w:rPr>
        <w:instrText xml:space="preserve"> </w:instrText>
      </w:r>
      <w:r>
        <w:instrText xml:space="preserve">PAGEREF _Toc236849485 \h</w:instrText>
      </w:r>
      <w:r>
        <w:rPr>
          <w:rFonts w:hint="eastAsia"/>
        </w:rPr>
        <w:instrText xml:space="preserve"> </w:instrText>
      </w:r>
      <w:r>
        <w:fldChar w:fldCharType="separate"/>
      </w:r>
      <w:r>
        <w:t>7</w:t>
      </w:r>
      <w:r>
        <w:rPr>
          <w:rFonts w:hint="eastAsia"/>
        </w:rPr>
        <w:fldChar w:fldCharType="end"/>
      </w:r>
      <w:r>
        <w:rPr>
          <w:rFonts w:hint="eastAsia"/>
        </w:rPr>
        <w:fldChar w:fldCharType="end"/>
      </w:r>
    </w:p>
    <w:p w14:paraId="4ED1C055">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"_Toc236849486" </w:instrText>
      </w:r>
      <w:r>
        <w:fldChar w:fldCharType="separate"/>
      </w:r>
      <w:r>
        <w:rPr>
          <w:rStyle w:val="32"/>
          <w:rFonts w:hint="eastAsia"/>
          <w14:scene3d w14:prst="orthographicFront">
            <w14:lightRig w14:rig="threePt" w14:dir="t">
              <w14:rot w14:lat="0" w14:lon="0" w14:rev="0"/>
            </w14:lightRig>
          </w14:scene3d>
        </w:rPr>
        <w:t>8.1</w:t>
      </w:r>
      <w:r>
        <w:rPr>
          <w:rStyle w:val="32"/>
          <w:rFonts w:hint="eastAsia"/>
        </w:rPr>
        <w:t xml:space="preserve"> 标志</w:t>
      </w:r>
      <w:r>
        <w:rPr>
          <w:rFonts w:hint="eastAsia"/>
        </w:rPr>
        <w:tab/>
      </w:r>
      <w:r>
        <w:rPr>
          <w:rFonts w:hint="eastAsia"/>
        </w:rPr>
        <w:fldChar w:fldCharType="begin"/>
      </w:r>
      <w:r>
        <w:rPr>
          <w:rFonts w:hint="eastAsia"/>
        </w:rPr>
        <w:instrText xml:space="preserve"> </w:instrText>
      </w:r>
      <w:r>
        <w:instrText xml:space="preserve">PAGEREF _Toc236849486 \h</w:instrText>
      </w:r>
      <w:r>
        <w:rPr>
          <w:rFonts w:hint="eastAsia"/>
        </w:rPr>
        <w:instrText xml:space="preserve"> </w:instrText>
      </w:r>
      <w:r>
        <w:fldChar w:fldCharType="separate"/>
      </w:r>
      <w:r>
        <w:t>7</w:t>
      </w:r>
      <w:r>
        <w:rPr>
          <w:rFonts w:hint="eastAsia"/>
        </w:rPr>
        <w:fldChar w:fldCharType="end"/>
      </w:r>
      <w:r>
        <w:rPr>
          <w:rFonts w:hint="eastAsia"/>
        </w:rPr>
        <w:fldChar w:fldCharType="end"/>
      </w:r>
    </w:p>
    <w:p w14:paraId="5FCC5CB6">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"_Toc236849487" </w:instrText>
      </w:r>
      <w:r>
        <w:fldChar w:fldCharType="separate"/>
      </w:r>
      <w:r>
        <w:rPr>
          <w:rStyle w:val="32"/>
          <w:rFonts w:hint="eastAsia"/>
          <w14:scene3d w14:prst="orthographicFront">
            <w14:lightRig w14:rig="threePt" w14:dir="t">
              <w14:rot w14:lat="0" w14:lon="0" w14:rev="0"/>
            </w14:lightRig>
          </w14:scene3d>
        </w:rPr>
        <w:t>8.2</w:t>
      </w:r>
      <w:r>
        <w:rPr>
          <w:rStyle w:val="32"/>
          <w:rFonts w:hint="eastAsia"/>
        </w:rPr>
        <w:t xml:space="preserve"> 使用说明书</w:t>
      </w:r>
      <w:r>
        <w:rPr>
          <w:rFonts w:hint="eastAsia"/>
        </w:rPr>
        <w:tab/>
      </w:r>
      <w:r>
        <w:rPr>
          <w:rFonts w:hint="eastAsia"/>
        </w:rPr>
        <w:fldChar w:fldCharType="begin"/>
      </w:r>
      <w:r>
        <w:rPr>
          <w:rFonts w:hint="eastAsia"/>
        </w:rPr>
        <w:instrText xml:space="preserve"> </w:instrText>
      </w:r>
      <w:r>
        <w:instrText xml:space="preserve">PAGEREF _Toc236849487 \h</w:instrText>
      </w:r>
      <w:r>
        <w:rPr>
          <w:rFonts w:hint="eastAsia"/>
        </w:rPr>
        <w:instrText xml:space="preserve"> </w:instrText>
      </w:r>
      <w:r>
        <w:fldChar w:fldCharType="separate"/>
      </w:r>
      <w:r>
        <w:t>7</w:t>
      </w:r>
      <w:r>
        <w:rPr>
          <w:rFonts w:hint="eastAsia"/>
        </w:rPr>
        <w:fldChar w:fldCharType="end"/>
      </w:r>
      <w:r>
        <w:rPr>
          <w:rFonts w:hint="eastAsia"/>
        </w:rPr>
        <w:fldChar w:fldCharType="end"/>
      </w:r>
    </w:p>
    <w:p w14:paraId="3E0D982C">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"_Toc236849488" </w:instrText>
      </w:r>
      <w:r>
        <w:fldChar w:fldCharType="separate"/>
      </w:r>
      <w:r>
        <w:rPr>
          <w:rStyle w:val="32"/>
          <w:rFonts w:hint="eastAsia"/>
          <w14:scene3d w14:prst="orthographicFront">
            <w14:lightRig w14:rig="threePt" w14:dir="t">
              <w14:rot w14:lat="0" w14:lon="0" w14:rev="0"/>
            </w14:lightRig>
          </w14:scene3d>
        </w:rPr>
        <w:t>8.3</w:t>
      </w:r>
      <w:r>
        <w:rPr>
          <w:rStyle w:val="32"/>
          <w:rFonts w:hint="eastAsia"/>
        </w:rPr>
        <w:t xml:space="preserve"> 包装</w:t>
      </w:r>
      <w:r>
        <w:rPr>
          <w:rFonts w:hint="eastAsia"/>
        </w:rPr>
        <w:tab/>
      </w:r>
      <w:r>
        <w:rPr>
          <w:rFonts w:hint="eastAsia"/>
        </w:rPr>
        <w:fldChar w:fldCharType="begin"/>
      </w:r>
      <w:r>
        <w:rPr>
          <w:rFonts w:hint="eastAsia"/>
        </w:rPr>
        <w:instrText xml:space="preserve"> </w:instrText>
      </w:r>
      <w:r>
        <w:instrText xml:space="preserve">PAGEREF _Toc236849488 \h</w:instrText>
      </w:r>
      <w:r>
        <w:rPr>
          <w:rFonts w:hint="eastAsia"/>
        </w:rPr>
        <w:instrText xml:space="preserve"> </w:instrText>
      </w:r>
      <w:r>
        <w:fldChar w:fldCharType="separate"/>
      </w:r>
      <w:r>
        <w:t>7</w:t>
      </w:r>
      <w:r>
        <w:rPr>
          <w:rFonts w:hint="eastAsia"/>
        </w:rPr>
        <w:fldChar w:fldCharType="end"/>
      </w:r>
      <w:r>
        <w:rPr>
          <w:rFonts w:hint="eastAsia"/>
        </w:rPr>
        <w:fldChar w:fldCharType="end"/>
      </w:r>
    </w:p>
    <w:p w14:paraId="2A939299">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"_Toc236849489" </w:instrText>
      </w:r>
      <w:r>
        <w:fldChar w:fldCharType="separate"/>
      </w:r>
      <w:r>
        <w:rPr>
          <w:rStyle w:val="32"/>
          <w:rFonts w:hint="eastAsia"/>
          <w14:scene3d w14:prst="orthographicFront">
            <w14:lightRig w14:rig="threePt" w14:dir="t">
              <w14:rot w14:lat="0" w14:lon="0" w14:rev="0"/>
            </w14:lightRig>
          </w14:scene3d>
        </w:rPr>
        <w:t>8.4</w:t>
      </w:r>
      <w:r>
        <w:rPr>
          <w:rStyle w:val="32"/>
          <w:rFonts w:hint="eastAsia"/>
        </w:rPr>
        <w:t xml:space="preserve"> 运输和贮存</w:t>
      </w:r>
      <w:r>
        <w:rPr>
          <w:rFonts w:hint="eastAsia"/>
        </w:rPr>
        <w:tab/>
      </w:r>
      <w:r>
        <w:rPr>
          <w:rFonts w:hint="eastAsia"/>
        </w:rPr>
        <w:fldChar w:fldCharType="begin"/>
      </w:r>
      <w:r>
        <w:rPr>
          <w:rFonts w:hint="eastAsia"/>
        </w:rPr>
        <w:instrText xml:space="preserve"> </w:instrText>
      </w:r>
      <w:r>
        <w:instrText xml:space="preserve">PAGEREF _Toc236849489 \h</w:instrText>
      </w:r>
      <w:r>
        <w:rPr>
          <w:rFonts w:hint="eastAsia"/>
        </w:rPr>
        <w:instrText xml:space="preserve"> </w:instrText>
      </w:r>
      <w:r>
        <w:fldChar w:fldCharType="separate"/>
      </w:r>
      <w:r>
        <w:t>7</w:t>
      </w:r>
      <w:r>
        <w:rPr>
          <w:rFonts w:hint="eastAsia"/>
        </w:rPr>
        <w:fldChar w:fldCharType="end"/>
      </w:r>
      <w:r>
        <w:rPr>
          <w:rFonts w:hint="eastAsia"/>
        </w:rPr>
        <w:fldChar w:fldCharType="end"/>
      </w:r>
    </w:p>
    <w:p w14:paraId="7A6BBD69">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"_Toc236849490" </w:instrText>
      </w:r>
      <w:r>
        <w:fldChar w:fldCharType="separate"/>
      </w:r>
      <w:r>
        <w:rPr>
          <w:rStyle w:val="32"/>
          <w:rFonts w:hint="eastAsia"/>
          <w:spacing w:val="100"/>
        </w:rPr>
        <w:t>附录A</w:t>
      </w:r>
      <w:r>
        <w:rPr>
          <w:rStyle w:val="32"/>
          <w:rFonts w:hint="eastAsia"/>
        </w:rPr>
        <w:t xml:space="preserve"> （资料性） 传感器结构示意图</w:t>
      </w:r>
      <w:r>
        <w:rPr>
          <w:rFonts w:hint="eastAsia"/>
        </w:rPr>
        <w:tab/>
      </w:r>
      <w:r>
        <w:rPr>
          <w:rFonts w:hint="eastAsia"/>
        </w:rPr>
        <w:fldChar w:fldCharType="begin"/>
      </w:r>
      <w:r>
        <w:rPr>
          <w:rFonts w:hint="eastAsia"/>
        </w:rPr>
        <w:instrText xml:space="preserve"> </w:instrText>
      </w:r>
      <w:r>
        <w:instrText xml:space="preserve">PAGEREF _Toc236849490 \h</w:instrText>
      </w:r>
      <w:r>
        <w:rPr>
          <w:rFonts w:hint="eastAsia"/>
        </w:rPr>
        <w:instrText xml:space="preserve"> </w:instrText>
      </w:r>
      <w:r>
        <w:fldChar w:fldCharType="separate"/>
      </w:r>
      <w:r>
        <w:t>8</w:t>
      </w:r>
      <w:r>
        <w:rPr>
          <w:rFonts w:hint="eastAsia"/>
        </w:rPr>
        <w:fldChar w:fldCharType="end"/>
      </w:r>
      <w:r>
        <w:rPr>
          <w:rFonts w:hint="eastAsia"/>
        </w:rPr>
        <w:fldChar w:fldCharType="end"/>
      </w:r>
    </w:p>
    <w:p w14:paraId="124E7070">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"_Toc236849491" </w:instrText>
      </w:r>
      <w:r>
        <w:fldChar w:fldCharType="separate"/>
      </w:r>
      <w:r>
        <w:rPr>
          <w:rStyle w:val="32"/>
          <w:rFonts w:hint="eastAsia"/>
          <w:spacing w:val="100"/>
        </w:rPr>
        <w:t>附录B</w:t>
      </w:r>
      <w:r>
        <w:rPr>
          <w:rStyle w:val="32"/>
          <w:rFonts w:hint="eastAsia"/>
        </w:rPr>
        <w:t xml:space="preserve"> （规范性） 可燃物样品编号表</w:t>
      </w:r>
      <w:r>
        <w:rPr>
          <w:rFonts w:hint="eastAsia"/>
        </w:rPr>
        <w:tab/>
      </w:r>
      <w:r>
        <w:rPr>
          <w:rFonts w:hint="eastAsia"/>
        </w:rPr>
        <w:fldChar w:fldCharType="begin"/>
      </w:r>
      <w:r>
        <w:rPr>
          <w:rFonts w:hint="eastAsia"/>
        </w:rPr>
        <w:instrText xml:space="preserve"> </w:instrText>
      </w:r>
      <w:r>
        <w:instrText xml:space="preserve">PAGEREF _Toc236849491 \h</w:instrText>
      </w:r>
      <w:r>
        <w:rPr>
          <w:rFonts w:hint="eastAsia"/>
        </w:rPr>
        <w:instrText xml:space="preserve"> </w:instrText>
      </w:r>
      <w:r>
        <w:fldChar w:fldCharType="separate"/>
      </w:r>
      <w:r>
        <w:t>9</w:t>
      </w:r>
      <w:r>
        <w:rPr>
          <w:rFonts w:hint="eastAsia"/>
        </w:rPr>
        <w:fldChar w:fldCharType="end"/>
      </w:r>
      <w:r>
        <w:rPr>
          <w:rFonts w:hint="eastAsia"/>
        </w:rPr>
        <w:fldChar w:fldCharType="end"/>
      </w:r>
    </w:p>
    <w:p w14:paraId="0C0059F9">
      <w:pPr>
        <w:pStyle w:val="91"/>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2"/>
    <w:p w14:paraId="0B937727">
      <w:pPr>
        <w:pStyle w:val="89"/>
        <w:spacing w:before="900" w:after="360"/>
      </w:pPr>
      <w:bookmarkStart w:id="23" w:name="_Toc236849461"/>
      <w:bookmarkStart w:id="24" w:name="BookMark2"/>
      <w:r>
        <w:rPr>
          <w:spacing w:val="320"/>
        </w:rPr>
        <w:t>前</w:t>
      </w:r>
      <w:r>
        <w:t>言</w:t>
      </w:r>
      <w:bookmarkEnd w:id="23"/>
    </w:p>
    <w:p w14:paraId="728AE53D">
      <w:pPr>
        <w:pStyle w:val="56"/>
        <w:ind w:firstLine="420"/>
      </w:pPr>
      <w:r>
        <w:rPr>
          <w:rFonts w:hint="eastAsia"/>
        </w:rPr>
        <w:t>本文件按照GB/T 1.1—2020《标准化工作导则  第1部分：标准化文件的结构和起草规则》的规定起草。</w:t>
      </w:r>
      <w:bookmarkStart w:id="79" w:name="_GoBack"/>
      <w:bookmarkEnd w:id="79"/>
    </w:p>
    <w:p w14:paraId="628D1A74">
      <w:pPr>
        <w:pStyle w:val="56"/>
        <w:ind w:firstLine="420"/>
      </w:pPr>
      <w:r>
        <w:rPr>
          <w:rFonts w:hint="eastAsia"/>
        </w:rPr>
        <w:t>请注意本文件的某些内容可能涉及专利。本文件的发布机构不承担识别这些专利的责任。</w:t>
      </w:r>
    </w:p>
    <w:p w14:paraId="0E101FD1">
      <w:pPr>
        <w:pStyle w:val="56"/>
        <w:ind w:firstLine="420"/>
      </w:pPr>
      <w:r>
        <w:rPr>
          <w:rFonts w:hint="eastAsia"/>
        </w:rPr>
        <w:t>本文件由中国林学会提出并归口。</w:t>
      </w:r>
    </w:p>
    <w:p w14:paraId="0BD2B5FA">
      <w:pPr>
        <w:pStyle w:val="56"/>
        <w:ind w:firstLine="420"/>
      </w:pPr>
      <w:r>
        <w:rPr>
          <w:rFonts w:hint="eastAsia"/>
        </w:rPr>
        <w:t>本文件起草单位：中国消防救援学院、北京雨根科技有限公司、中国铁塔股份有限公司、重庆兴联合消防科技有限责任公司、北京市西山试验林场。</w:t>
      </w:r>
    </w:p>
    <w:p w14:paraId="762CA18E">
      <w:pPr>
        <w:pStyle w:val="56"/>
        <w:ind w:firstLine="420"/>
        <w:rPr>
          <w:rFonts w:hint="eastAsia" w:eastAsia="宋体"/>
          <w:lang w:eastAsia="zh-CN"/>
        </w:rPr>
      </w:pPr>
      <w:r>
        <w:rPr>
          <w:rFonts w:hint="eastAsia"/>
        </w:rPr>
        <w:t>本文件主要起草人：李明</w:t>
      </w:r>
      <w:r>
        <w:rPr>
          <w:rFonts w:hint="eastAsia"/>
          <w:lang w:eastAsia="zh-CN"/>
        </w:rPr>
        <w:t>、</w:t>
      </w:r>
      <w:r>
        <w:rPr>
          <w:rFonts w:hint="eastAsia"/>
        </w:rPr>
        <w:t>郝慎思</w:t>
      </w:r>
      <w:r>
        <w:rPr>
          <w:rFonts w:hint="eastAsia"/>
          <w:lang w:eastAsia="zh-CN"/>
        </w:rPr>
        <w:t>、</w:t>
      </w:r>
      <w:r>
        <w:rPr>
          <w:rFonts w:hint="eastAsia"/>
        </w:rPr>
        <w:t>刘东阳</w:t>
      </w:r>
      <w:r>
        <w:rPr>
          <w:rFonts w:hint="eastAsia"/>
          <w:lang w:eastAsia="zh-CN"/>
        </w:rPr>
        <w:t>、</w:t>
      </w:r>
      <w:r>
        <w:rPr>
          <w:rFonts w:hint="eastAsia"/>
        </w:rPr>
        <w:t>黄勇彬</w:t>
      </w:r>
      <w:r>
        <w:rPr>
          <w:rFonts w:hint="eastAsia"/>
          <w:lang w:eastAsia="zh-CN"/>
        </w:rPr>
        <w:t>、</w:t>
      </w:r>
      <w:r>
        <w:rPr>
          <w:rFonts w:hint="eastAsia"/>
        </w:rPr>
        <w:t>杨全</w:t>
      </w:r>
      <w:r>
        <w:rPr>
          <w:rFonts w:hint="eastAsia"/>
          <w:lang w:eastAsia="zh-CN"/>
        </w:rPr>
        <w:t>、</w:t>
      </w:r>
      <w:r>
        <w:rPr>
          <w:rFonts w:hint="eastAsia"/>
        </w:rPr>
        <w:t>郑宁</w:t>
      </w:r>
      <w:r>
        <w:rPr>
          <w:rFonts w:hint="eastAsia"/>
          <w:lang w:eastAsia="zh-CN"/>
        </w:rPr>
        <w:t>。</w:t>
      </w:r>
    </w:p>
    <w:p w14:paraId="6F110599">
      <w:pPr>
        <w:pStyle w:val="56"/>
        <w:ind w:firstLine="420"/>
      </w:pPr>
      <w:r>
        <w:rPr>
          <w:rFonts w:hint="eastAsia"/>
        </w:rPr>
        <w:t>本文件为首次发布。</w:t>
      </w:r>
    </w:p>
    <w:p w14:paraId="4BDD1D46">
      <w:pPr>
        <w:pStyle w:val="56"/>
        <w:ind w:firstLine="420"/>
      </w:pPr>
    </w:p>
    <w:p w14:paraId="792EC136">
      <w:pPr>
        <w:pStyle w:val="56"/>
        <w:ind w:firstLine="420"/>
        <w:sectPr>
          <w:pgSz w:w="11906" w:h="16838"/>
          <w:pgMar w:top="1928" w:right="1134" w:bottom="1134" w:left="1134" w:header="1418" w:footer="1134" w:gutter="284"/>
          <w:pgNumType w:fmt="upperRoman"/>
          <w:cols w:space="425" w:num="1"/>
          <w:formProt w:val="0"/>
          <w:docGrid w:linePitch="312" w:charSpace="0"/>
        </w:sectPr>
      </w:pPr>
    </w:p>
    <w:bookmarkEnd w:id="24"/>
    <w:p w14:paraId="4C2AE431">
      <w:pPr>
        <w:spacing w:line="20" w:lineRule="exact"/>
        <w:jc w:val="center"/>
        <w:rPr>
          <w:rFonts w:hint="eastAsia" w:ascii="黑体" w:hAnsi="黑体" w:eastAsia="黑体"/>
          <w:sz w:val="32"/>
          <w:szCs w:val="32"/>
        </w:rPr>
      </w:pPr>
      <w:bookmarkStart w:id="25" w:name="BookMark4"/>
    </w:p>
    <w:p w14:paraId="24810724">
      <w:pPr>
        <w:spacing w:line="20" w:lineRule="exact"/>
        <w:jc w:val="center"/>
        <w:rPr>
          <w:rFonts w:hint="eastAsia" w:ascii="黑体" w:hAnsi="黑体" w:eastAsia="黑体"/>
          <w:sz w:val="32"/>
          <w:szCs w:val="32"/>
        </w:rPr>
      </w:pPr>
    </w:p>
    <w:sdt>
      <w:sdtPr>
        <w:tag w:val="NEW_STAND_NAME"/>
        <w:id w:val="595910757"/>
        <w:lock w:val="sdtLocked"/>
        <w:placeholder>
          <w:docPart w:val="633BFC1212124E64A74B6C6192E10F6A"/>
        </w:placeholder>
      </w:sdtPr>
      <w:sdtContent>
        <w:p w14:paraId="04FBB3AB">
          <w:pPr>
            <w:pStyle w:val="177"/>
            <w:spacing w:before="240" w:beforeLines="100" w:after="528" w:afterLines="220"/>
            <w:rPr>
              <w:rFonts w:hint="eastAsia"/>
            </w:rPr>
          </w:pPr>
          <w:bookmarkStart w:id="26" w:name="NEW_STAND_NAME"/>
          <w:r>
            <w:rPr>
              <w:rFonts w:hint="eastAsia"/>
            </w:rPr>
            <w:t>森林可燃物含水率传感器</w:t>
          </w:r>
        </w:p>
      </w:sdtContent>
    </w:sdt>
    <w:bookmarkEnd w:id="26"/>
    <w:p w14:paraId="47285474">
      <w:pPr>
        <w:pStyle w:val="104"/>
        <w:spacing w:before="240" w:after="240"/>
      </w:pPr>
      <w:bookmarkStart w:id="27" w:name="_Toc17233333"/>
      <w:bookmarkStart w:id="28" w:name="_Toc26648465"/>
      <w:bookmarkStart w:id="29" w:name="_Toc24884211"/>
      <w:bookmarkStart w:id="30" w:name="_Toc17233325"/>
      <w:bookmarkStart w:id="31" w:name="_Toc236849462"/>
      <w:bookmarkStart w:id="32" w:name="_Toc26986771"/>
      <w:bookmarkStart w:id="33" w:name="_Toc97192964"/>
      <w:bookmarkStart w:id="34" w:name="_Toc24884218"/>
      <w:bookmarkStart w:id="35" w:name="_Toc26986530"/>
      <w:bookmarkStart w:id="36" w:name="_Toc26718930"/>
      <w:r>
        <w:rPr>
          <w:rFonts w:hint="eastAsia"/>
        </w:rPr>
        <w:t>范围</w:t>
      </w:r>
      <w:bookmarkEnd w:id="27"/>
      <w:bookmarkEnd w:id="28"/>
      <w:bookmarkEnd w:id="29"/>
      <w:bookmarkEnd w:id="30"/>
      <w:bookmarkEnd w:id="31"/>
      <w:bookmarkEnd w:id="32"/>
      <w:bookmarkEnd w:id="33"/>
      <w:bookmarkEnd w:id="34"/>
      <w:bookmarkEnd w:id="35"/>
      <w:bookmarkEnd w:id="36"/>
    </w:p>
    <w:p w14:paraId="1EDA0331">
      <w:pPr>
        <w:pStyle w:val="56"/>
        <w:ind w:firstLine="420"/>
      </w:pPr>
      <w:bookmarkStart w:id="37" w:name="_Toc24884212"/>
      <w:bookmarkStart w:id="38" w:name="_Toc26648466"/>
      <w:bookmarkStart w:id="39" w:name="_Toc17233326"/>
      <w:bookmarkStart w:id="40" w:name="_Toc17233334"/>
      <w:bookmarkStart w:id="41" w:name="_Toc24884219"/>
      <w:r>
        <w:rPr>
          <w:rFonts w:hint="eastAsia"/>
        </w:rPr>
        <w:t>本文件规定了森林可燃物含水率传感器（以下简称“传感器”）的术语和定义、分类及型号编制方法、技术要求、试验方法、检验规则、标志、使用说明书、包装、运输和贮存等内容。</w:t>
      </w:r>
    </w:p>
    <w:p w14:paraId="62348D02">
      <w:pPr>
        <w:pStyle w:val="56"/>
        <w:ind w:firstLine="420"/>
      </w:pPr>
      <w:r>
        <w:rPr>
          <w:rFonts w:hint="eastAsia"/>
        </w:rPr>
        <w:t>本文件适用于测定森林中地表凋落物和细小可燃物含水率的传感器，其他类型传感器可参照执行。</w:t>
      </w:r>
    </w:p>
    <w:p w14:paraId="41FFB8F8">
      <w:pPr>
        <w:pStyle w:val="104"/>
        <w:spacing w:before="240" w:after="240"/>
      </w:pPr>
      <w:bookmarkStart w:id="42" w:name="_Toc26718931"/>
      <w:bookmarkStart w:id="43" w:name="_Toc26986531"/>
      <w:bookmarkStart w:id="44" w:name="_Toc236849463"/>
      <w:bookmarkStart w:id="45" w:name="_Toc26986772"/>
      <w:bookmarkStart w:id="46" w:name="_Toc97192965"/>
      <w:r>
        <w:rPr>
          <w:rFonts w:hint="eastAsia"/>
        </w:rPr>
        <w:t>规范性引用文件</w:t>
      </w:r>
      <w:bookmarkEnd w:id="37"/>
      <w:bookmarkEnd w:id="38"/>
      <w:bookmarkEnd w:id="39"/>
      <w:bookmarkEnd w:id="40"/>
      <w:bookmarkEnd w:id="41"/>
      <w:bookmarkEnd w:id="42"/>
      <w:bookmarkEnd w:id="43"/>
      <w:bookmarkEnd w:id="44"/>
      <w:bookmarkEnd w:id="45"/>
      <w:bookmarkEnd w:id="46"/>
    </w:p>
    <w:sdt>
      <w:sdtPr>
        <w:rPr>
          <w:rFonts w:hint="eastAsia"/>
        </w:rPr>
        <w:id w:val="715848253"/>
        <w:placeholder>
          <w:docPart w:val="B0E262AB316F4DE89438CD413524DE49"/>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0A67D80A">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A767C40">
      <w:pPr>
        <w:pStyle w:val="56"/>
        <w:ind w:firstLine="420"/>
      </w:pPr>
      <w:r>
        <w:rPr>
          <w:rFonts w:hint="eastAsia"/>
        </w:rPr>
        <w:t>GB/T 191  包装储运图示标志</w:t>
      </w:r>
    </w:p>
    <w:p w14:paraId="31EC2E90">
      <w:pPr>
        <w:pStyle w:val="56"/>
        <w:ind w:firstLine="420"/>
      </w:pPr>
      <w:r>
        <w:rPr>
          <w:rFonts w:hint="eastAsia"/>
        </w:rPr>
        <w:t>GB</w:t>
      </w:r>
      <w:r>
        <w:t>/</w:t>
      </w:r>
      <w:r>
        <w:rPr>
          <w:rFonts w:hint="eastAsia"/>
        </w:rPr>
        <w:t>T</w:t>
      </w:r>
      <w:r>
        <w:t xml:space="preserve"> </w:t>
      </w:r>
      <w:r>
        <w:rPr>
          <w:rFonts w:hint="eastAsia"/>
        </w:rPr>
        <w:t>2421</w:t>
      </w:r>
      <w:r>
        <w:t xml:space="preserve">  </w:t>
      </w:r>
      <w:r>
        <w:rPr>
          <w:rFonts w:hint="eastAsia"/>
        </w:rPr>
        <w:t>环境试验 概述和指南</w:t>
      </w:r>
    </w:p>
    <w:p w14:paraId="68B55C13">
      <w:pPr>
        <w:pStyle w:val="56"/>
        <w:ind w:firstLine="420"/>
      </w:pPr>
      <w:r>
        <w:rPr>
          <w:rFonts w:hint="eastAsia"/>
        </w:rPr>
        <w:t>GB/T 2423.60</w:t>
      </w:r>
      <w:r>
        <w:t>-2008</w:t>
      </w:r>
      <w:r>
        <w:rPr>
          <w:rFonts w:hint="eastAsia"/>
        </w:rPr>
        <w:t xml:space="preserve">  电工电子产品环境试验 第2部分：试验方法 试验U：引出端及整体安装件强度</w:t>
      </w:r>
    </w:p>
    <w:p w14:paraId="29B0A4D0">
      <w:pPr>
        <w:pStyle w:val="56"/>
        <w:ind w:firstLine="420"/>
      </w:pPr>
      <w:r>
        <w:rPr>
          <w:rFonts w:hint="eastAsia"/>
        </w:rPr>
        <w:t>GB</w:t>
      </w:r>
      <w:r>
        <w:t xml:space="preserve"> 4208  </w:t>
      </w:r>
      <w:r>
        <w:rPr>
          <w:rFonts w:hint="eastAsia"/>
        </w:rPr>
        <w:t>外壳防护等级（IP代码）</w:t>
      </w:r>
    </w:p>
    <w:p w14:paraId="7799866B">
      <w:pPr>
        <w:pStyle w:val="56"/>
        <w:ind w:firstLine="420"/>
      </w:pPr>
      <w:r>
        <w:rPr>
          <w:rFonts w:hint="eastAsia"/>
        </w:rPr>
        <w:t>GB/T 5296.1  消费品使用说明 第1部分：总则</w:t>
      </w:r>
    </w:p>
    <w:p w14:paraId="68123E0C">
      <w:pPr>
        <w:pStyle w:val="56"/>
        <w:ind w:firstLine="420"/>
      </w:pPr>
      <w:r>
        <w:rPr>
          <w:rFonts w:hint="eastAsia"/>
        </w:rPr>
        <w:t>GB/T 6388  运输包装收发货标志</w:t>
      </w:r>
    </w:p>
    <w:p w14:paraId="1C22B626">
      <w:pPr>
        <w:pStyle w:val="56"/>
        <w:ind w:firstLine="420"/>
      </w:pPr>
      <w:r>
        <w:rPr>
          <w:rFonts w:hint="eastAsia"/>
        </w:rPr>
        <w:t>GB</w:t>
      </w:r>
      <w:r>
        <w:t>/</w:t>
      </w:r>
      <w:r>
        <w:rPr>
          <w:rFonts w:hint="eastAsia"/>
        </w:rPr>
        <w:t>T</w:t>
      </w:r>
      <w:r>
        <w:t xml:space="preserve"> 10111  </w:t>
      </w:r>
      <w:r>
        <w:rPr>
          <w:rFonts w:hint="eastAsia"/>
        </w:rPr>
        <w:t>随机数的产生及其在产品质量抽样检验中的应用程序</w:t>
      </w:r>
    </w:p>
    <w:p w14:paraId="7023003F">
      <w:pPr>
        <w:pStyle w:val="56"/>
        <w:ind w:firstLine="420"/>
      </w:pPr>
      <w:r>
        <w:rPr>
          <w:rFonts w:hint="eastAsia"/>
        </w:rPr>
        <w:t>GB 12978</w:t>
      </w:r>
      <w:r>
        <w:t xml:space="preserve">  </w:t>
      </w:r>
      <w:r>
        <w:rPr>
          <w:rFonts w:hint="eastAsia"/>
        </w:rPr>
        <w:t>消防电子产品检验规则</w:t>
      </w:r>
    </w:p>
    <w:p w14:paraId="1EC6F280">
      <w:pPr>
        <w:pStyle w:val="56"/>
        <w:ind w:firstLine="420"/>
      </w:pPr>
      <w:r>
        <w:rPr>
          <w:rFonts w:hint="eastAsia"/>
        </w:rPr>
        <w:t>GB/T 13384  机电产品包装通用技术条件</w:t>
      </w:r>
    </w:p>
    <w:p w14:paraId="16717C68">
      <w:pPr>
        <w:pStyle w:val="56"/>
        <w:ind w:firstLine="420"/>
      </w:pPr>
      <w:r>
        <w:rPr>
          <w:rFonts w:hint="eastAsia"/>
        </w:rPr>
        <w:t>GB/T</w:t>
      </w:r>
      <w:r>
        <w:t xml:space="preserve"> 15768-1995  </w:t>
      </w:r>
      <w:r>
        <w:rPr>
          <w:rFonts w:hint="eastAsia"/>
        </w:rPr>
        <w:t>电容式湿敏元件与湿度传感器总规范</w:t>
      </w:r>
    </w:p>
    <w:p w14:paraId="6EFB787A">
      <w:pPr>
        <w:pStyle w:val="56"/>
        <w:ind w:firstLine="420"/>
      </w:pPr>
      <w:r>
        <w:rPr>
          <w:rFonts w:hint="eastAsia"/>
        </w:rPr>
        <w:t>GB/T 16838-2021  消防电子产品环境试验方法及严酷等级</w:t>
      </w:r>
    </w:p>
    <w:p w14:paraId="31CBF64A">
      <w:pPr>
        <w:pStyle w:val="56"/>
        <w:ind w:firstLine="420"/>
      </w:pPr>
      <w:r>
        <w:t>GB/T 45955</w:t>
      </w:r>
      <w:r>
        <w:rPr>
          <w:rFonts w:hint="eastAsia"/>
        </w:rPr>
        <w:t xml:space="preserve">  气象仪器设备性能测试方法 温度</w:t>
      </w:r>
    </w:p>
    <w:p w14:paraId="02D340B3">
      <w:pPr>
        <w:pStyle w:val="56"/>
        <w:ind w:firstLine="420"/>
      </w:pPr>
      <w:r>
        <w:t xml:space="preserve">LY/T 1211  </w:t>
      </w:r>
      <w:r>
        <w:rPr>
          <w:rFonts w:hint="eastAsia"/>
        </w:rPr>
        <w:t>森林植物（包括森林枯枝落叶层）样品的采集与制备</w:t>
      </w:r>
    </w:p>
    <w:p w14:paraId="4E3A03CA">
      <w:pPr>
        <w:pStyle w:val="56"/>
        <w:ind w:firstLine="420"/>
      </w:pPr>
      <w:r>
        <w:rPr>
          <w:rFonts w:hint="eastAsia"/>
        </w:rPr>
        <w:t>LY</w:t>
      </w:r>
      <w:r>
        <w:t>/</w:t>
      </w:r>
      <w:r>
        <w:rPr>
          <w:rFonts w:hint="eastAsia"/>
        </w:rPr>
        <w:t>T</w:t>
      </w:r>
      <w:r>
        <w:t xml:space="preserve"> 2013-2012  </w:t>
      </w:r>
      <w:r>
        <w:rPr>
          <w:rFonts w:hint="eastAsia"/>
        </w:rPr>
        <w:t>森林可燃物的测定</w:t>
      </w:r>
    </w:p>
    <w:p w14:paraId="48142789">
      <w:pPr>
        <w:pStyle w:val="56"/>
        <w:ind w:firstLine="420"/>
      </w:pPr>
      <w:r>
        <w:rPr>
          <w:rFonts w:hint="eastAsia"/>
        </w:rPr>
        <w:t>LY</w:t>
      </w:r>
      <w:r>
        <w:t>/</w:t>
      </w:r>
      <w:r>
        <w:rPr>
          <w:rFonts w:hint="eastAsia"/>
        </w:rPr>
        <w:t>T</w:t>
      </w:r>
      <w:r>
        <w:t xml:space="preserve"> 2665-2016  </w:t>
      </w:r>
      <w:r>
        <w:rPr>
          <w:rFonts w:hint="eastAsia"/>
        </w:rPr>
        <w:t>森林火险因子采集站建设及采集技术规范</w:t>
      </w:r>
    </w:p>
    <w:p w14:paraId="0AC32C37">
      <w:pPr>
        <w:pStyle w:val="104"/>
        <w:spacing w:before="240" w:after="240"/>
      </w:pPr>
      <w:bookmarkStart w:id="47" w:name="_Toc236849464"/>
      <w:bookmarkStart w:id="48" w:name="_Toc97192966"/>
      <w:r>
        <w:rPr>
          <w:rFonts w:hint="eastAsia"/>
          <w:szCs w:val="21"/>
        </w:rPr>
        <w:t>术语和定义</w:t>
      </w:r>
      <w:bookmarkEnd w:id="47"/>
      <w:bookmarkEnd w:id="48"/>
    </w:p>
    <w:sdt>
      <w:sdtPr>
        <w:id w:val="-1"/>
        <w:placeholder>
          <w:docPart w:val="8503BF8E805A43358664D4C769BEA78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7C83F4B9">
          <w:pPr>
            <w:pStyle w:val="56"/>
            <w:ind w:firstLine="420"/>
          </w:pPr>
          <w:bookmarkStart w:id="49" w:name="_Toc26986532"/>
          <w:bookmarkEnd w:id="49"/>
          <w:r>
            <w:t>下列术语和定义适用于本文件。</w:t>
          </w:r>
        </w:p>
      </w:sdtContent>
    </w:sdt>
    <w:p w14:paraId="3B53DE46">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森林可燃物 </w:t>
      </w:r>
      <w:r>
        <w:rPr>
          <w:rFonts w:ascii="黑体" w:hAnsi="黑体" w:eastAsia="黑体"/>
        </w:rPr>
        <w:t xml:space="preserve"> </w:t>
      </w:r>
      <w:r>
        <w:rPr>
          <w:rFonts w:hint="eastAsia" w:ascii="黑体" w:hAnsi="黑体" w:eastAsia="黑体"/>
        </w:rPr>
        <w:t>forest</w:t>
      </w:r>
      <w:r>
        <w:rPr>
          <w:rFonts w:ascii="黑体" w:hAnsi="黑体" w:eastAsia="黑体"/>
        </w:rPr>
        <w:t xml:space="preserve"> </w:t>
      </w:r>
      <w:r>
        <w:rPr>
          <w:rFonts w:hint="eastAsia" w:ascii="黑体" w:hAnsi="黑体" w:eastAsia="黑体"/>
        </w:rPr>
        <w:t>fuel</w:t>
      </w:r>
    </w:p>
    <w:p w14:paraId="48F61C3E">
      <w:pPr>
        <w:pStyle w:val="56"/>
        <w:ind w:firstLine="420"/>
      </w:pPr>
      <w:r>
        <w:rPr>
          <w:rFonts w:hint="eastAsia"/>
        </w:rPr>
        <w:t>森林中能够燃烧的有机物质，包括地表植被、凋落物、腐殖质等。以下简称“可燃物”。</w:t>
      </w:r>
    </w:p>
    <w:p w14:paraId="1C5C7C6A">
      <w:pPr>
        <w:pStyle w:val="179"/>
      </w:pPr>
      <w:r>
        <w:rPr>
          <w:rFonts w:hint="eastAsia"/>
        </w:rPr>
        <w:t>根据森林可燃物的直径大小和失水速率将其分为</w:t>
      </w:r>
      <w:r>
        <w:t>1</w:t>
      </w:r>
      <w:r>
        <w:rPr>
          <w:rFonts w:hint="eastAsia"/>
        </w:rPr>
        <w:t>h时滞可燃物、10h时滞可燃物、100h时滞可燃物和1000时滞可燃物。</w:t>
      </w:r>
    </w:p>
    <w:p w14:paraId="601E5FDE">
      <w:pPr>
        <w:pStyle w:val="56"/>
        <w:ind w:firstLine="420"/>
      </w:pPr>
      <w:r>
        <w:rPr>
          <w:rFonts w:hint="eastAsia"/>
        </w:rPr>
        <w:t>[来源：LY</w:t>
      </w:r>
      <w:r>
        <w:t>/</w:t>
      </w:r>
      <w:r>
        <w:rPr>
          <w:rFonts w:hint="eastAsia"/>
        </w:rPr>
        <w:t>T</w:t>
      </w:r>
      <w:r>
        <w:t xml:space="preserve"> 2013-2012</w:t>
      </w:r>
      <w:r>
        <w:rPr>
          <w:rFonts w:hint="eastAsia"/>
        </w:rPr>
        <w:t>，3</w:t>
      </w:r>
      <w:r>
        <w:t>.1</w:t>
      </w:r>
      <w:r>
        <w:rPr>
          <w:rFonts w:hint="eastAsia"/>
        </w:rPr>
        <w:t>，有修改]</w:t>
      </w:r>
    </w:p>
    <w:p w14:paraId="09B75E6E">
      <w:pPr>
        <w:pStyle w:val="224"/>
        <w:ind w:left="420" w:hanging="420" w:hangingChars="200"/>
        <w:rPr>
          <w:rFonts w:hint="eastAsia" w:ascii="黑体" w:hAnsi="黑体" w:eastAsia="黑体"/>
        </w:rPr>
      </w:pPr>
      <w:r>
        <w:rPr>
          <w:rFonts w:ascii="黑体" w:hAnsi="黑体" w:eastAsia="黑体"/>
        </w:rPr>
        <w:br w:type="textWrapping"/>
      </w:r>
      <w:r>
        <w:rPr>
          <w:rFonts w:ascii="黑体" w:hAnsi="黑体" w:eastAsia="黑体"/>
        </w:rPr>
        <w:t>1</w:t>
      </w:r>
      <w:r>
        <w:rPr>
          <w:rFonts w:hint="eastAsia" w:ascii="黑体" w:hAnsi="黑体" w:eastAsia="黑体"/>
        </w:rPr>
        <w:t xml:space="preserve">h时滞可燃物 </w:t>
      </w:r>
      <w:r>
        <w:rPr>
          <w:rFonts w:ascii="黑体" w:hAnsi="黑体" w:eastAsia="黑体"/>
        </w:rPr>
        <w:t>1-hour time-lag fuel</w:t>
      </w:r>
    </w:p>
    <w:p w14:paraId="5FDE04AB">
      <w:pPr>
        <w:pStyle w:val="56"/>
        <w:ind w:firstLine="420"/>
      </w:pPr>
      <w:r>
        <w:rPr>
          <w:rFonts w:hint="eastAsia"/>
        </w:rPr>
        <w:t>直径小于0.6 cm的森林可燃物。</w:t>
      </w:r>
    </w:p>
    <w:p w14:paraId="3ECCF360">
      <w:pPr>
        <w:pStyle w:val="224"/>
        <w:ind w:left="420" w:hanging="420" w:hangingChars="200"/>
        <w:rPr>
          <w:rFonts w:hint="eastAsia" w:ascii="黑体" w:hAnsi="黑体" w:eastAsia="黑体"/>
        </w:rPr>
      </w:pPr>
      <w:r>
        <w:rPr>
          <w:rFonts w:ascii="黑体" w:hAnsi="黑体" w:eastAsia="黑体"/>
        </w:rPr>
        <w:br w:type="textWrapping"/>
      </w:r>
      <w:r>
        <w:rPr>
          <w:rFonts w:ascii="黑体" w:hAnsi="黑体" w:eastAsia="黑体"/>
        </w:rPr>
        <w:t>10</w:t>
      </w:r>
      <w:r>
        <w:rPr>
          <w:rFonts w:hint="eastAsia" w:ascii="黑体" w:hAnsi="黑体" w:eastAsia="黑体"/>
        </w:rPr>
        <w:t xml:space="preserve">h时滞可燃物 </w:t>
      </w:r>
      <w:r>
        <w:rPr>
          <w:rFonts w:ascii="黑体" w:hAnsi="黑体" w:eastAsia="黑体"/>
        </w:rPr>
        <w:t>10-hour time-lag fuel</w:t>
      </w:r>
    </w:p>
    <w:p w14:paraId="135DC5AD">
      <w:pPr>
        <w:pStyle w:val="56"/>
        <w:ind w:firstLine="420"/>
      </w:pPr>
      <w:r>
        <w:rPr>
          <w:rFonts w:hint="eastAsia"/>
        </w:rPr>
        <w:t>直径在0.6-2.5 cm之间的森林可燃物。</w:t>
      </w:r>
    </w:p>
    <w:p w14:paraId="7AEE61A4">
      <w:pPr>
        <w:pStyle w:val="224"/>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森林可燃物含水率 </w:t>
      </w:r>
      <w:r>
        <w:rPr>
          <w:rFonts w:ascii="黑体" w:hAnsi="黑体" w:eastAsia="黑体"/>
        </w:rPr>
        <w:t xml:space="preserve"> </w:t>
      </w:r>
      <w:r>
        <w:rPr>
          <w:rFonts w:hint="eastAsia" w:ascii="黑体" w:hAnsi="黑体" w:eastAsia="黑体"/>
        </w:rPr>
        <w:t>forest</w:t>
      </w:r>
      <w:r>
        <w:rPr>
          <w:rFonts w:ascii="黑体" w:hAnsi="黑体" w:eastAsia="黑体"/>
        </w:rPr>
        <w:t xml:space="preserve"> </w:t>
      </w:r>
      <w:r>
        <w:rPr>
          <w:rFonts w:hint="eastAsia" w:ascii="黑体" w:hAnsi="黑体" w:eastAsia="黑体"/>
        </w:rPr>
        <w:t>fuel</w:t>
      </w:r>
      <w:r>
        <w:rPr>
          <w:rFonts w:ascii="黑体" w:hAnsi="黑体" w:eastAsia="黑体"/>
        </w:rPr>
        <w:t xml:space="preserve"> </w:t>
      </w:r>
      <w:r>
        <w:rPr>
          <w:rFonts w:hint="eastAsia" w:ascii="黑体" w:hAnsi="黑体" w:eastAsia="黑体"/>
        </w:rPr>
        <w:t>moisture</w:t>
      </w:r>
      <w:r>
        <w:rPr>
          <w:rFonts w:ascii="黑体" w:hAnsi="黑体" w:eastAsia="黑体"/>
        </w:rPr>
        <w:t xml:space="preserve"> </w:t>
      </w:r>
      <w:r>
        <w:rPr>
          <w:rFonts w:hint="eastAsia" w:ascii="黑体" w:hAnsi="黑体" w:eastAsia="黑体"/>
        </w:rPr>
        <w:t>content</w:t>
      </w:r>
    </w:p>
    <w:p w14:paraId="5B9CF8C3">
      <w:pPr>
        <w:pStyle w:val="56"/>
        <w:ind w:firstLine="420"/>
      </w:pPr>
      <w:r>
        <w:rPr>
          <w:rFonts w:hint="eastAsia"/>
        </w:rPr>
        <w:t>森林可燃物的水分含量，即可燃物所含水分质量与可燃物绝干质量之比，单位用%RH表示。也作“森林可燃物绝对含水率”，以下简称“含水率”。</w:t>
      </w:r>
    </w:p>
    <w:p w14:paraId="1CEF9DB3">
      <w:pPr>
        <w:pStyle w:val="56"/>
        <w:ind w:firstLine="420"/>
      </w:pPr>
      <w:r>
        <w:rPr>
          <w:rFonts w:hint="eastAsia"/>
        </w:rPr>
        <w:t>[来源：LY</w:t>
      </w:r>
      <w:r>
        <w:t>/</w:t>
      </w:r>
      <w:r>
        <w:rPr>
          <w:rFonts w:hint="eastAsia"/>
        </w:rPr>
        <w:t>T</w:t>
      </w:r>
      <w:r>
        <w:t xml:space="preserve"> 2013-2012</w:t>
      </w:r>
      <w:r>
        <w:rPr>
          <w:rFonts w:hint="eastAsia"/>
        </w:rPr>
        <w:t>，3</w:t>
      </w:r>
      <w:r>
        <w:t>.4</w:t>
      </w:r>
      <w:r>
        <w:rPr>
          <w:rFonts w:hint="eastAsia"/>
        </w:rPr>
        <w:t>，有修改]</w:t>
      </w:r>
    </w:p>
    <w:p w14:paraId="2E0FB248">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含水率传感器 </w:t>
      </w:r>
      <w:r>
        <w:rPr>
          <w:rFonts w:ascii="黑体" w:hAnsi="黑体" w:eastAsia="黑体"/>
        </w:rPr>
        <w:t xml:space="preserve"> moisture content sensor</w:t>
      </w:r>
    </w:p>
    <w:p w14:paraId="433533BA">
      <w:pPr>
        <w:pStyle w:val="56"/>
        <w:ind w:firstLine="420"/>
      </w:pPr>
      <w:r>
        <w:rPr>
          <w:rFonts w:hint="eastAsia"/>
        </w:rPr>
        <w:t>即森林可燃物含水率传感器，能够通过特定技术手段对森林可燃物含水进行测定并输出相关数据信号的电子器件或装置。以下简称“传感器”。</w:t>
      </w:r>
    </w:p>
    <w:p w14:paraId="54BD45FB">
      <w:pPr>
        <w:pStyle w:val="224"/>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地表凋落物含水率传感器 </w:t>
      </w:r>
      <w:r>
        <w:rPr>
          <w:rFonts w:ascii="黑体" w:hAnsi="黑体" w:eastAsia="黑体"/>
        </w:rPr>
        <w:t xml:space="preserve"> surface litter moisture content sensor</w:t>
      </w:r>
    </w:p>
    <w:p w14:paraId="4F3FC31C">
      <w:pPr>
        <w:pStyle w:val="56"/>
        <w:ind w:firstLine="420"/>
      </w:pPr>
      <w:r>
        <w:rPr>
          <w:rFonts w:hint="eastAsia" w:ascii="Times New Roman"/>
        </w:rPr>
        <w:t>用于采集1h时滞可燃物含水率和土壤腐殖质含水率的</w:t>
      </w:r>
      <w:r>
        <w:rPr>
          <w:rFonts w:hint="eastAsia"/>
        </w:rPr>
        <w:t>电子器件或装置。以下简称“地表凋落物传感器”。</w:t>
      </w:r>
    </w:p>
    <w:p w14:paraId="700E0F5A">
      <w:pPr>
        <w:pStyle w:val="179"/>
      </w:pPr>
      <w:r>
        <w:rPr>
          <w:rFonts w:hint="eastAsia"/>
        </w:rPr>
        <w:t>该类传感器一般为管状，也称“管式传感器”，结构示意图见附录A。</w:t>
      </w:r>
    </w:p>
    <w:p w14:paraId="0E781B29">
      <w:pPr>
        <w:pStyle w:val="224"/>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细小可燃物含水率传感器 </w:t>
      </w:r>
      <w:r>
        <w:rPr>
          <w:rFonts w:ascii="黑体" w:hAnsi="黑体" w:eastAsia="黑体"/>
        </w:rPr>
        <w:t xml:space="preserve"> fine fuel moisture content sensor</w:t>
      </w:r>
    </w:p>
    <w:p w14:paraId="313BC2C4">
      <w:pPr>
        <w:pStyle w:val="56"/>
        <w:ind w:firstLine="420"/>
        <w:rPr>
          <w:rFonts w:ascii="Times New Roman"/>
        </w:rPr>
      </w:pPr>
      <w:r>
        <w:rPr>
          <w:rFonts w:hint="eastAsia" w:ascii="Times New Roman"/>
        </w:rPr>
        <w:t>配合温度传感器使用的，用于采集1</w:t>
      </w:r>
      <w:r>
        <w:rPr>
          <w:rFonts w:ascii="Times New Roman"/>
        </w:rPr>
        <w:t>0</w:t>
      </w:r>
      <w:r>
        <w:rPr>
          <w:rFonts w:hint="eastAsia" w:ascii="Times New Roman"/>
        </w:rPr>
        <w:t>h时滞可燃物含水率的</w:t>
      </w:r>
      <w:r>
        <w:rPr>
          <w:rFonts w:hint="eastAsia"/>
        </w:rPr>
        <w:t>电子器件或装置。</w:t>
      </w:r>
      <w:r>
        <w:rPr>
          <w:rFonts w:hint="eastAsia" w:ascii="Times New Roman"/>
        </w:rPr>
        <w:t>以下简称“细小可燃物传感器”。</w:t>
      </w:r>
    </w:p>
    <w:p w14:paraId="3DEB67B6">
      <w:pPr>
        <w:pStyle w:val="179"/>
      </w:pPr>
      <w:r>
        <w:rPr>
          <w:rFonts w:hint="eastAsia"/>
        </w:rPr>
        <w:t>该类传感器一般为棒状，也称“棒式传感器”，结构示意图见附录A。</w:t>
      </w:r>
    </w:p>
    <w:p w14:paraId="792CDC40">
      <w:pPr>
        <w:pStyle w:val="224"/>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可燃物湿度棒 fuel</w:t>
      </w:r>
      <w:r>
        <w:rPr>
          <w:rFonts w:ascii="黑体" w:hAnsi="黑体" w:eastAsia="黑体"/>
        </w:rPr>
        <w:t xml:space="preserve"> </w:t>
      </w:r>
      <w:r>
        <w:rPr>
          <w:rFonts w:hint="eastAsia" w:ascii="黑体" w:hAnsi="黑体" w:eastAsia="黑体"/>
        </w:rPr>
        <w:t>moisture</w:t>
      </w:r>
      <w:r>
        <w:rPr>
          <w:rFonts w:ascii="黑体" w:hAnsi="黑体" w:eastAsia="黑体"/>
        </w:rPr>
        <w:t xml:space="preserve"> </w:t>
      </w:r>
      <w:r>
        <w:rPr>
          <w:rFonts w:hint="eastAsia" w:ascii="黑体" w:hAnsi="黑体" w:eastAsia="黑体"/>
        </w:rPr>
        <w:t>stick</w:t>
      </w:r>
    </w:p>
    <w:p w14:paraId="08AEB242">
      <w:pPr>
        <w:pStyle w:val="56"/>
        <w:ind w:firstLine="420"/>
      </w:pPr>
      <w:r>
        <w:rPr>
          <w:rFonts w:hint="eastAsia"/>
        </w:rPr>
        <w:t>由当地优势树种枝条制成、绝干质量不超过100g，通过称重可获得自身含水率后用于推算其他森林可燃物含水率的细长木棒。</w:t>
      </w:r>
    </w:p>
    <w:p w14:paraId="3FB21E8C">
      <w:pPr>
        <w:pStyle w:val="56"/>
        <w:ind w:firstLine="420"/>
      </w:pPr>
      <w:r>
        <w:rPr>
          <w:rFonts w:hint="eastAsia"/>
        </w:rPr>
        <w:t>[来源：LY</w:t>
      </w:r>
      <w:r>
        <w:t>/</w:t>
      </w:r>
      <w:r>
        <w:rPr>
          <w:rFonts w:hint="eastAsia"/>
        </w:rPr>
        <w:t>T</w:t>
      </w:r>
      <w:r>
        <w:t xml:space="preserve"> 2665-2016</w:t>
      </w:r>
      <w:r>
        <w:rPr>
          <w:rFonts w:hint="eastAsia"/>
        </w:rPr>
        <w:t>，2</w:t>
      </w:r>
      <w:r>
        <w:t>.7</w:t>
      </w:r>
      <w:r>
        <w:rPr>
          <w:rFonts w:hint="eastAsia"/>
        </w:rPr>
        <w:t>]</w:t>
      </w:r>
    </w:p>
    <w:p w14:paraId="2C5DD067">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量程 </w:t>
      </w:r>
      <w:r>
        <w:rPr>
          <w:rFonts w:ascii="黑体" w:hAnsi="黑体" w:eastAsia="黑体"/>
        </w:rPr>
        <w:t xml:space="preserve"> measuring </w:t>
      </w:r>
      <w:r>
        <w:rPr>
          <w:rFonts w:hint="eastAsia" w:ascii="黑体" w:hAnsi="黑体" w:eastAsia="黑体"/>
        </w:rPr>
        <w:t>range</w:t>
      </w:r>
    </w:p>
    <w:p w14:paraId="504832F2">
      <w:pPr>
        <w:pStyle w:val="56"/>
        <w:ind w:firstLine="420"/>
      </w:pPr>
      <w:r>
        <w:rPr>
          <w:rFonts w:hint="eastAsia"/>
        </w:rPr>
        <w:t>传感器感知含水率（或温度）的范围。</w:t>
      </w:r>
    </w:p>
    <w:p w14:paraId="415F84E6">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精度 </w:t>
      </w:r>
      <w:r>
        <w:rPr>
          <w:rFonts w:ascii="黑体" w:hAnsi="黑体" w:eastAsia="黑体"/>
        </w:rPr>
        <w:t xml:space="preserve"> accuracy</w:t>
      </w:r>
    </w:p>
    <w:p w14:paraId="44B5B159">
      <w:pPr>
        <w:pStyle w:val="56"/>
        <w:ind w:firstLine="420"/>
      </w:pPr>
      <w:r>
        <w:rPr>
          <w:rFonts w:hint="eastAsia"/>
        </w:rPr>
        <w:t>在一定的环境条件下，传感器的实测值与规定值之间允许的最大偏差，用%RH表示。</w:t>
      </w:r>
    </w:p>
    <w:p w14:paraId="2B95A1AC">
      <w:pPr>
        <w:pStyle w:val="179"/>
      </w:pPr>
      <w:r>
        <w:rPr>
          <w:rFonts w:hint="eastAsia"/>
        </w:rPr>
        <w:t>当传感器在不同含水率区间的精度存在差异时，各区间精度的最大值为称“最低精度”。</w:t>
      </w:r>
    </w:p>
    <w:p w14:paraId="7E00FAAF">
      <w:pPr>
        <w:pStyle w:val="223"/>
        <w:ind w:left="420" w:hanging="420" w:hangingChars="200"/>
        <w:rPr>
          <w:rFonts w:hint="eastAsia" w:ascii="黑体" w:hAnsi="黑体" w:eastAsia="黑体"/>
        </w:rPr>
      </w:pPr>
      <w:r>
        <w:rPr>
          <w:highlight w:val="yellow"/>
        </w:rPr>
        <w:br w:type="textWrapping"/>
      </w:r>
      <w:r>
        <w:rPr>
          <w:rFonts w:hint="eastAsia" w:ascii="黑体" w:hAnsi="黑体" w:eastAsia="黑体"/>
        </w:rPr>
        <w:t xml:space="preserve">重复性 </w:t>
      </w:r>
      <w:r>
        <w:rPr>
          <w:rFonts w:ascii="黑体" w:hAnsi="黑体" w:eastAsia="黑体"/>
        </w:rPr>
        <w:t xml:space="preserve"> </w:t>
      </w:r>
      <w:r>
        <w:rPr>
          <w:rFonts w:hint="eastAsia" w:ascii="黑体" w:hAnsi="黑体" w:eastAsia="黑体"/>
        </w:rPr>
        <w:t>r</w:t>
      </w:r>
      <w:r>
        <w:rPr>
          <w:rFonts w:ascii="黑体" w:hAnsi="黑体" w:eastAsia="黑体"/>
        </w:rPr>
        <w:t>epeatability</w:t>
      </w:r>
    </w:p>
    <w:p w14:paraId="50096A6F">
      <w:pPr>
        <w:pStyle w:val="56"/>
        <w:ind w:firstLine="420"/>
      </w:pPr>
      <w:r>
        <w:rPr>
          <w:rFonts w:hint="eastAsia"/>
        </w:rPr>
        <w:t>跃变试验时，传感器对应同一含水率试样的实测值不重合现象的差值。用不重合度(%RH)表示。</w:t>
      </w:r>
    </w:p>
    <w:p w14:paraId="5B5F79BA">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响应时间 </w:t>
      </w:r>
      <w:r>
        <w:rPr>
          <w:rFonts w:ascii="黑体" w:hAnsi="黑体" w:eastAsia="黑体"/>
        </w:rPr>
        <w:t xml:space="preserve"> </w:t>
      </w:r>
      <w:r>
        <w:rPr>
          <w:rFonts w:hint="eastAsia" w:ascii="黑体" w:hAnsi="黑体" w:eastAsia="黑体"/>
        </w:rPr>
        <w:t>response</w:t>
      </w:r>
      <w:r>
        <w:rPr>
          <w:rFonts w:ascii="黑体" w:hAnsi="黑体" w:eastAsia="黑体"/>
        </w:rPr>
        <w:t xml:space="preserve"> </w:t>
      </w:r>
      <w:r>
        <w:rPr>
          <w:rFonts w:hint="eastAsia" w:ascii="黑体" w:hAnsi="黑体" w:eastAsia="黑体"/>
        </w:rPr>
        <w:t>time</w:t>
      </w:r>
    </w:p>
    <w:p w14:paraId="010FA990">
      <w:pPr>
        <w:pStyle w:val="56"/>
        <w:ind w:firstLine="420"/>
      </w:pPr>
      <w:r>
        <w:rPr>
          <w:rFonts w:hint="eastAsia"/>
        </w:rPr>
        <w:t>跃变试验时，传感器的实测值达到含水率变化量的规定比例（如6</w:t>
      </w:r>
      <w:r>
        <w:t>0%</w:t>
      </w:r>
      <w:r>
        <w:rPr>
          <w:rFonts w:hint="eastAsia"/>
        </w:rPr>
        <w:t>，9</w:t>
      </w:r>
      <w:r>
        <w:t>0%</w:t>
      </w:r>
      <w:r>
        <w:rPr>
          <w:rFonts w:hint="eastAsia"/>
        </w:rPr>
        <w:t>等）所需要的时间。</w:t>
      </w:r>
    </w:p>
    <w:p w14:paraId="66DC0EEE">
      <w:pPr>
        <w:pStyle w:val="56"/>
        <w:ind w:firstLine="420"/>
      </w:pPr>
      <w:r>
        <w:rPr>
          <w:rFonts w:hint="eastAsia"/>
        </w:rPr>
        <w:t>[来源：GB/T</w:t>
      </w:r>
      <w:r>
        <w:t xml:space="preserve"> 15768-1995</w:t>
      </w:r>
      <w:r>
        <w:rPr>
          <w:rFonts w:hint="eastAsia"/>
        </w:rPr>
        <w:t>，</w:t>
      </w:r>
      <w:r>
        <w:t>4.18</w:t>
      </w:r>
      <w:r>
        <w:rPr>
          <w:rFonts w:hint="eastAsia"/>
        </w:rPr>
        <w:t>，有修改]</w:t>
      </w:r>
    </w:p>
    <w:p w14:paraId="2EEE22C6">
      <w:pPr>
        <w:pStyle w:val="104"/>
        <w:spacing w:before="240" w:after="240"/>
      </w:pPr>
      <w:bookmarkStart w:id="50" w:name="_Toc236849465"/>
      <w:r>
        <w:rPr>
          <w:rFonts w:hint="eastAsia"/>
        </w:rPr>
        <w:t>分类及型号编制方法</w:t>
      </w:r>
      <w:bookmarkEnd w:id="50"/>
    </w:p>
    <w:p w14:paraId="63033F4E">
      <w:pPr>
        <w:pStyle w:val="105"/>
        <w:spacing w:before="120" w:after="120"/>
      </w:pPr>
      <w:bookmarkStart w:id="51" w:name="_Toc236849466"/>
      <w:r>
        <w:rPr>
          <w:rFonts w:hint="eastAsia"/>
        </w:rPr>
        <w:t>分类方法及类型代号</w:t>
      </w:r>
      <w:bookmarkEnd w:id="51"/>
    </w:p>
    <w:p w14:paraId="7C8281C3">
      <w:pPr>
        <w:pStyle w:val="165"/>
      </w:pPr>
      <w:r>
        <w:rPr>
          <w:rFonts w:hint="eastAsia"/>
        </w:rPr>
        <w:t>按照测量对象分为：</w:t>
      </w:r>
    </w:p>
    <w:p w14:paraId="762DD157">
      <w:pPr>
        <w:pStyle w:val="174"/>
      </w:pPr>
      <w:r>
        <w:rPr>
          <w:rFonts w:hint="eastAsia"/>
        </w:rPr>
        <w:t>地表凋落物传感器（D）；</w:t>
      </w:r>
    </w:p>
    <w:p w14:paraId="133F1E9F">
      <w:pPr>
        <w:pStyle w:val="174"/>
      </w:pPr>
      <w:r>
        <w:rPr>
          <w:rFonts w:hint="eastAsia"/>
        </w:rPr>
        <w:t>细小可燃物传感器（X）。</w:t>
      </w:r>
    </w:p>
    <w:p w14:paraId="4002C2E7">
      <w:pPr>
        <w:pStyle w:val="165"/>
      </w:pPr>
      <w:r>
        <w:rPr>
          <w:rFonts w:hint="eastAsia"/>
        </w:rPr>
        <w:t>按照设备外形分为：</w:t>
      </w:r>
    </w:p>
    <w:p w14:paraId="0CE71B6D">
      <w:pPr>
        <w:pStyle w:val="174"/>
        <w:numPr>
          <w:ilvl w:val="0"/>
          <w:numId w:val="32"/>
        </w:numPr>
      </w:pPr>
      <w:r>
        <w:rPr>
          <w:rFonts w:hint="eastAsia"/>
        </w:rPr>
        <w:t>管式传感器（G）；</w:t>
      </w:r>
    </w:p>
    <w:p w14:paraId="72C791E6">
      <w:pPr>
        <w:pStyle w:val="174"/>
      </w:pPr>
      <w:r>
        <w:rPr>
          <w:rFonts w:hint="eastAsia"/>
        </w:rPr>
        <w:t>棒式传感器（B）。</w:t>
      </w:r>
    </w:p>
    <w:p w14:paraId="5658796B">
      <w:pPr>
        <w:pStyle w:val="165"/>
      </w:pPr>
      <w:r>
        <w:rPr>
          <w:rFonts w:hint="eastAsia"/>
        </w:rPr>
        <w:t>按照工作方式分为：</w:t>
      </w:r>
    </w:p>
    <w:p w14:paraId="20706BBC">
      <w:pPr>
        <w:pStyle w:val="174"/>
        <w:numPr>
          <w:ilvl w:val="0"/>
          <w:numId w:val="33"/>
        </w:numPr>
      </w:pPr>
      <w:r>
        <w:rPr>
          <w:rFonts w:hint="eastAsia"/>
        </w:rPr>
        <w:t>系统式传感器（SYS）；</w:t>
      </w:r>
    </w:p>
    <w:p w14:paraId="01B1895C">
      <w:pPr>
        <w:pStyle w:val="174"/>
      </w:pPr>
      <w:r>
        <w:rPr>
          <w:rFonts w:hint="eastAsia"/>
        </w:rPr>
        <w:t>独立式传感器（STA）。</w:t>
      </w:r>
    </w:p>
    <w:p w14:paraId="09268CC6">
      <w:pPr>
        <w:pStyle w:val="165"/>
      </w:pPr>
      <w:r>
        <w:rPr>
          <w:rFonts w:hint="eastAsia"/>
        </w:rPr>
        <w:t>按照探测原理分为：</w:t>
      </w:r>
    </w:p>
    <w:p w14:paraId="383C665D">
      <w:pPr>
        <w:pStyle w:val="174"/>
        <w:numPr>
          <w:ilvl w:val="0"/>
          <w:numId w:val="34"/>
        </w:numPr>
      </w:pPr>
      <w:r>
        <w:rPr>
          <w:rFonts w:hint="eastAsia"/>
        </w:rPr>
        <w:t>频域反射式传感器（</w:t>
      </w:r>
      <w:r>
        <w:t>FDR</w:t>
      </w:r>
      <w:r>
        <w:rPr>
          <w:rFonts w:hint="eastAsia"/>
        </w:rPr>
        <w:t>）；</w:t>
      </w:r>
    </w:p>
    <w:p w14:paraId="587D9996">
      <w:pPr>
        <w:pStyle w:val="174"/>
      </w:pPr>
      <w:r>
        <w:rPr>
          <w:rFonts w:hint="eastAsia"/>
        </w:rPr>
        <w:t>时域反射式传感器（TDR）；</w:t>
      </w:r>
    </w:p>
    <w:p w14:paraId="74FE7E68">
      <w:pPr>
        <w:pStyle w:val="174"/>
      </w:pPr>
      <w:r>
        <w:rPr>
          <w:rFonts w:hint="eastAsia"/>
        </w:rPr>
        <w:t>混合式传感器（MIX）。</w:t>
      </w:r>
    </w:p>
    <w:p w14:paraId="31927AE1">
      <w:pPr>
        <w:pStyle w:val="105"/>
        <w:spacing w:before="120" w:after="120"/>
      </w:pPr>
      <w:bookmarkStart w:id="52" w:name="_Toc236849467"/>
      <w:r>
        <w:rPr>
          <w:rFonts w:hint="eastAsia"/>
        </w:rPr>
        <w:t>型号编制方法</w:t>
      </w:r>
      <w:bookmarkEnd w:id="52"/>
    </w:p>
    <w:p w14:paraId="69DC85C3">
      <w:pPr>
        <w:pStyle w:val="165"/>
      </w:pPr>
      <w:r>
        <w:rPr>
          <w:rFonts w:hint="eastAsia"/>
        </w:rPr>
        <w:t>传感器产品型号代码应由企业代号、产品名称代号、产品主参数代号、产品类型代号、设计序列代号和变形序列代号组成，其表示方法如图1所示。</w:t>
      </w:r>
    </w:p>
    <w:p w14:paraId="270856B5">
      <w:pPr>
        <w:pStyle w:val="56"/>
        <w:ind w:firstLine="0" w:firstLineChars="0"/>
        <w:jc w:val="center"/>
      </w:pPr>
      <w:r>
        <w:drawing>
          <wp:inline distT="0" distB="0" distL="0" distR="0">
            <wp:extent cx="5676900" cy="2696210"/>
            <wp:effectExtent l="0" t="0" r="0" b="8890"/>
            <wp:docPr id="3162468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46869" name="图片 1"/>
                    <pic:cNvPicPr>
                      <a:picLocks noChangeAspect="1"/>
                    </pic:cNvPicPr>
                  </pic:nvPicPr>
                  <pic:blipFill>
                    <a:blip r:embed="rId17"/>
                    <a:stretch>
                      <a:fillRect/>
                    </a:stretch>
                  </pic:blipFill>
                  <pic:spPr>
                    <a:xfrm>
                      <a:off x="0" y="0"/>
                      <a:ext cx="5724792" cy="2719185"/>
                    </a:xfrm>
                    <a:prstGeom prst="rect">
                      <a:avLst/>
                    </a:prstGeom>
                  </pic:spPr>
                </pic:pic>
              </a:graphicData>
            </a:graphic>
          </wp:inline>
        </w:drawing>
      </w:r>
    </w:p>
    <w:p w14:paraId="5D7C4E1A">
      <w:pPr>
        <w:pStyle w:val="114"/>
        <w:spacing w:before="120" w:after="120"/>
      </w:pPr>
      <w:r>
        <w:rPr>
          <w:rFonts w:hint="eastAsia"/>
        </w:rPr>
        <w:t>产品型号组成</w:t>
      </w:r>
    </w:p>
    <w:p w14:paraId="4A8F40BD">
      <w:pPr>
        <w:pStyle w:val="165"/>
      </w:pPr>
      <w:r>
        <w:rPr>
          <w:rFonts w:hint="eastAsia"/>
        </w:rPr>
        <w:t>传感器的产品主要参数应包括最大量程和最低精度，取整数部分（单位均为%）表示。</w:t>
      </w:r>
    </w:p>
    <w:p w14:paraId="1A76B37C">
      <w:pPr>
        <w:pStyle w:val="183"/>
        <w:ind w:left="0"/>
      </w:pPr>
      <w:r>
        <w:t>**MCS</w:t>
      </w:r>
      <w:r>
        <w:rPr>
          <w:rFonts w:hint="eastAsia"/>
        </w:rPr>
        <w:t>（</w:t>
      </w:r>
      <w:r>
        <w:t>80/5</w:t>
      </w:r>
      <w:r>
        <w:rPr>
          <w:rFonts w:hint="eastAsia"/>
        </w:rPr>
        <w:t>）B</w:t>
      </w:r>
      <w:r>
        <w:t>-1</w:t>
      </w:r>
      <w:r>
        <w:rPr>
          <w:rFonts w:hint="eastAsia"/>
        </w:rPr>
        <w:t>A</w:t>
      </w:r>
      <w:r>
        <w:rPr>
          <w:rFonts w:hint="eastAsia" w:ascii="黑体" w:hAnsi="黑体" w:eastAsia="黑体"/>
        </w:rPr>
        <w:t>——</w:t>
      </w:r>
      <w:r>
        <w:rPr>
          <w:rFonts w:hint="eastAsia"/>
        </w:rPr>
        <w:t>表示*</w:t>
      </w:r>
      <w:r>
        <w:t>*</w:t>
      </w:r>
      <w:r>
        <w:rPr>
          <w:rFonts w:hint="eastAsia"/>
        </w:rPr>
        <w:t>公司制造、最大量程为</w:t>
      </w:r>
      <w:r>
        <w:t>80%</w:t>
      </w:r>
      <w:r>
        <w:rPr>
          <w:rFonts w:hint="eastAsia"/>
        </w:rPr>
        <w:t>RH、量程内精度均优于5</w:t>
      </w:r>
      <w:r>
        <w:t>%</w:t>
      </w:r>
      <w:r>
        <w:rPr>
          <w:rFonts w:hint="eastAsia"/>
        </w:rPr>
        <w:t>RH、首次设计、第一次重大结构或外形改进的棒式传感器。</w:t>
      </w:r>
    </w:p>
    <w:p w14:paraId="666B2816">
      <w:pPr>
        <w:pStyle w:val="183"/>
        <w:ind w:left="0"/>
      </w:pPr>
      <w:r>
        <w:rPr>
          <w:rFonts w:hint="eastAsia"/>
        </w:rPr>
        <w:t>RR</w:t>
      </w:r>
      <w:r>
        <w:t>MCS</w:t>
      </w:r>
      <w:r>
        <w:rPr>
          <w:rFonts w:hint="eastAsia"/>
        </w:rPr>
        <w:t>（</w:t>
      </w:r>
      <w:r>
        <w:t>100/3</w:t>
      </w:r>
      <w:r>
        <w:rPr>
          <w:rFonts w:hint="eastAsia"/>
        </w:rPr>
        <w:t>）</w:t>
      </w:r>
      <w:r>
        <w:t>D-2</w:t>
      </w:r>
      <w:r>
        <w:rPr>
          <w:rFonts w:hint="eastAsia" w:ascii="黑体" w:hAnsi="黑体" w:eastAsia="黑体"/>
        </w:rPr>
        <w:t>——</w:t>
      </w:r>
      <w:r>
        <w:rPr>
          <w:rFonts w:hint="eastAsia"/>
        </w:rPr>
        <w:t>表示北京雨根科技有限公司（R</w:t>
      </w:r>
      <w:r>
        <w:t xml:space="preserve">ain </w:t>
      </w:r>
      <w:r>
        <w:rPr>
          <w:rFonts w:hint="eastAsia"/>
        </w:rPr>
        <w:t>R</w:t>
      </w:r>
      <w:r>
        <w:t>oot</w:t>
      </w:r>
      <w:r>
        <w:rPr>
          <w:rFonts w:hint="eastAsia"/>
        </w:rPr>
        <w:t>）制造、最大量程为</w:t>
      </w:r>
      <w:r>
        <w:t>100%</w:t>
      </w:r>
      <w:r>
        <w:rPr>
          <w:rFonts w:hint="eastAsia"/>
        </w:rPr>
        <w:t>RH、量程内精度均优于</w:t>
      </w:r>
      <w:r>
        <w:t>3%</w:t>
      </w:r>
      <w:r>
        <w:rPr>
          <w:rFonts w:hint="eastAsia"/>
        </w:rPr>
        <w:t>RH、第二次设计的地表凋落物传感器。</w:t>
      </w:r>
    </w:p>
    <w:p w14:paraId="3F6357DE">
      <w:pPr>
        <w:pStyle w:val="183"/>
        <w:ind w:left="0"/>
      </w:pPr>
      <w:r>
        <w:rPr>
          <w:rFonts w:hint="eastAsia"/>
        </w:rPr>
        <w:t>*</w:t>
      </w:r>
      <w:r>
        <w:t>*</w:t>
      </w:r>
      <w:r>
        <w:rPr>
          <w:rFonts w:hint="eastAsia"/>
        </w:rPr>
        <w:t>公司制造、量程为</w:t>
      </w:r>
      <w:r>
        <w:t>0%</w:t>
      </w:r>
      <w:r>
        <w:rPr>
          <w:rFonts w:hint="eastAsia"/>
        </w:rPr>
        <w:t>RH～</w:t>
      </w:r>
      <w:r>
        <w:t>100%</w:t>
      </w:r>
      <w:r>
        <w:rPr>
          <w:rFonts w:hint="eastAsia"/>
        </w:rPr>
        <w:t>RH、含水率低于</w:t>
      </w:r>
      <w:r>
        <w:t>30%</w:t>
      </w:r>
      <w:r>
        <w:rPr>
          <w:rFonts w:hint="eastAsia"/>
        </w:rPr>
        <w:t>RH的精度为</w:t>
      </w:r>
      <w:r>
        <w:t>2%</w:t>
      </w:r>
      <w:r>
        <w:rPr>
          <w:rFonts w:hint="eastAsia"/>
        </w:rPr>
        <w:t>RH、含水率超过</w:t>
      </w:r>
      <w:r>
        <w:t>30%</w:t>
      </w:r>
      <w:r>
        <w:rPr>
          <w:rFonts w:hint="eastAsia"/>
        </w:rPr>
        <w:t>RH的精度为</w:t>
      </w:r>
      <w:r>
        <w:t>3%</w:t>
      </w:r>
      <w:r>
        <w:rPr>
          <w:rFonts w:hint="eastAsia"/>
        </w:rPr>
        <w:t>RH、第二次设计、第三次重大结构或外形改进的系统是传感器，其产品型号应表示为</w:t>
      </w:r>
      <w:r>
        <w:rPr>
          <w:rFonts w:hint="eastAsia" w:ascii="黑体" w:hAnsi="黑体" w:eastAsia="黑体"/>
        </w:rPr>
        <w:t>——</w:t>
      </w:r>
      <w:r>
        <w:t>**MCS</w:t>
      </w:r>
      <w:r>
        <w:rPr>
          <w:rFonts w:hint="eastAsia"/>
        </w:rPr>
        <w:t>（</w:t>
      </w:r>
      <w:r>
        <w:t>100/3</w:t>
      </w:r>
      <w:r>
        <w:rPr>
          <w:rFonts w:hint="eastAsia"/>
        </w:rPr>
        <w:t>）SYS</w:t>
      </w:r>
      <w:r>
        <w:t>-2</w:t>
      </w:r>
      <w:r>
        <w:rPr>
          <w:rFonts w:hint="eastAsia"/>
        </w:rPr>
        <w:t>C。</w:t>
      </w:r>
    </w:p>
    <w:p w14:paraId="00B8CA58">
      <w:pPr>
        <w:pStyle w:val="104"/>
        <w:spacing w:before="240" w:after="240"/>
      </w:pPr>
      <w:bookmarkStart w:id="53" w:name="_Toc236849468"/>
      <w:r>
        <w:rPr>
          <w:rFonts w:hint="eastAsia"/>
        </w:rPr>
        <w:t>技术要求</w:t>
      </w:r>
      <w:bookmarkEnd w:id="53"/>
    </w:p>
    <w:p w14:paraId="251CA3B9">
      <w:pPr>
        <w:pStyle w:val="105"/>
        <w:spacing w:before="120" w:after="120"/>
      </w:pPr>
      <w:bookmarkStart w:id="54" w:name="_Toc236849469"/>
      <w:r>
        <w:rPr>
          <w:rFonts w:hint="eastAsia"/>
        </w:rPr>
        <w:t>环境适应性</w:t>
      </w:r>
      <w:bookmarkEnd w:id="54"/>
    </w:p>
    <w:p w14:paraId="23002250">
      <w:pPr>
        <w:pStyle w:val="56"/>
        <w:ind w:firstLine="420"/>
      </w:pPr>
      <w:r>
        <w:rPr>
          <w:rFonts w:hint="eastAsia"/>
        </w:rPr>
        <w:t>开展环境运行试验，传感器应符合环境适应性要求：</w:t>
      </w:r>
    </w:p>
    <w:p w14:paraId="13A56563">
      <w:pPr>
        <w:pStyle w:val="174"/>
        <w:numPr>
          <w:ilvl w:val="0"/>
          <w:numId w:val="35"/>
        </w:numPr>
      </w:pPr>
      <w:r>
        <w:rPr>
          <w:rFonts w:hint="eastAsia"/>
        </w:rPr>
        <w:t>环境温度为</w:t>
      </w:r>
      <w:r>
        <w:t xml:space="preserve">-40 </w:t>
      </w:r>
      <w:r>
        <w:rPr>
          <w:rFonts w:hint="eastAsia"/>
        </w:rPr>
        <w:t>℃</w:t>
      </w:r>
      <w:r>
        <w:rPr>
          <w:rFonts w:hint="eastAsia" w:hAnsi="宋体"/>
        </w:rPr>
        <w:t>～</w:t>
      </w:r>
      <w:r>
        <w:rPr>
          <w:rFonts w:hAnsi="宋体"/>
        </w:rPr>
        <w:t xml:space="preserve">70 </w:t>
      </w:r>
      <w:r>
        <w:rPr>
          <w:rFonts w:hint="eastAsia" w:hAnsi="宋体"/>
        </w:rPr>
        <w:t>℃</w:t>
      </w:r>
      <w:r>
        <w:rPr>
          <w:rFonts w:hint="eastAsia"/>
        </w:rPr>
        <w:t>时，能够正常工作；</w:t>
      </w:r>
    </w:p>
    <w:p w14:paraId="6B92A682">
      <w:pPr>
        <w:pStyle w:val="174"/>
      </w:pPr>
      <w:r>
        <w:rPr>
          <w:rFonts w:hint="eastAsia"/>
        </w:rPr>
        <w:t>环境湿度在0%RH～100%RH时，能够正常工作。</w:t>
      </w:r>
    </w:p>
    <w:p w14:paraId="69A0D4AE">
      <w:pPr>
        <w:pStyle w:val="105"/>
        <w:spacing w:before="120" w:after="120"/>
      </w:pPr>
      <w:bookmarkStart w:id="55" w:name="_Toc236849470"/>
      <w:r>
        <w:rPr>
          <w:rFonts w:hint="eastAsia"/>
        </w:rPr>
        <w:t>外观完整性</w:t>
      </w:r>
      <w:bookmarkEnd w:id="55"/>
    </w:p>
    <w:p w14:paraId="113B932B">
      <w:pPr>
        <w:pStyle w:val="56"/>
        <w:ind w:firstLine="420"/>
      </w:pPr>
      <w:r>
        <w:rPr>
          <w:rFonts w:hint="eastAsia"/>
        </w:rPr>
        <w:t>目视检查，传感器应具备出厂时的完整包装，包装中应包含质量检验合格标志和使用说明书，传感器标志清晰，各零部件符合以下要求：</w:t>
      </w:r>
    </w:p>
    <w:p w14:paraId="629BC434">
      <w:pPr>
        <w:pStyle w:val="174"/>
        <w:numPr>
          <w:ilvl w:val="0"/>
          <w:numId w:val="36"/>
        </w:numPr>
      </w:pPr>
      <w:r>
        <w:rPr>
          <w:rFonts w:hint="eastAsia"/>
        </w:rPr>
        <w:t>塑料零件表面光滑，不存在裂痕、缩孔；</w:t>
      </w:r>
    </w:p>
    <w:p w14:paraId="055D2CEA">
      <w:pPr>
        <w:pStyle w:val="174"/>
      </w:pPr>
      <w:r>
        <w:rPr>
          <w:rFonts w:hint="eastAsia"/>
        </w:rPr>
        <w:t>金属零件不存在裂痕、毛刺、锁孔、输送、变形；</w:t>
      </w:r>
    </w:p>
    <w:p w14:paraId="6147AD9A">
      <w:pPr>
        <w:pStyle w:val="174"/>
      </w:pPr>
      <w:r>
        <w:rPr>
          <w:rFonts w:hint="eastAsia"/>
        </w:rPr>
        <w:t>金属焊接处接缝平整，不存在烧穿、裂痕、漏焊；</w:t>
      </w:r>
    </w:p>
    <w:p w14:paraId="4171B134">
      <w:pPr>
        <w:pStyle w:val="174"/>
      </w:pPr>
      <w:r>
        <w:rPr>
          <w:rFonts w:hint="eastAsia"/>
        </w:rPr>
        <w:t>金属镀层均匀，附着牢固，表面平整；</w:t>
      </w:r>
    </w:p>
    <w:p w14:paraId="5A0BF8D7">
      <w:pPr>
        <w:pStyle w:val="174"/>
      </w:pPr>
      <w:r>
        <w:rPr>
          <w:rFonts w:hint="eastAsia"/>
        </w:rPr>
        <w:t>可燃物湿度棒表面打磨光滑，无倒刺，不存在虫蛀、霉变、损伤；</w:t>
      </w:r>
    </w:p>
    <w:p w14:paraId="19F71B00">
      <w:pPr>
        <w:pStyle w:val="174"/>
      </w:pPr>
      <w:r>
        <w:rPr>
          <w:rFonts w:hint="eastAsia"/>
        </w:rPr>
        <w:t>各零部件连接紧密、无松动。</w:t>
      </w:r>
    </w:p>
    <w:p w14:paraId="261EE027">
      <w:pPr>
        <w:pStyle w:val="105"/>
        <w:spacing w:before="120" w:after="120"/>
      </w:pPr>
      <w:bookmarkStart w:id="56" w:name="_Toc236849471"/>
      <w:r>
        <w:rPr>
          <w:rFonts w:hint="eastAsia"/>
        </w:rPr>
        <w:t>含水率</w:t>
      </w:r>
      <w:bookmarkEnd w:id="56"/>
    </w:p>
    <w:p w14:paraId="0F5D0200">
      <w:pPr>
        <w:pStyle w:val="165"/>
      </w:pPr>
      <w:r>
        <w:rPr>
          <w:rFonts w:hint="eastAsia"/>
        </w:rPr>
        <w:t>开展梯度试验，传感器的含水率探测性能应满足表1的规定。</w:t>
      </w:r>
    </w:p>
    <w:p w14:paraId="53BA9CD4">
      <w:pPr>
        <w:pStyle w:val="112"/>
        <w:spacing w:before="120" w:after="120"/>
      </w:pPr>
      <w:r>
        <w:rPr>
          <w:rFonts w:hint="eastAsia"/>
        </w:rPr>
        <w:t>含水率探测性能要求表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1F310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vAlign w:val="center"/>
          </w:tcPr>
          <w:p w14:paraId="391F5DD0">
            <w:pPr>
              <w:pStyle w:val="178"/>
            </w:pPr>
            <w:r>
              <w:rPr>
                <w:rFonts w:hint="eastAsia"/>
              </w:rPr>
              <w:t>传感器类型</w:t>
            </w:r>
          </w:p>
        </w:tc>
        <w:tc>
          <w:tcPr>
            <w:tcW w:w="3112" w:type="dxa"/>
            <w:tcBorders>
              <w:top w:val="single" w:color="auto" w:sz="8" w:space="0"/>
              <w:bottom w:val="single" w:color="auto" w:sz="8" w:space="0"/>
            </w:tcBorders>
            <w:shd w:val="clear" w:color="auto" w:fill="auto"/>
            <w:vAlign w:val="center"/>
          </w:tcPr>
          <w:p w14:paraId="035EC484">
            <w:pPr>
              <w:pStyle w:val="178"/>
            </w:pPr>
            <w:r>
              <w:rPr>
                <w:rFonts w:hint="eastAsia"/>
              </w:rPr>
              <w:t>地表凋落物传感器</w:t>
            </w:r>
          </w:p>
        </w:tc>
        <w:tc>
          <w:tcPr>
            <w:tcW w:w="3112" w:type="dxa"/>
            <w:tcBorders>
              <w:top w:val="single" w:color="auto" w:sz="8" w:space="0"/>
              <w:bottom w:val="single" w:color="auto" w:sz="8" w:space="0"/>
            </w:tcBorders>
            <w:shd w:val="clear" w:color="auto" w:fill="auto"/>
            <w:vAlign w:val="center"/>
          </w:tcPr>
          <w:p w14:paraId="65A5A829">
            <w:pPr>
              <w:pStyle w:val="178"/>
            </w:pPr>
            <w:r>
              <w:rPr>
                <w:rFonts w:hint="eastAsia"/>
              </w:rPr>
              <w:t>细小可燃物传感器</w:t>
            </w:r>
          </w:p>
        </w:tc>
      </w:tr>
      <w:tr w14:paraId="6098CB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bottom w:val="single" w:color="auto" w:sz="8" w:space="0"/>
            </w:tcBorders>
            <w:shd w:val="clear" w:color="auto" w:fill="auto"/>
            <w:vAlign w:val="center"/>
          </w:tcPr>
          <w:p w14:paraId="37D360D9">
            <w:pPr>
              <w:pStyle w:val="178"/>
            </w:pPr>
            <w:r>
              <w:rPr>
                <w:rFonts w:hint="eastAsia"/>
              </w:rPr>
              <w:t>量程</w:t>
            </w:r>
          </w:p>
        </w:tc>
        <w:tc>
          <w:tcPr>
            <w:tcW w:w="3112" w:type="dxa"/>
            <w:tcBorders>
              <w:top w:val="single" w:color="auto" w:sz="8" w:space="0"/>
              <w:bottom w:val="single" w:color="auto" w:sz="8" w:space="0"/>
            </w:tcBorders>
            <w:shd w:val="clear" w:color="auto" w:fill="auto"/>
            <w:vAlign w:val="center"/>
          </w:tcPr>
          <w:p w14:paraId="43373515">
            <w:pPr>
              <w:pStyle w:val="178"/>
            </w:pPr>
            <w:r>
              <w:t>0</w:t>
            </w:r>
            <w:r>
              <w:rPr>
                <w:rFonts w:hint="eastAsia" w:hAnsi="宋体"/>
              </w:rPr>
              <w:t>～</w:t>
            </w:r>
            <w:r>
              <w:t>100 %</w:t>
            </w:r>
            <w:r>
              <w:rPr>
                <w:rFonts w:hint="eastAsia"/>
              </w:rPr>
              <w:t>RH</w:t>
            </w:r>
          </w:p>
        </w:tc>
        <w:tc>
          <w:tcPr>
            <w:tcW w:w="3112" w:type="dxa"/>
            <w:tcBorders>
              <w:top w:val="single" w:color="auto" w:sz="8" w:space="0"/>
              <w:bottom w:val="single" w:color="auto" w:sz="8" w:space="0"/>
            </w:tcBorders>
            <w:shd w:val="clear" w:color="auto" w:fill="auto"/>
            <w:vAlign w:val="center"/>
          </w:tcPr>
          <w:p w14:paraId="37FC2EB6">
            <w:pPr>
              <w:pStyle w:val="178"/>
            </w:pPr>
            <w:r>
              <w:t>0</w:t>
            </w:r>
            <w:r>
              <w:rPr>
                <w:rFonts w:hint="eastAsia" w:hAnsi="宋体"/>
              </w:rPr>
              <w:t>～</w:t>
            </w:r>
            <w:r>
              <w:t>70 %</w:t>
            </w:r>
            <w:r>
              <w:rPr>
                <w:rFonts w:hint="eastAsia"/>
              </w:rPr>
              <w:t>RH</w:t>
            </w:r>
          </w:p>
        </w:tc>
      </w:tr>
      <w:tr w14:paraId="0FB514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bottom w:val="single" w:color="auto" w:sz="8" w:space="0"/>
            </w:tcBorders>
            <w:shd w:val="clear" w:color="auto" w:fill="auto"/>
            <w:vAlign w:val="center"/>
          </w:tcPr>
          <w:p w14:paraId="72697D48">
            <w:pPr>
              <w:pStyle w:val="178"/>
            </w:pPr>
            <w:r>
              <w:rPr>
                <w:rFonts w:hint="eastAsia"/>
              </w:rPr>
              <w:t>精度</w:t>
            </w:r>
          </w:p>
        </w:tc>
        <w:tc>
          <w:tcPr>
            <w:tcW w:w="3112" w:type="dxa"/>
            <w:tcBorders>
              <w:top w:val="single" w:color="auto" w:sz="8" w:space="0"/>
              <w:bottom w:val="single" w:color="auto" w:sz="8" w:space="0"/>
            </w:tcBorders>
            <w:shd w:val="clear" w:color="auto" w:fill="auto"/>
            <w:vAlign w:val="center"/>
          </w:tcPr>
          <w:p w14:paraId="53F82C64">
            <w:pPr>
              <w:pStyle w:val="178"/>
            </w:pPr>
            <w:r>
              <w:rPr>
                <w:rFonts w:hint="eastAsia"/>
              </w:rPr>
              <w:t>≤</w:t>
            </w:r>
            <w:r>
              <w:t>8 %</w:t>
            </w:r>
            <w:r>
              <w:rPr>
                <w:rFonts w:hint="eastAsia"/>
              </w:rPr>
              <w:t>RH</w:t>
            </w:r>
          </w:p>
        </w:tc>
        <w:tc>
          <w:tcPr>
            <w:tcW w:w="3112" w:type="dxa"/>
            <w:tcBorders>
              <w:top w:val="single" w:color="auto" w:sz="8" w:space="0"/>
              <w:bottom w:val="single" w:color="auto" w:sz="8" w:space="0"/>
            </w:tcBorders>
            <w:shd w:val="clear" w:color="auto" w:fill="auto"/>
            <w:vAlign w:val="center"/>
          </w:tcPr>
          <w:p w14:paraId="72CBCE45">
            <w:pPr>
              <w:pStyle w:val="178"/>
            </w:pPr>
            <w:r>
              <w:rPr>
                <w:rFonts w:hint="eastAsia"/>
              </w:rPr>
              <w:t>≤</w:t>
            </w:r>
            <w:r>
              <w:t>6 %</w:t>
            </w:r>
            <w:r>
              <w:rPr>
                <w:rFonts w:hint="eastAsia"/>
              </w:rPr>
              <w:t>RH</w:t>
            </w:r>
          </w:p>
        </w:tc>
      </w:tr>
      <w:tr w14:paraId="3A8C43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110" w:type="dxa"/>
            <w:tcBorders>
              <w:top w:val="single" w:color="auto" w:sz="8" w:space="0"/>
              <w:bottom w:val="single" w:color="auto" w:sz="8" w:space="0"/>
            </w:tcBorders>
            <w:shd w:val="clear" w:color="auto" w:fill="auto"/>
            <w:vAlign w:val="center"/>
          </w:tcPr>
          <w:p w14:paraId="21CD06D3">
            <w:pPr>
              <w:pStyle w:val="178"/>
            </w:pPr>
            <w:r>
              <w:rPr>
                <w:rFonts w:hint="eastAsia"/>
              </w:rPr>
              <w:t>重复性</w:t>
            </w:r>
          </w:p>
        </w:tc>
        <w:tc>
          <w:tcPr>
            <w:tcW w:w="3112" w:type="dxa"/>
            <w:tcBorders>
              <w:top w:val="single" w:color="auto" w:sz="8" w:space="0"/>
              <w:bottom w:val="single" w:color="auto" w:sz="8" w:space="0"/>
            </w:tcBorders>
            <w:shd w:val="clear" w:color="auto" w:fill="auto"/>
            <w:vAlign w:val="center"/>
          </w:tcPr>
          <w:p w14:paraId="518B7F75">
            <w:pPr>
              <w:pStyle w:val="178"/>
            </w:pPr>
            <w:r>
              <w:rPr>
                <w:rFonts w:hint="eastAsia"/>
              </w:rPr>
              <w:t>≤4</w:t>
            </w:r>
            <w:r>
              <w:t xml:space="preserve"> %</w:t>
            </w:r>
            <w:r>
              <w:rPr>
                <w:rFonts w:hint="eastAsia"/>
              </w:rPr>
              <w:t>RH</w:t>
            </w:r>
          </w:p>
        </w:tc>
        <w:tc>
          <w:tcPr>
            <w:tcW w:w="3112" w:type="dxa"/>
            <w:tcBorders>
              <w:top w:val="single" w:color="auto" w:sz="8" w:space="0"/>
              <w:bottom w:val="single" w:color="auto" w:sz="8" w:space="0"/>
            </w:tcBorders>
            <w:shd w:val="clear" w:color="auto" w:fill="auto"/>
            <w:vAlign w:val="center"/>
          </w:tcPr>
          <w:p w14:paraId="6FA57BD3">
            <w:pPr>
              <w:pStyle w:val="178"/>
            </w:pPr>
            <w:r>
              <w:rPr>
                <w:rFonts w:hint="eastAsia"/>
              </w:rPr>
              <w:t>≤3</w:t>
            </w:r>
            <w:r>
              <w:t xml:space="preserve"> %</w:t>
            </w:r>
            <w:r>
              <w:rPr>
                <w:rFonts w:hint="eastAsia"/>
              </w:rPr>
              <w:t>RH</w:t>
            </w:r>
          </w:p>
        </w:tc>
      </w:tr>
      <w:tr w14:paraId="5AFEDD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34" w:type="dxa"/>
            <w:gridSpan w:val="3"/>
            <w:tcBorders>
              <w:top w:val="single" w:color="auto" w:sz="8" w:space="0"/>
              <w:bottom w:val="single" w:color="auto" w:sz="8" w:space="0"/>
            </w:tcBorders>
            <w:shd w:val="clear" w:color="auto" w:fill="auto"/>
            <w:vAlign w:val="center"/>
          </w:tcPr>
          <w:p w14:paraId="11573E54">
            <w:pPr>
              <w:pStyle w:val="179"/>
            </w:pPr>
            <w:r>
              <w:rPr>
                <w:rFonts w:hint="eastAsia"/>
              </w:rPr>
              <w:t>对于不同含水率区间精度存在差异的传感器，所有区间均应满足精度要求，即最低精度应达到精度要求。</w:t>
            </w:r>
          </w:p>
        </w:tc>
      </w:tr>
    </w:tbl>
    <w:p w14:paraId="1DF9B42B">
      <w:pPr>
        <w:pStyle w:val="165"/>
      </w:pPr>
      <w:r>
        <w:rPr>
          <w:rFonts w:hint="eastAsia"/>
        </w:rPr>
        <w:t>开展跃变试验，传感器的含水率探测响应时间应满足表2的规定。</w:t>
      </w:r>
    </w:p>
    <w:p w14:paraId="2EFA8D33">
      <w:pPr>
        <w:pStyle w:val="112"/>
        <w:spacing w:before="120" w:after="120"/>
      </w:pPr>
      <w:r>
        <w:rPr>
          <w:rFonts w:hint="eastAsia"/>
        </w:rPr>
        <w:t>含水率响应时间要求表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4"/>
        <w:gridCol w:w="3115"/>
        <w:gridCol w:w="3115"/>
      </w:tblGrid>
      <w:tr w14:paraId="26A9C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4" w:type="dxa"/>
            <w:tcBorders>
              <w:top w:val="single" w:color="auto" w:sz="8" w:space="0"/>
              <w:bottom w:val="single" w:color="auto" w:sz="8" w:space="0"/>
            </w:tcBorders>
            <w:shd w:val="clear" w:color="auto" w:fill="auto"/>
            <w:vAlign w:val="center"/>
          </w:tcPr>
          <w:p w14:paraId="1C59D774">
            <w:pPr>
              <w:pStyle w:val="178"/>
            </w:pPr>
            <w:r>
              <w:rPr>
                <w:rFonts w:hint="eastAsia"/>
              </w:rPr>
              <w:t>传感器类型</w:t>
            </w:r>
          </w:p>
        </w:tc>
        <w:tc>
          <w:tcPr>
            <w:tcW w:w="3115" w:type="dxa"/>
            <w:tcBorders>
              <w:top w:val="single" w:color="auto" w:sz="8" w:space="0"/>
              <w:bottom w:val="single" w:color="auto" w:sz="8" w:space="0"/>
            </w:tcBorders>
            <w:shd w:val="clear" w:color="auto" w:fill="auto"/>
            <w:vAlign w:val="center"/>
          </w:tcPr>
          <w:p w14:paraId="3DAB4E37">
            <w:pPr>
              <w:pStyle w:val="178"/>
            </w:pPr>
            <w:r>
              <w:rPr>
                <w:rFonts w:hint="eastAsia"/>
              </w:rPr>
              <w:t>地表凋落物传感器</w:t>
            </w:r>
          </w:p>
        </w:tc>
        <w:tc>
          <w:tcPr>
            <w:tcW w:w="3115" w:type="dxa"/>
            <w:tcBorders>
              <w:top w:val="single" w:color="auto" w:sz="8" w:space="0"/>
              <w:bottom w:val="single" w:color="auto" w:sz="8" w:space="0"/>
            </w:tcBorders>
            <w:shd w:val="clear" w:color="auto" w:fill="auto"/>
            <w:vAlign w:val="center"/>
          </w:tcPr>
          <w:p w14:paraId="6FE45BFC">
            <w:pPr>
              <w:pStyle w:val="178"/>
            </w:pPr>
            <w:r>
              <w:rPr>
                <w:rFonts w:hint="eastAsia"/>
              </w:rPr>
              <w:t>细小可燃物传感器</w:t>
            </w:r>
          </w:p>
        </w:tc>
      </w:tr>
      <w:tr w14:paraId="5C25A4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4" w:type="dxa"/>
            <w:tcBorders>
              <w:top w:val="single" w:color="auto" w:sz="8" w:space="0"/>
            </w:tcBorders>
            <w:shd w:val="clear" w:color="auto" w:fill="auto"/>
            <w:vAlign w:val="center"/>
          </w:tcPr>
          <w:p w14:paraId="597A5EC7">
            <w:pPr>
              <w:pStyle w:val="178"/>
            </w:pPr>
            <w:r>
              <w:rPr>
                <w:rFonts w:hint="eastAsia"/>
              </w:rPr>
              <w:t>响应时间</w:t>
            </w:r>
          </w:p>
        </w:tc>
        <w:tc>
          <w:tcPr>
            <w:tcW w:w="3115" w:type="dxa"/>
            <w:tcBorders>
              <w:top w:val="single" w:color="auto" w:sz="8" w:space="0"/>
            </w:tcBorders>
            <w:shd w:val="clear" w:color="auto" w:fill="auto"/>
            <w:vAlign w:val="center"/>
          </w:tcPr>
          <w:p w14:paraId="4692E071">
            <w:pPr>
              <w:pStyle w:val="178"/>
            </w:pPr>
            <w:r>
              <w:rPr>
                <w:rFonts w:hint="eastAsia"/>
              </w:rPr>
              <w:t>≤1</w:t>
            </w:r>
            <w:r>
              <w:t xml:space="preserve"> </w:t>
            </w:r>
            <w:r>
              <w:rPr>
                <w:rFonts w:hint="eastAsia"/>
              </w:rPr>
              <w:t>min</w:t>
            </w:r>
          </w:p>
        </w:tc>
        <w:tc>
          <w:tcPr>
            <w:tcW w:w="3115" w:type="dxa"/>
            <w:tcBorders>
              <w:top w:val="single" w:color="auto" w:sz="8" w:space="0"/>
            </w:tcBorders>
            <w:shd w:val="clear" w:color="auto" w:fill="auto"/>
            <w:vAlign w:val="center"/>
          </w:tcPr>
          <w:p w14:paraId="0BB93B53">
            <w:pPr>
              <w:pStyle w:val="178"/>
            </w:pPr>
            <w:r>
              <w:rPr>
                <w:rFonts w:hint="eastAsia"/>
              </w:rPr>
              <w:t>≤1</w:t>
            </w:r>
            <w:r>
              <w:t xml:space="preserve"> </w:t>
            </w:r>
            <w:r>
              <w:rPr>
                <w:rFonts w:hint="eastAsia"/>
              </w:rPr>
              <w:t>min</w:t>
            </w:r>
          </w:p>
        </w:tc>
      </w:tr>
    </w:tbl>
    <w:p w14:paraId="7E501F33">
      <w:pPr>
        <w:pStyle w:val="105"/>
        <w:spacing w:before="120" w:after="120"/>
      </w:pPr>
      <w:bookmarkStart w:id="57" w:name="_Toc236849472"/>
      <w:r>
        <w:rPr>
          <w:rFonts w:hint="eastAsia"/>
        </w:rPr>
        <w:t>垂直探测距离</w:t>
      </w:r>
      <w:bookmarkEnd w:id="57"/>
    </w:p>
    <w:p w14:paraId="0DCB9824">
      <w:pPr>
        <w:pStyle w:val="56"/>
        <w:ind w:firstLine="420"/>
      </w:pPr>
      <w:r>
        <w:rPr>
          <w:rFonts w:hint="eastAsia"/>
        </w:rPr>
        <w:t>地表凋落物传感器的垂直测量距离应满足以下要求：</w:t>
      </w:r>
    </w:p>
    <w:p w14:paraId="36A8BFB7">
      <w:pPr>
        <w:pStyle w:val="174"/>
        <w:numPr>
          <w:ilvl w:val="0"/>
          <w:numId w:val="37"/>
        </w:numPr>
      </w:pPr>
      <w:r>
        <w:rPr>
          <w:rFonts w:hint="eastAsia"/>
        </w:rPr>
        <w:t>地表以下的</w:t>
      </w:r>
      <w:r>
        <w:rPr>
          <w:rFonts w:hint="eastAsia" w:ascii="Times New Roman"/>
        </w:rPr>
        <w:t>土壤腐殖质含水率</w:t>
      </w:r>
      <w:r>
        <w:rPr>
          <w:rFonts w:hint="eastAsia"/>
        </w:rPr>
        <w:t>的探测深度应不小于1</w:t>
      </w:r>
      <w:r>
        <w:t xml:space="preserve">0 </w:t>
      </w:r>
      <w:r>
        <w:rPr>
          <w:rFonts w:hint="eastAsia"/>
        </w:rPr>
        <w:t>cm；</w:t>
      </w:r>
    </w:p>
    <w:p w14:paraId="7F40E1BA">
      <w:pPr>
        <w:pStyle w:val="174"/>
      </w:pPr>
      <w:r>
        <w:rPr>
          <w:rFonts w:hint="eastAsia"/>
        </w:rPr>
        <w:t>地表以上的1h时滞可燃物含水率的探测厚度应不小于1</w:t>
      </w:r>
      <w:r>
        <w:t xml:space="preserve">0 </w:t>
      </w:r>
      <w:r>
        <w:rPr>
          <w:rFonts w:hint="eastAsia"/>
        </w:rPr>
        <w:t>cm。</w:t>
      </w:r>
    </w:p>
    <w:p w14:paraId="71E21B90">
      <w:pPr>
        <w:pStyle w:val="105"/>
        <w:spacing w:before="120" w:after="120"/>
      </w:pPr>
      <w:bookmarkStart w:id="58" w:name="_Toc236849473"/>
      <w:r>
        <w:rPr>
          <w:rFonts w:hint="eastAsia"/>
        </w:rPr>
        <w:t>温度</w:t>
      </w:r>
      <w:bookmarkEnd w:id="58"/>
    </w:p>
    <w:p w14:paraId="2ADFA1EF">
      <w:pPr>
        <w:pStyle w:val="56"/>
        <w:ind w:firstLine="420"/>
      </w:pPr>
      <w:r>
        <w:rPr>
          <w:rFonts w:hint="eastAsia"/>
        </w:rPr>
        <w:t>当传感器具有测温功能时，应开展变温试验，感温性能应满足</w:t>
      </w:r>
      <w:r>
        <w:t>GB/T 45955</w:t>
      </w:r>
      <w:r>
        <w:rPr>
          <w:rFonts w:hint="eastAsia"/>
        </w:rPr>
        <w:t>的要求。</w:t>
      </w:r>
    </w:p>
    <w:p w14:paraId="2E727D27">
      <w:pPr>
        <w:pStyle w:val="105"/>
        <w:spacing w:before="120" w:after="120"/>
      </w:pPr>
      <w:bookmarkStart w:id="59" w:name="_Toc236849474"/>
      <w:r>
        <w:rPr>
          <w:rFonts w:hint="eastAsia"/>
        </w:rPr>
        <w:t>可靠性</w:t>
      </w:r>
      <w:bookmarkEnd w:id="59"/>
    </w:p>
    <w:p w14:paraId="6054226B">
      <w:pPr>
        <w:pStyle w:val="56"/>
        <w:ind w:firstLine="420"/>
      </w:pPr>
      <w:r>
        <w:rPr>
          <w:rFonts w:hint="eastAsia"/>
        </w:rPr>
        <w:t>顺序开展伸出组件强度试验、冲击试验、振动试验、环境耐受试验，试验期间，传感器应能正常工作；试验后，传感器的量程和精度应满足本文件5</w:t>
      </w:r>
      <w:r>
        <w:t>.3.1</w:t>
      </w:r>
      <w:r>
        <w:rPr>
          <w:rFonts w:hint="eastAsia"/>
        </w:rPr>
        <w:t>的要求。</w:t>
      </w:r>
    </w:p>
    <w:p w14:paraId="5DC9622F">
      <w:pPr>
        <w:pStyle w:val="105"/>
        <w:spacing w:before="120" w:after="120"/>
      </w:pPr>
      <w:bookmarkStart w:id="60" w:name="_Toc236849475"/>
      <w:r>
        <w:rPr>
          <w:rFonts w:hint="eastAsia"/>
        </w:rPr>
        <w:t>耐久性</w:t>
      </w:r>
      <w:bookmarkEnd w:id="60"/>
    </w:p>
    <w:p w14:paraId="16B93F7C">
      <w:pPr>
        <w:pStyle w:val="56"/>
        <w:ind w:firstLine="420"/>
      </w:pPr>
      <w:r>
        <w:rPr>
          <w:rFonts w:hint="eastAsia"/>
        </w:rPr>
        <w:t>开展耐久试验，试验后运行传感器，量程和精度应满足本文件5</w:t>
      </w:r>
      <w:r>
        <w:t>.3.1</w:t>
      </w:r>
      <w:r>
        <w:rPr>
          <w:rFonts w:hint="eastAsia"/>
        </w:rPr>
        <w:t>的要求。</w:t>
      </w:r>
    </w:p>
    <w:p w14:paraId="06DA2CA8">
      <w:pPr>
        <w:pStyle w:val="105"/>
        <w:spacing w:before="120" w:after="120"/>
      </w:pPr>
      <w:bookmarkStart w:id="61" w:name="_Toc236849476"/>
      <w:r>
        <w:rPr>
          <w:rFonts w:hint="eastAsia"/>
        </w:rPr>
        <w:t>防护等级</w:t>
      </w:r>
      <w:bookmarkEnd w:id="61"/>
    </w:p>
    <w:p w14:paraId="2B785C47">
      <w:pPr>
        <w:pStyle w:val="165"/>
      </w:pPr>
      <w:r>
        <w:rPr>
          <w:rFonts w:hint="eastAsia"/>
        </w:rPr>
        <w:t>传感器的应具备野外复杂环境下长时间运行的能力，防护等级应不低于IP</w:t>
      </w:r>
      <w:r>
        <w:t>65</w:t>
      </w:r>
      <w:r>
        <w:rPr>
          <w:rFonts w:hint="eastAsia"/>
        </w:rPr>
        <w:t>。</w:t>
      </w:r>
    </w:p>
    <w:p w14:paraId="5BC53F01">
      <w:pPr>
        <w:pStyle w:val="165"/>
      </w:pPr>
      <w:r>
        <w:rPr>
          <w:rFonts w:hint="eastAsia"/>
        </w:rPr>
        <w:t>当传感器部分零部件长期处于地下时，该部分的防护等级应不低于IP</w:t>
      </w:r>
      <w:r>
        <w:t>68</w:t>
      </w:r>
      <w:r>
        <w:rPr>
          <w:rFonts w:hint="eastAsia"/>
        </w:rPr>
        <w:t>。</w:t>
      </w:r>
    </w:p>
    <w:p w14:paraId="5EF1838A">
      <w:pPr>
        <w:pStyle w:val="105"/>
        <w:spacing w:before="120" w:after="120"/>
      </w:pPr>
      <w:bookmarkStart w:id="62" w:name="_Toc236849477"/>
      <w:r>
        <w:rPr>
          <w:rFonts w:hint="eastAsia"/>
        </w:rPr>
        <w:t>供电方式</w:t>
      </w:r>
      <w:bookmarkEnd w:id="62"/>
    </w:p>
    <w:p w14:paraId="54479877">
      <w:pPr>
        <w:pStyle w:val="56"/>
        <w:ind w:firstLine="420"/>
      </w:pPr>
      <w:r>
        <w:rPr>
          <w:rFonts w:hint="eastAsia"/>
        </w:rPr>
        <w:t>对照使用说明书检查，系统式传感器应采用220</w:t>
      </w:r>
      <w:r>
        <w:t xml:space="preserve"> </w:t>
      </w:r>
      <w:r>
        <w:rPr>
          <w:rFonts w:hint="eastAsia"/>
        </w:rPr>
        <w:t>V交流电压供电；独立式传感器应采用36</w:t>
      </w:r>
      <w:r>
        <w:t xml:space="preserve"> </w:t>
      </w:r>
      <w:r>
        <w:rPr>
          <w:rFonts w:hint="eastAsia"/>
        </w:rPr>
        <w:t>V及以下的直流电压供电，并具有防止极性反接的保护措施。</w:t>
      </w:r>
    </w:p>
    <w:p w14:paraId="4C02E915">
      <w:pPr>
        <w:pStyle w:val="104"/>
        <w:spacing w:before="240" w:after="240"/>
      </w:pPr>
      <w:bookmarkStart w:id="63" w:name="_Toc236849478"/>
      <w:r>
        <w:rPr>
          <w:rFonts w:hint="eastAsia"/>
        </w:rPr>
        <w:t>试验方法</w:t>
      </w:r>
      <w:bookmarkEnd w:id="63"/>
    </w:p>
    <w:p w14:paraId="262D0D08">
      <w:pPr>
        <w:pStyle w:val="105"/>
        <w:spacing w:before="120" w:after="120"/>
      </w:pPr>
      <w:bookmarkStart w:id="64" w:name="_Toc236849479"/>
      <w:r>
        <w:rPr>
          <w:rFonts w:hint="eastAsia"/>
        </w:rPr>
        <w:t>探测性能</w:t>
      </w:r>
      <w:bookmarkEnd w:id="64"/>
    </w:p>
    <w:p w14:paraId="3A8A5338">
      <w:pPr>
        <w:pStyle w:val="65"/>
        <w:spacing w:before="120" w:after="120"/>
      </w:pPr>
      <w:r>
        <w:rPr>
          <w:rFonts w:hint="eastAsia"/>
        </w:rPr>
        <w:t>试验环境</w:t>
      </w:r>
    </w:p>
    <w:p w14:paraId="1A4A1D66">
      <w:pPr>
        <w:pStyle w:val="164"/>
      </w:pPr>
      <w:r>
        <w:rPr>
          <w:rFonts w:hint="eastAsia"/>
        </w:rPr>
        <w:t>除另有规定外，所有试验应在GB</w:t>
      </w:r>
      <w:r>
        <w:t>/</w:t>
      </w:r>
      <w:r>
        <w:rPr>
          <w:rFonts w:hint="eastAsia"/>
        </w:rPr>
        <w:t>T</w:t>
      </w:r>
      <w:r>
        <w:t xml:space="preserve"> </w:t>
      </w:r>
      <w:r>
        <w:rPr>
          <w:rFonts w:hint="eastAsia"/>
        </w:rPr>
        <w:t>2421中规定的测量和试验用标准大气条件进行。</w:t>
      </w:r>
    </w:p>
    <w:p w14:paraId="09A22FE0">
      <w:pPr>
        <w:pStyle w:val="164"/>
      </w:pPr>
      <w:r>
        <w:rPr>
          <w:rFonts w:hint="eastAsia"/>
        </w:rPr>
        <w:t>开展试验前，传感器应在测量和试验用标准大气条件下放置2</w:t>
      </w:r>
      <w:r>
        <w:t xml:space="preserve">4 </w:t>
      </w:r>
      <w:r>
        <w:rPr>
          <w:rFonts w:hint="eastAsia"/>
        </w:rPr>
        <w:t>h。</w:t>
      </w:r>
    </w:p>
    <w:p w14:paraId="601CAEB7">
      <w:pPr>
        <w:pStyle w:val="65"/>
        <w:spacing w:before="120" w:after="120"/>
      </w:pPr>
      <w:r>
        <w:rPr>
          <w:rFonts w:hint="eastAsia"/>
        </w:rPr>
        <w:t>试验器材</w:t>
      </w:r>
    </w:p>
    <w:p w14:paraId="43DE32BB">
      <w:pPr>
        <w:pStyle w:val="56"/>
        <w:ind w:firstLine="420"/>
      </w:pPr>
      <w:r>
        <w:rPr>
          <w:rFonts w:hint="eastAsia"/>
        </w:rPr>
        <w:t>试验用的器材应在检定的有效期内，试验前进行检查和校准，并符合试验要求：</w:t>
      </w:r>
    </w:p>
    <w:p w14:paraId="3E4D0102">
      <w:pPr>
        <w:pStyle w:val="174"/>
        <w:numPr>
          <w:ilvl w:val="0"/>
          <w:numId w:val="38"/>
        </w:numPr>
      </w:pPr>
      <w:r>
        <w:rPr>
          <w:rFonts w:hint="eastAsia"/>
        </w:rPr>
        <w:t>鼓风干燥箱：温度控制范围应涵盖室温</w:t>
      </w:r>
      <w:r>
        <w:rPr>
          <w:rFonts w:hint="eastAsia" w:hAnsi="宋体"/>
        </w:rPr>
        <w:t>～</w:t>
      </w:r>
      <w:r>
        <w:rPr>
          <w:rFonts w:hint="eastAsia"/>
        </w:rPr>
        <w:t>105</w:t>
      </w:r>
      <w:r>
        <w:t xml:space="preserve"> </w:t>
      </w:r>
      <w:r>
        <w:rPr>
          <w:rFonts w:hint="eastAsia"/>
        </w:rPr>
        <w:t>℃，分辨率不低于1</w:t>
      </w:r>
      <w:r>
        <w:t xml:space="preserve"> </w:t>
      </w:r>
      <w:r>
        <w:rPr>
          <w:rFonts w:hint="eastAsia"/>
        </w:rPr>
        <w:t>℃；</w:t>
      </w:r>
    </w:p>
    <w:p w14:paraId="2B2C71BC">
      <w:pPr>
        <w:pStyle w:val="174"/>
      </w:pPr>
      <w:r>
        <w:rPr>
          <w:rFonts w:hint="eastAsia"/>
        </w:rPr>
        <w:t>天平：量程不低于</w:t>
      </w:r>
      <w:r>
        <w:t xml:space="preserve">1 </w:t>
      </w:r>
      <w:r>
        <w:rPr>
          <w:rFonts w:hint="eastAsia"/>
        </w:rPr>
        <w:t>kg，精度不低于±0</w:t>
      </w:r>
      <w:r>
        <w:t xml:space="preserve">.1 </w:t>
      </w:r>
      <w:r>
        <w:rPr>
          <w:rFonts w:hint="eastAsia"/>
        </w:rPr>
        <w:t>g，分辨率不低于0</w:t>
      </w:r>
      <w:r>
        <w:t xml:space="preserve">.1 </w:t>
      </w:r>
      <w:r>
        <w:rPr>
          <w:rFonts w:hint="eastAsia"/>
        </w:rPr>
        <w:t>g；</w:t>
      </w:r>
    </w:p>
    <w:p w14:paraId="63140220">
      <w:pPr>
        <w:pStyle w:val="174"/>
      </w:pPr>
      <w:r>
        <w:rPr>
          <w:rFonts w:hint="eastAsia"/>
        </w:rPr>
        <w:t>恒温恒湿箱：温度控制范围应涵盖10</w:t>
      </w:r>
      <w:r>
        <w:rPr>
          <w:rFonts w:hint="eastAsia" w:hAnsi="宋体"/>
        </w:rPr>
        <w:t>～</w:t>
      </w:r>
      <w:r>
        <w:t>4</w:t>
      </w:r>
      <w:r>
        <w:rPr>
          <w:rFonts w:hint="eastAsia"/>
        </w:rPr>
        <w:t>0</w:t>
      </w:r>
      <w:r>
        <w:t xml:space="preserve"> </w:t>
      </w:r>
      <w:r>
        <w:rPr>
          <w:rFonts w:hint="eastAsia"/>
        </w:rPr>
        <w:t>℃，湿度控制范围应涵盖</w:t>
      </w:r>
      <w:r>
        <w:t>30</w:t>
      </w:r>
      <w:r>
        <w:rPr>
          <w:rFonts w:hint="eastAsia" w:hAnsi="宋体"/>
        </w:rPr>
        <w:t>～</w:t>
      </w:r>
      <w:r>
        <w:t>95 %RH</w:t>
      </w:r>
      <w:r>
        <w:rPr>
          <w:rFonts w:hint="eastAsia"/>
        </w:rPr>
        <w:t>，湿度波动不超过±</w:t>
      </w:r>
      <w:r>
        <w:t>3 %</w:t>
      </w:r>
      <w:r>
        <w:rPr>
          <w:rFonts w:hint="eastAsia"/>
        </w:rPr>
        <w:t>；</w:t>
      </w:r>
    </w:p>
    <w:p w14:paraId="11A274BF">
      <w:pPr>
        <w:pStyle w:val="174"/>
      </w:pPr>
      <w:r>
        <w:rPr>
          <w:rFonts w:hint="eastAsia"/>
        </w:rPr>
        <w:t>样品存放盒：长*宽*高的尺寸应为2</w:t>
      </w:r>
      <w:r>
        <w:t xml:space="preserve">0 </w:t>
      </w:r>
      <w:r>
        <w:rPr>
          <w:rFonts w:hint="eastAsia"/>
        </w:rPr>
        <w:t>cm</w:t>
      </w:r>
      <w:r>
        <w:t xml:space="preserve">*20 </w:t>
      </w:r>
      <w:r>
        <w:rPr>
          <w:rFonts w:hint="eastAsia"/>
        </w:rPr>
        <w:t>cm</w:t>
      </w:r>
      <w:r>
        <w:t xml:space="preserve">*5 </w:t>
      </w:r>
      <w:r>
        <w:rPr>
          <w:rFonts w:hint="eastAsia"/>
        </w:rPr>
        <w:t>cm。</w:t>
      </w:r>
    </w:p>
    <w:p w14:paraId="07FEABB9">
      <w:pPr>
        <w:pStyle w:val="65"/>
        <w:spacing w:before="120" w:after="120"/>
      </w:pPr>
      <w:r>
        <w:rPr>
          <w:rFonts w:hint="eastAsia"/>
        </w:rPr>
        <w:t>试验样品</w:t>
      </w:r>
    </w:p>
    <w:p w14:paraId="189D1AE1">
      <w:pPr>
        <w:pStyle w:val="164"/>
      </w:pPr>
      <w:r>
        <w:rPr>
          <w:rFonts w:hint="eastAsia"/>
        </w:rPr>
        <w:t>可燃物</w:t>
      </w:r>
    </w:p>
    <w:p w14:paraId="521BB07A">
      <w:pPr>
        <w:pStyle w:val="56"/>
        <w:ind w:firstLine="420"/>
      </w:pPr>
      <w:r>
        <w:rPr>
          <w:rFonts w:hint="eastAsia"/>
        </w:rPr>
        <w:t>根据试验需求确定土壤腐殖质或1h时滞可燃物作为可燃物的试验样品，并按照以下步骤制作试验样品：</w:t>
      </w:r>
    </w:p>
    <w:p w14:paraId="4106F7C2">
      <w:pPr>
        <w:pStyle w:val="174"/>
        <w:numPr>
          <w:ilvl w:val="0"/>
          <w:numId w:val="39"/>
        </w:numPr>
      </w:pPr>
      <w:r>
        <w:rPr>
          <w:rFonts w:hint="eastAsia"/>
        </w:rPr>
        <w:t>按照</w:t>
      </w:r>
      <w:r>
        <w:t>LY/T 1211</w:t>
      </w:r>
      <w:r>
        <w:rPr>
          <w:rFonts w:hint="eastAsia"/>
        </w:rPr>
        <w:t>规定的方法采集新鲜的可燃物</w:t>
      </w:r>
      <w:r>
        <w:t>2200</w:t>
      </w:r>
      <w:r>
        <w:rPr>
          <w:rFonts w:hint="eastAsia"/>
        </w:rPr>
        <w:t>g，等分为</w:t>
      </w:r>
      <w:r>
        <w:t>11</w:t>
      </w:r>
      <w:r>
        <w:rPr>
          <w:rFonts w:hint="eastAsia"/>
        </w:rPr>
        <w:t>份保鲜存放，并按照附录2的可燃物样品编号表对试验样品进行编号；</w:t>
      </w:r>
    </w:p>
    <w:p w14:paraId="5FD10681">
      <w:pPr>
        <w:pStyle w:val="174"/>
      </w:pPr>
      <w:r>
        <w:rPr>
          <w:rFonts w:hint="eastAsia"/>
        </w:rPr>
        <w:t>使用鼓风干燥箱将全部试样完全烘干，称取绝干质量，并按照LY</w:t>
      </w:r>
      <w:r>
        <w:t>/</w:t>
      </w:r>
      <w:r>
        <w:rPr>
          <w:rFonts w:hint="eastAsia"/>
        </w:rPr>
        <w:t>T</w:t>
      </w:r>
      <w:r>
        <w:t xml:space="preserve"> 2013</w:t>
      </w:r>
      <w:r>
        <w:rPr>
          <w:rFonts w:hint="eastAsia"/>
        </w:rPr>
        <w:t>规定的方法计算</w:t>
      </w:r>
      <w:r>
        <w:t>10%</w:t>
      </w:r>
      <w:r>
        <w:rPr>
          <w:rFonts w:hint="eastAsia" w:hAnsi="宋体"/>
        </w:rPr>
        <w:t>～</w:t>
      </w:r>
      <w:r>
        <w:t>90%</w:t>
      </w:r>
      <w:r>
        <w:rPr>
          <w:rFonts w:hint="eastAsia"/>
        </w:rPr>
        <w:t>含水率时的可燃物重量；</w:t>
      </w:r>
    </w:p>
    <w:p w14:paraId="1C21C2A3">
      <w:pPr>
        <w:pStyle w:val="174"/>
      </w:pPr>
      <w:r>
        <w:rPr>
          <w:rFonts w:hint="eastAsia"/>
        </w:rPr>
        <w:t>将1号至10号试样浸入水重，按照可燃物重量的计算结果制备相应含水率的试验样品；</w:t>
      </w:r>
    </w:p>
    <w:p w14:paraId="76D82175">
      <w:pPr>
        <w:pStyle w:val="174"/>
      </w:pPr>
      <w:r>
        <w:rPr>
          <w:rFonts w:hint="eastAsia"/>
        </w:rPr>
        <w:t>将所有试验样品均匀平铺于样品存放盒内，并按照含水率分别放入对应环境湿度的恒温恒湿箱中保存备用。</w:t>
      </w:r>
    </w:p>
    <w:p w14:paraId="4ADA3222">
      <w:pPr>
        <w:pStyle w:val="164"/>
      </w:pPr>
      <w:r>
        <w:rPr>
          <w:rFonts w:hint="eastAsia"/>
        </w:rPr>
        <w:t>可燃物湿度棒</w:t>
      </w:r>
    </w:p>
    <w:p w14:paraId="4478E6F5">
      <w:pPr>
        <w:pStyle w:val="56"/>
        <w:ind w:firstLine="420"/>
      </w:pPr>
      <w:r>
        <w:rPr>
          <w:rFonts w:hint="eastAsia"/>
        </w:rPr>
        <w:t>当使用可燃物湿度棒作为1</w:t>
      </w:r>
      <w:r>
        <w:t>0</w:t>
      </w:r>
      <w:r>
        <w:rPr>
          <w:rFonts w:hint="eastAsia"/>
        </w:rPr>
        <w:t>h时滞可燃物的试验样品时，应参照6</w:t>
      </w:r>
      <w:r>
        <w:t>.1.3.1</w:t>
      </w:r>
      <w:r>
        <w:rPr>
          <w:rFonts w:hint="eastAsia"/>
        </w:rPr>
        <w:t>的要求制作同样湿度梯度的可燃物湿度，可燃物湿度棒应满足以下要求：</w:t>
      </w:r>
    </w:p>
    <w:p w14:paraId="178E10FB">
      <w:pPr>
        <w:pStyle w:val="174"/>
        <w:numPr>
          <w:ilvl w:val="0"/>
          <w:numId w:val="40"/>
        </w:numPr>
      </w:pPr>
      <w:r>
        <w:rPr>
          <w:rFonts w:hint="eastAsia"/>
        </w:rPr>
        <w:t>木材应为</w:t>
      </w:r>
      <w:r>
        <w:t>12</w:t>
      </w:r>
      <w:r>
        <w:rPr>
          <w:rFonts w:hint="eastAsia"/>
        </w:rPr>
        <w:t>～</w:t>
      </w:r>
      <w:r>
        <w:t>14</w:t>
      </w:r>
      <w:r>
        <w:rPr>
          <w:rFonts w:hint="eastAsia"/>
        </w:rPr>
        <w:t>年生、密度为</w:t>
      </w:r>
      <w:r>
        <w:t>0.5±0.1 g/cm³</w:t>
      </w:r>
      <w:r>
        <w:rPr>
          <w:rFonts w:hint="eastAsia"/>
        </w:rPr>
        <w:t>的松木；</w:t>
      </w:r>
    </w:p>
    <w:p w14:paraId="220624FB">
      <w:pPr>
        <w:pStyle w:val="174"/>
      </w:pPr>
      <w:r>
        <w:rPr>
          <w:rFonts w:hint="eastAsia"/>
        </w:rPr>
        <w:t>直径应为</w:t>
      </w:r>
      <w:r>
        <w:t>13±0.5 mm</w:t>
      </w:r>
      <w:r>
        <w:rPr>
          <w:rFonts w:hint="eastAsia"/>
        </w:rPr>
        <w:t>；</w:t>
      </w:r>
    </w:p>
    <w:p w14:paraId="7A148418">
      <w:pPr>
        <w:pStyle w:val="174"/>
      </w:pPr>
      <w:r>
        <w:rPr>
          <w:rFonts w:hint="eastAsia"/>
        </w:rPr>
        <w:t>长度应为</w:t>
      </w:r>
      <w:r>
        <w:t>40±1 cm</w:t>
      </w:r>
      <w:r>
        <w:rPr>
          <w:rFonts w:hint="eastAsia"/>
        </w:rPr>
        <w:t>。</w:t>
      </w:r>
    </w:p>
    <w:p w14:paraId="653A39BE">
      <w:pPr>
        <w:pStyle w:val="65"/>
        <w:spacing w:before="120" w:after="120"/>
      </w:pPr>
      <w:r>
        <w:rPr>
          <w:rFonts w:hint="eastAsia"/>
        </w:rPr>
        <w:t>梯度试验</w:t>
      </w:r>
    </w:p>
    <w:p w14:paraId="050B96BC">
      <w:pPr>
        <w:pStyle w:val="94"/>
        <w:spacing w:before="120" w:after="120"/>
      </w:pPr>
      <w:r>
        <w:rPr>
          <w:rFonts w:hint="eastAsia"/>
        </w:rPr>
        <w:t>试验方法</w:t>
      </w:r>
    </w:p>
    <w:p w14:paraId="2099F89B">
      <w:pPr>
        <w:pStyle w:val="56"/>
        <w:ind w:firstLine="420"/>
      </w:pPr>
      <w:r>
        <w:rPr>
          <w:rFonts w:hint="eastAsia"/>
        </w:rPr>
        <w:t>选取传感器量程范围内的所有试样，采用“先升湿、再降湿”的顺序，按照以下步骤开展试验：</w:t>
      </w:r>
    </w:p>
    <w:p w14:paraId="61032E88">
      <w:pPr>
        <w:pStyle w:val="174"/>
        <w:numPr>
          <w:ilvl w:val="0"/>
          <w:numId w:val="41"/>
        </w:numPr>
      </w:pPr>
      <w:r>
        <w:rPr>
          <w:rFonts w:hint="eastAsia"/>
        </w:rPr>
        <w:t>将传感器置于装有</w:t>
      </w:r>
      <w:r>
        <w:t>0</w:t>
      </w:r>
      <w:r>
        <w:rPr>
          <w:rFonts w:hint="eastAsia"/>
        </w:rPr>
        <w:t>号试样（或传感器量程内含水率最低的试样）的容器内，待读数稳定后记录相应数值；</w:t>
      </w:r>
    </w:p>
    <w:p w14:paraId="06CE5342">
      <w:pPr>
        <w:pStyle w:val="174"/>
      </w:pPr>
      <w:r>
        <w:rPr>
          <w:rFonts w:hint="eastAsia"/>
        </w:rPr>
        <w:t>将传感器依次置于更高含水率的试样容器内，并记录传感器读数；</w:t>
      </w:r>
    </w:p>
    <w:p w14:paraId="1D215BD3">
      <w:pPr>
        <w:pStyle w:val="174"/>
      </w:pPr>
      <w:r>
        <w:rPr>
          <w:rFonts w:hint="eastAsia"/>
        </w:rPr>
        <w:t>传感器完成对</w:t>
      </w:r>
      <w:r>
        <w:t>10</w:t>
      </w:r>
      <w:r>
        <w:rPr>
          <w:rFonts w:hint="eastAsia"/>
        </w:rPr>
        <w:t>号试样（或传感器量程内含水率最高的试样）的测试后，将传感器依次置于更低含水率的试样容器内，并逐个记录降湿过程中的读数。</w:t>
      </w:r>
    </w:p>
    <w:p w14:paraId="0BFE13D9">
      <w:pPr>
        <w:pStyle w:val="94"/>
        <w:spacing w:before="120" w:after="120"/>
      </w:pPr>
      <w:r>
        <w:rPr>
          <w:rFonts w:hint="eastAsia"/>
        </w:rPr>
        <w:t>读数要求</w:t>
      </w:r>
    </w:p>
    <w:p w14:paraId="59893F81">
      <w:pPr>
        <w:pStyle w:val="56"/>
        <w:ind w:firstLine="420"/>
      </w:pPr>
      <w:r>
        <w:rPr>
          <w:rFonts w:hint="eastAsia"/>
        </w:rPr>
        <w:t>计算同一试样的两次读数与规定值的差值，较大的差值即为该含水率条件下的传感器精度。</w:t>
      </w:r>
    </w:p>
    <w:p w14:paraId="03D0E056">
      <w:pPr>
        <w:pStyle w:val="56"/>
        <w:ind w:firstLine="420"/>
      </w:pPr>
      <w:r>
        <w:rPr>
          <w:rFonts w:hint="eastAsia"/>
        </w:rPr>
        <w:t>传感器量程内各个含水率梯度下计算得到的传感器精度，同时达到本标准和产品说明书规定的精度要求，则认定标定量程有效。</w:t>
      </w:r>
    </w:p>
    <w:p w14:paraId="31206BB3">
      <w:pPr>
        <w:pStyle w:val="56"/>
        <w:ind w:firstLine="420"/>
      </w:pPr>
      <w:r>
        <w:rPr>
          <w:rFonts w:hint="eastAsia"/>
        </w:rPr>
        <w:t>计算同一试样的两次读数的差值，最大的差值即为重复性读数。</w:t>
      </w:r>
    </w:p>
    <w:p w14:paraId="42D44800">
      <w:pPr>
        <w:pStyle w:val="65"/>
        <w:spacing w:before="120" w:after="120"/>
      </w:pPr>
      <w:r>
        <w:rPr>
          <w:rFonts w:hint="eastAsia"/>
        </w:rPr>
        <w:t>跃变试验</w:t>
      </w:r>
    </w:p>
    <w:p w14:paraId="27026160">
      <w:pPr>
        <w:pStyle w:val="94"/>
        <w:spacing w:before="120" w:after="120"/>
      </w:pPr>
      <w:r>
        <w:rPr>
          <w:rFonts w:hint="eastAsia"/>
        </w:rPr>
        <w:t>试验方法</w:t>
      </w:r>
    </w:p>
    <w:p w14:paraId="11DAF9F1">
      <w:pPr>
        <w:pStyle w:val="56"/>
        <w:ind w:firstLine="420"/>
      </w:pPr>
      <w:r>
        <w:rPr>
          <w:rFonts w:hint="eastAsia"/>
        </w:rPr>
        <w:t>选取传感器量程范围内含水率最高和含水率最低的试样，按照以下步骤开展试验：</w:t>
      </w:r>
    </w:p>
    <w:p w14:paraId="4325A65F">
      <w:pPr>
        <w:pStyle w:val="174"/>
        <w:numPr>
          <w:ilvl w:val="0"/>
          <w:numId w:val="42"/>
        </w:numPr>
      </w:pPr>
      <w:r>
        <w:rPr>
          <w:rFonts w:hint="eastAsia"/>
        </w:rPr>
        <w:t>将传感器置于装有</w:t>
      </w:r>
      <w:r>
        <w:t>0</w:t>
      </w:r>
      <w:r>
        <w:rPr>
          <w:rFonts w:hint="eastAsia"/>
        </w:rPr>
        <w:t>号试样（或传感器量程内含水率最低的试样）的容器内，待读数稳定后记录相应数值；</w:t>
      </w:r>
    </w:p>
    <w:p w14:paraId="27D56BAC">
      <w:pPr>
        <w:pStyle w:val="174"/>
      </w:pPr>
      <w:r>
        <w:rPr>
          <w:rFonts w:hint="eastAsia"/>
        </w:rPr>
        <w:t>迅速将传感器置于装有</w:t>
      </w:r>
      <w:r>
        <w:t>10</w:t>
      </w:r>
      <w:r>
        <w:rPr>
          <w:rFonts w:hint="eastAsia"/>
        </w:rPr>
        <w:t>号试样（或传感器量程内含水率最高的试样）的容器内，此过程不应超过</w:t>
      </w:r>
      <w:r>
        <w:t xml:space="preserve">3 </w:t>
      </w:r>
      <w:r>
        <w:rPr>
          <w:rFonts w:hint="eastAsia"/>
        </w:rPr>
        <w:t>s，持续观察并记录达到稳定读数的时间周期和传感器的稳定读数；</w:t>
      </w:r>
    </w:p>
    <w:p w14:paraId="5C42E7B9">
      <w:pPr>
        <w:pStyle w:val="174"/>
      </w:pPr>
      <w:r>
        <w:rPr>
          <w:rFonts w:hint="eastAsia"/>
        </w:rPr>
        <w:t>迅速将传感器重新放回装有</w:t>
      </w:r>
      <w:r>
        <w:t>0</w:t>
      </w:r>
      <w:r>
        <w:rPr>
          <w:rFonts w:hint="eastAsia"/>
        </w:rPr>
        <w:t>号试样（或传感器量程内含水率最低的试样）的容器内，重复上述动作；</w:t>
      </w:r>
    </w:p>
    <w:p w14:paraId="679726B6">
      <w:pPr>
        <w:pStyle w:val="174"/>
      </w:pPr>
      <w:r>
        <w:rPr>
          <w:rFonts w:hint="eastAsia"/>
        </w:rPr>
        <w:t>完成记录之后放入装有</w:t>
      </w:r>
      <w:r>
        <w:t>10</w:t>
      </w:r>
      <w:r>
        <w:rPr>
          <w:rFonts w:hint="eastAsia"/>
        </w:rPr>
        <w:t>号试样（或传感器量程内含水率最高的试样）的容器内，持续观察并记录达到稳定读数的时间周期和传感器的稳定读数。</w:t>
      </w:r>
    </w:p>
    <w:p w14:paraId="215E61F7">
      <w:pPr>
        <w:pStyle w:val="94"/>
        <w:spacing w:before="120" w:after="120"/>
      </w:pPr>
      <w:r>
        <w:rPr>
          <w:rFonts w:hint="eastAsia"/>
        </w:rPr>
        <w:t>读数要求</w:t>
      </w:r>
    </w:p>
    <w:p w14:paraId="276C39AF">
      <w:pPr>
        <w:pStyle w:val="56"/>
        <w:ind w:firstLine="420"/>
      </w:pPr>
      <w:r>
        <w:rPr>
          <w:rFonts w:hint="eastAsia"/>
        </w:rPr>
        <w:t>传感器在两个含水率条件下的精度和重复性应符合本标准要求，计算多次达到稳定读数时间周期的平均值，即为响应时间。</w:t>
      </w:r>
    </w:p>
    <w:p w14:paraId="259B9EB3">
      <w:pPr>
        <w:pStyle w:val="65"/>
        <w:spacing w:before="120" w:after="120"/>
      </w:pPr>
      <w:r>
        <w:rPr>
          <w:rFonts w:hint="eastAsia"/>
        </w:rPr>
        <w:t>变温试验</w:t>
      </w:r>
    </w:p>
    <w:p w14:paraId="72842C9D">
      <w:pPr>
        <w:pStyle w:val="56"/>
        <w:ind w:firstLine="420"/>
      </w:pPr>
      <w:r>
        <w:rPr>
          <w:rFonts w:hint="eastAsia"/>
        </w:rPr>
        <w:t>按照</w:t>
      </w:r>
      <w:r>
        <w:t>GB/T 45955</w:t>
      </w:r>
      <w:r>
        <w:rPr>
          <w:rFonts w:hint="eastAsia"/>
        </w:rPr>
        <w:t>的规定进行。</w:t>
      </w:r>
    </w:p>
    <w:p w14:paraId="760C3B94">
      <w:pPr>
        <w:pStyle w:val="105"/>
        <w:spacing w:before="120" w:after="120"/>
      </w:pPr>
      <w:bookmarkStart w:id="65" w:name="_Toc236849480"/>
      <w:r>
        <w:rPr>
          <w:rFonts w:hint="eastAsia"/>
        </w:rPr>
        <w:t>安全性能</w:t>
      </w:r>
      <w:bookmarkEnd w:id="65"/>
    </w:p>
    <w:p w14:paraId="39ACD684">
      <w:pPr>
        <w:pStyle w:val="65"/>
        <w:spacing w:before="120" w:after="120"/>
      </w:pPr>
      <w:r>
        <w:rPr>
          <w:rFonts w:hint="eastAsia"/>
        </w:rPr>
        <w:t>环境运行试验</w:t>
      </w:r>
    </w:p>
    <w:p w14:paraId="713BDA23">
      <w:pPr>
        <w:pStyle w:val="56"/>
        <w:ind w:firstLine="420"/>
      </w:pPr>
      <w:r>
        <w:rPr>
          <w:rFonts w:hint="eastAsia"/>
        </w:rPr>
        <w:t>按照GB/T 16838-2021中5.1、5.3和5.7规定的严酷等级Ⅳ的要求，依次进行。</w:t>
      </w:r>
    </w:p>
    <w:p w14:paraId="08674446">
      <w:pPr>
        <w:pStyle w:val="65"/>
        <w:spacing w:before="120" w:after="120"/>
      </w:pPr>
      <w:r>
        <w:rPr>
          <w:rFonts w:hint="eastAsia"/>
        </w:rPr>
        <w:t>伸出组件强度试验</w:t>
      </w:r>
    </w:p>
    <w:p w14:paraId="2A0AE95C">
      <w:pPr>
        <w:pStyle w:val="56"/>
        <w:ind w:firstLine="420"/>
      </w:pPr>
      <w:r>
        <w:rPr>
          <w:rFonts w:hint="eastAsia"/>
        </w:rPr>
        <w:t>按照GB/T 2423.60</w:t>
      </w:r>
      <w:r>
        <w:t>-2008</w:t>
      </w:r>
      <w:r>
        <w:rPr>
          <w:rFonts w:hint="eastAsia"/>
        </w:rPr>
        <w:t>中第3章“试验Ua</w:t>
      </w:r>
      <w:r>
        <w:t>1</w:t>
      </w:r>
      <w:r>
        <w:rPr>
          <w:rFonts w:hint="eastAsia"/>
        </w:rPr>
        <w:t>：拉力试验”的规定进行。</w:t>
      </w:r>
    </w:p>
    <w:p w14:paraId="50906430">
      <w:pPr>
        <w:pStyle w:val="65"/>
        <w:spacing w:before="120" w:after="120"/>
      </w:pPr>
      <w:r>
        <w:rPr>
          <w:rFonts w:hint="eastAsia"/>
        </w:rPr>
        <w:t>冲击试验</w:t>
      </w:r>
    </w:p>
    <w:p w14:paraId="5C674838">
      <w:pPr>
        <w:pStyle w:val="56"/>
        <w:ind w:firstLine="420"/>
      </w:pPr>
      <w:r>
        <w:rPr>
          <w:rFonts w:hint="eastAsia"/>
        </w:rPr>
        <w:t>按照GB/T 16838-2021中5.</w:t>
      </w:r>
      <w:r>
        <w:t>10</w:t>
      </w:r>
      <w:r>
        <w:rPr>
          <w:rFonts w:hint="eastAsia"/>
        </w:rPr>
        <w:t>规定的严酷等级Ⅳ的要求进行。</w:t>
      </w:r>
    </w:p>
    <w:p w14:paraId="666E46F5">
      <w:pPr>
        <w:pStyle w:val="65"/>
        <w:spacing w:before="120" w:after="120"/>
      </w:pPr>
      <w:r>
        <w:rPr>
          <w:rFonts w:hint="eastAsia"/>
        </w:rPr>
        <w:t>振动试验</w:t>
      </w:r>
    </w:p>
    <w:p w14:paraId="14486293">
      <w:pPr>
        <w:pStyle w:val="56"/>
        <w:ind w:firstLine="420"/>
      </w:pPr>
      <w:r>
        <w:rPr>
          <w:rFonts w:hint="eastAsia"/>
        </w:rPr>
        <w:t>按照GB/T 16838-2021中5.1</w:t>
      </w:r>
      <w:r>
        <w:t>2</w:t>
      </w:r>
      <w:r>
        <w:rPr>
          <w:rFonts w:hint="eastAsia"/>
        </w:rPr>
        <w:t>规定的严酷等级Ⅳ的要求进行。</w:t>
      </w:r>
    </w:p>
    <w:p w14:paraId="34FC97DB">
      <w:pPr>
        <w:pStyle w:val="65"/>
        <w:spacing w:before="120" w:after="120"/>
      </w:pPr>
      <w:r>
        <w:rPr>
          <w:rFonts w:hint="eastAsia"/>
        </w:rPr>
        <w:t>环境耐受试验</w:t>
      </w:r>
    </w:p>
    <w:p w14:paraId="3F48341D">
      <w:pPr>
        <w:pStyle w:val="56"/>
        <w:ind w:firstLine="420"/>
      </w:pPr>
      <w:r>
        <w:rPr>
          <w:rFonts w:hint="eastAsia"/>
        </w:rPr>
        <w:t>按照GB/T 16838-2021中5</w:t>
      </w:r>
      <w:r>
        <w:t>.16</w:t>
      </w:r>
      <w:r>
        <w:rPr>
          <w:rFonts w:hint="eastAsia"/>
        </w:rPr>
        <w:t>～</w:t>
      </w:r>
      <w:r>
        <w:t>5.18</w:t>
      </w:r>
      <w:r>
        <w:rPr>
          <w:rFonts w:hint="eastAsia"/>
        </w:rPr>
        <w:t>规定的严酷等级Ⅳ的要求，依次进行。</w:t>
      </w:r>
    </w:p>
    <w:p w14:paraId="2A800E8F">
      <w:pPr>
        <w:pStyle w:val="65"/>
        <w:spacing w:before="120" w:after="120"/>
      </w:pPr>
      <w:r>
        <w:rPr>
          <w:rFonts w:hint="eastAsia"/>
        </w:rPr>
        <w:t>耐久试验</w:t>
      </w:r>
    </w:p>
    <w:p w14:paraId="67515D85">
      <w:pPr>
        <w:pStyle w:val="56"/>
        <w:ind w:firstLine="420"/>
      </w:pPr>
      <w:r>
        <w:rPr>
          <w:rFonts w:hint="eastAsia"/>
        </w:rPr>
        <w:t>按照GB/T 16838-2021中5.</w:t>
      </w:r>
      <w:r>
        <w:t>2</w:t>
      </w:r>
      <w:r>
        <w:rPr>
          <w:rFonts w:hint="eastAsia"/>
        </w:rPr>
        <w:t>、5.</w:t>
      </w:r>
      <w:r>
        <w:t>4</w:t>
      </w:r>
      <w:r>
        <w:rPr>
          <w:rFonts w:hint="eastAsia"/>
        </w:rPr>
        <w:t>、5</w:t>
      </w:r>
      <w:r>
        <w:t>.6</w:t>
      </w:r>
      <w:r>
        <w:rPr>
          <w:rFonts w:hint="eastAsia"/>
        </w:rPr>
        <w:t>和5</w:t>
      </w:r>
      <w:r>
        <w:t>.8</w:t>
      </w:r>
      <w:r>
        <w:rPr>
          <w:rFonts w:hint="eastAsia"/>
        </w:rPr>
        <w:t>，依次进行。</w:t>
      </w:r>
    </w:p>
    <w:p w14:paraId="24D7B077">
      <w:pPr>
        <w:pStyle w:val="65"/>
        <w:spacing w:before="120" w:after="120"/>
      </w:pPr>
      <w:r>
        <w:rPr>
          <w:rFonts w:hint="eastAsia"/>
        </w:rPr>
        <w:t>防护等级试验</w:t>
      </w:r>
    </w:p>
    <w:p w14:paraId="5C4DD00D">
      <w:pPr>
        <w:pStyle w:val="56"/>
        <w:ind w:firstLine="420"/>
      </w:pPr>
      <w:r>
        <w:rPr>
          <w:rFonts w:hint="eastAsia"/>
        </w:rPr>
        <w:t>按照GB</w:t>
      </w:r>
      <w:r>
        <w:t xml:space="preserve"> 4208</w:t>
      </w:r>
      <w:r>
        <w:rPr>
          <w:rFonts w:hint="eastAsia"/>
        </w:rPr>
        <w:t>的规定进行。</w:t>
      </w:r>
    </w:p>
    <w:p w14:paraId="7D9B0E3E">
      <w:pPr>
        <w:pStyle w:val="104"/>
        <w:spacing w:before="240" w:after="240"/>
      </w:pPr>
      <w:bookmarkStart w:id="66" w:name="_Toc236849481"/>
      <w:r>
        <w:rPr>
          <w:rFonts w:hint="eastAsia"/>
        </w:rPr>
        <w:t>检验规则</w:t>
      </w:r>
      <w:bookmarkEnd w:id="66"/>
    </w:p>
    <w:p w14:paraId="653E8A0C">
      <w:pPr>
        <w:pStyle w:val="105"/>
        <w:spacing w:before="120" w:after="120"/>
      </w:pPr>
      <w:bookmarkStart w:id="67" w:name="_Toc236849482"/>
      <w:r>
        <w:rPr>
          <w:rFonts w:hint="eastAsia"/>
        </w:rPr>
        <w:t>检验分类</w:t>
      </w:r>
      <w:bookmarkEnd w:id="67"/>
    </w:p>
    <w:p w14:paraId="1C447000">
      <w:pPr>
        <w:pStyle w:val="56"/>
        <w:ind w:firstLine="420"/>
      </w:pPr>
      <w:r>
        <w:rPr>
          <w:rFonts w:hint="eastAsia"/>
        </w:rPr>
        <w:t>传感器的检验分为出厂检验和型式检验。</w:t>
      </w:r>
    </w:p>
    <w:p w14:paraId="244E072A">
      <w:pPr>
        <w:pStyle w:val="105"/>
        <w:spacing w:before="120" w:after="120"/>
      </w:pPr>
      <w:bookmarkStart w:id="68" w:name="_Toc236849483"/>
      <w:r>
        <w:rPr>
          <w:rFonts w:hint="eastAsia"/>
        </w:rPr>
        <w:t>出厂检验</w:t>
      </w:r>
      <w:bookmarkEnd w:id="68"/>
    </w:p>
    <w:p w14:paraId="26282B27">
      <w:pPr>
        <w:pStyle w:val="165"/>
      </w:pPr>
      <w:r>
        <w:rPr>
          <w:rFonts w:hint="eastAsia"/>
        </w:rPr>
        <w:t>产品出厂前，须逐台进行检验，检验项目全部合格后方可签发合格证，准予出厂。</w:t>
      </w:r>
    </w:p>
    <w:p w14:paraId="038AE1EC">
      <w:pPr>
        <w:pStyle w:val="165"/>
      </w:pPr>
      <w:r>
        <w:rPr>
          <w:rFonts w:hint="eastAsia"/>
        </w:rPr>
        <w:t>出厂检验的项目应包括本文件6</w:t>
      </w:r>
      <w:r>
        <w:t>.1</w:t>
      </w:r>
      <w:r>
        <w:rPr>
          <w:rFonts w:hint="eastAsia"/>
        </w:rPr>
        <w:t>规定的探测性能试验的全部内容。</w:t>
      </w:r>
    </w:p>
    <w:p w14:paraId="5F430980">
      <w:pPr>
        <w:pStyle w:val="105"/>
        <w:spacing w:before="120" w:after="120"/>
      </w:pPr>
      <w:bookmarkStart w:id="69" w:name="_Toc236849484"/>
      <w:r>
        <w:rPr>
          <w:rFonts w:hint="eastAsia"/>
        </w:rPr>
        <w:t>型式检验</w:t>
      </w:r>
      <w:bookmarkEnd w:id="69"/>
    </w:p>
    <w:p w14:paraId="5E066A94">
      <w:pPr>
        <w:pStyle w:val="165"/>
      </w:pPr>
      <w:r>
        <w:rPr>
          <w:rFonts w:hint="eastAsia"/>
        </w:rPr>
        <w:t>型式检验的样品按照GB</w:t>
      </w:r>
      <w:r>
        <w:t>/</w:t>
      </w:r>
      <w:r>
        <w:rPr>
          <w:rFonts w:hint="eastAsia"/>
        </w:rPr>
        <w:t>T</w:t>
      </w:r>
      <w:r>
        <w:t xml:space="preserve"> 10111</w:t>
      </w:r>
      <w:r>
        <w:rPr>
          <w:rFonts w:hint="eastAsia"/>
        </w:rPr>
        <w:t>规定的方法，从出厂检验合格的产品中抽取。</w:t>
      </w:r>
    </w:p>
    <w:p w14:paraId="7071C3B2">
      <w:pPr>
        <w:pStyle w:val="165"/>
      </w:pPr>
      <w:r>
        <w:rPr>
          <w:rFonts w:hint="eastAsia"/>
        </w:rPr>
        <w:t>型式检验的项目为本文件规定的全部试验项目。</w:t>
      </w:r>
    </w:p>
    <w:p w14:paraId="7F35DC2F">
      <w:pPr>
        <w:pStyle w:val="165"/>
      </w:pPr>
      <w:r>
        <w:rPr>
          <w:rFonts w:hint="eastAsia"/>
        </w:rPr>
        <w:t>有下列情况之一时，应进行型式检验：</w:t>
      </w:r>
    </w:p>
    <w:p w14:paraId="337386CD">
      <w:pPr>
        <w:pStyle w:val="174"/>
        <w:numPr>
          <w:ilvl w:val="0"/>
          <w:numId w:val="43"/>
        </w:numPr>
      </w:pPr>
      <w:r>
        <w:rPr>
          <w:rFonts w:hint="eastAsia"/>
        </w:rPr>
        <w:t>新产品或老产品转厂生产时的试制定型鉴定；</w:t>
      </w:r>
    </w:p>
    <w:p w14:paraId="6D9C688B">
      <w:pPr>
        <w:pStyle w:val="174"/>
      </w:pPr>
      <w:r>
        <w:rPr>
          <w:rFonts w:hint="eastAsia"/>
        </w:rPr>
        <w:t>正式生产后，产品的结构、主要零部件、生产工艺等有较大的改变，可能影响产品性能；</w:t>
      </w:r>
    </w:p>
    <w:p w14:paraId="76BA0161">
      <w:pPr>
        <w:pStyle w:val="174"/>
      </w:pPr>
      <w:r>
        <w:rPr>
          <w:rFonts w:hint="eastAsia"/>
        </w:rPr>
        <w:t>产品停产</w:t>
      </w:r>
      <w:r>
        <w:t>1</w:t>
      </w:r>
      <w:r>
        <w:rPr>
          <w:rFonts w:hint="eastAsia"/>
        </w:rPr>
        <w:t>年以上恢复生产；</w:t>
      </w:r>
    </w:p>
    <w:p w14:paraId="09B3013C">
      <w:pPr>
        <w:pStyle w:val="174"/>
      </w:pPr>
      <w:r>
        <w:rPr>
          <w:rFonts w:hint="eastAsia"/>
        </w:rPr>
        <w:t>发生重大质量事故整改后；</w:t>
      </w:r>
    </w:p>
    <w:p w14:paraId="5179EE75">
      <w:pPr>
        <w:pStyle w:val="174"/>
      </w:pPr>
      <w:r>
        <w:rPr>
          <w:rFonts w:hint="eastAsia"/>
        </w:rPr>
        <w:t>质量监督部门依法提出要求。</w:t>
      </w:r>
    </w:p>
    <w:p w14:paraId="6C5C1D22">
      <w:pPr>
        <w:pStyle w:val="165"/>
      </w:pPr>
      <w:r>
        <w:rPr>
          <w:rFonts w:hint="eastAsia"/>
        </w:rPr>
        <w:t>检验结果按GB 12978中规定的型式检验结果判定方法进行判定</w:t>
      </w:r>
    </w:p>
    <w:p w14:paraId="27A0B743">
      <w:pPr>
        <w:pStyle w:val="104"/>
        <w:spacing w:before="240" w:after="240"/>
      </w:pPr>
      <w:bookmarkStart w:id="70" w:name="_Toc236849485"/>
      <w:r>
        <w:rPr>
          <w:rFonts w:hint="eastAsia"/>
        </w:rPr>
        <w:t>标志、使用说明书、包装、运输和贮存</w:t>
      </w:r>
      <w:bookmarkEnd w:id="70"/>
    </w:p>
    <w:p w14:paraId="3865F682">
      <w:pPr>
        <w:pStyle w:val="105"/>
        <w:spacing w:before="120" w:after="120"/>
      </w:pPr>
      <w:bookmarkStart w:id="71" w:name="_Toc236849486"/>
      <w:r>
        <w:rPr>
          <w:rFonts w:hint="eastAsia"/>
        </w:rPr>
        <w:t>标志</w:t>
      </w:r>
      <w:bookmarkEnd w:id="71"/>
    </w:p>
    <w:p w14:paraId="3AAEB397">
      <w:pPr>
        <w:pStyle w:val="65"/>
        <w:spacing w:before="120" w:after="120"/>
      </w:pPr>
      <w:r>
        <w:rPr>
          <w:rFonts w:hint="eastAsia"/>
        </w:rPr>
        <w:t>要求</w:t>
      </w:r>
    </w:p>
    <w:p w14:paraId="5B2C83F1">
      <w:pPr>
        <w:pStyle w:val="164"/>
      </w:pPr>
      <w:r>
        <w:rPr>
          <w:rFonts w:hint="eastAsia"/>
        </w:rPr>
        <w:t>产品标志应清晰、耐久，置于产品外部醒目位置。</w:t>
      </w:r>
    </w:p>
    <w:p w14:paraId="55CE9775">
      <w:pPr>
        <w:pStyle w:val="164"/>
      </w:pPr>
      <w:r>
        <w:rPr>
          <w:rFonts w:hint="eastAsia"/>
        </w:rPr>
        <w:t>产品标志应包括标牌、安全操作标识和其它防伪标识等。</w:t>
      </w:r>
    </w:p>
    <w:p w14:paraId="71953459">
      <w:pPr>
        <w:pStyle w:val="164"/>
      </w:pPr>
      <w:r>
        <w:rPr>
          <w:rFonts w:hint="eastAsia"/>
        </w:rPr>
        <w:t>产品标牌应包括以下内容：</w:t>
      </w:r>
    </w:p>
    <w:p w14:paraId="0EE555B3">
      <w:pPr>
        <w:pStyle w:val="174"/>
        <w:numPr>
          <w:ilvl w:val="0"/>
          <w:numId w:val="44"/>
        </w:numPr>
      </w:pPr>
      <w:r>
        <w:rPr>
          <w:rFonts w:hint="eastAsia"/>
        </w:rPr>
        <w:t>产品型号、名称；</w:t>
      </w:r>
    </w:p>
    <w:p w14:paraId="0F156961">
      <w:pPr>
        <w:pStyle w:val="174"/>
      </w:pPr>
      <w:r>
        <w:rPr>
          <w:rFonts w:hint="eastAsia"/>
        </w:rPr>
        <w:t>产品执行的标准编号；</w:t>
      </w:r>
    </w:p>
    <w:p w14:paraId="43786E4D">
      <w:pPr>
        <w:pStyle w:val="174"/>
      </w:pPr>
      <w:r>
        <w:rPr>
          <w:rFonts w:hint="eastAsia"/>
        </w:rPr>
        <w:t>产品制造商、生产地址；</w:t>
      </w:r>
    </w:p>
    <w:p w14:paraId="7E2C656C">
      <w:pPr>
        <w:pStyle w:val="174"/>
      </w:pPr>
      <w:r>
        <w:rPr>
          <w:rFonts w:hint="eastAsia"/>
        </w:rPr>
        <w:t>主要技术参数（采集参数的量程、精度、分辨率，以及传感器的适用环境）；</w:t>
      </w:r>
    </w:p>
    <w:p w14:paraId="1AE1DE9F">
      <w:pPr>
        <w:pStyle w:val="174"/>
      </w:pPr>
      <w:r>
        <w:rPr>
          <w:rFonts w:hint="eastAsia"/>
        </w:rPr>
        <w:t>出厂编号及生产日期。</w:t>
      </w:r>
    </w:p>
    <w:p w14:paraId="65287512">
      <w:pPr>
        <w:pStyle w:val="65"/>
        <w:spacing w:before="120" w:after="120"/>
      </w:pPr>
      <w:r>
        <w:rPr>
          <w:rFonts w:hint="eastAsia"/>
        </w:rPr>
        <w:t>检验</w:t>
      </w:r>
    </w:p>
    <w:p w14:paraId="5C201013">
      <w:pPr>
        <w:pStyle w:val="56"/>
        <w:ind w:firstLine="420"/>
      </w:pPr>
      <w:r>
        <w:rPr>
          <w:rFonts w:hint="eastAsia"/>
        </w:rPr>
        <w:t>目视检查。</w:t>
      </w:r>
    </w:p>
    <w:p w14:paraId="55158F41">
      <w:pPr>
        <w:pStyle w:val="105"/>
        <w:spacing w:before="120" w:after="120"/>
      </w:pPr>
      <w:r>
        <w:t xml:space="preserve"> </w:t>
      </w:r>
      <w:bookmarkStart w:id="72" w:name="_Toc236849487"/>
      <w:r>
        <w:rPr>
          <w:rFonts w:hint="eastAsia"/>
        </w:rPr>
        <w:t>使用说明书</w:t>
      </w:r>
      <w:bookmarkEnd w:id="72"/>
    </w:p>
    <w:p w14:paraId="37258F19">
      <w:pPr>
        <w:pStyle w:val="65"/>
        <w:spacing w:before="120" w:after="120"/>
      </w:pPr>
      <w:r>
        <w:rPr>
          <w:rFonts w:hint="eastAsia"/>
        </w:rPr>
        <w:t>要求</w:t>
      </w:r>
    </w:p>
    <w:p w14:paraId="36EF8DCC">
      <w:pPr>
        <w:pStyle w:val="164"/>
      </w:pPr>
      <w:r>
        <w:rPr>
          <w:rFonts w:hint="eastAsia"/>
        </w:rPr>
        <w:t>产品使用说明书应按GB/T 5296.1的规定编写。</w:t>
      </w:r>
    </w:p>
    <w:p w14:paraId="1F1F8B2D">
      <w:pPr>
        <w:pStyle w:val="164"/>
      </w:pPr>
      <w:r>
        <w:rPr>
          <w:rFonts w:hint="eastAsia"/>
        </w:rPr>
        <w:t>产品使用说明书中应给出型式检验要求的所有技术参数，产品技术参数以检测报告参数值为准。</w:t>
      </w:r>
    </w:p>
    <w:p w14:paraId="5509074F">
      <w:pPr>
        <w:pStyle w:val="164"/>
      </w:pPr>
      <w:r>
        <w:rPr>
          <w:rFonts w:hint="eastAsia"/>
        </w:rPr>
        <w:t>使用说明书应详细说明正确的组装程序、操作规程、调试方法、安全守则、运输及保养规则。</w:t>
      </w:r>
    </w:p>
    <w:p w14:paraId="182AFC71">
      <w:pPr>
        <w:pStyle w:val="164"/>
      </w:pPr>
      <w:r>
        <w:rPr>
          <w:rFonts w:hint="eastAsia"/>
        </w:rPr>
        <w:t>说明书应附结构示意图，还应提示用户在进行上述工作时的注意事项，特别对一些可能产生危险后果及人身伤害的操纵控制，应做出醒目的警示说明。</w:t>
      </w:r>
    </w:p>
    <w:p w14:paraId="44232C47">
      <w:pPr>
        <w:pStyle w:val="65"/>
        <w:spacing w:before="120" w:after="120"/>
      </w:pPr>
      <w:r>
        <w:rPr>
          <w:rFonts w:hint="eastAsia"/>
        </w:rPr>
        <w:t>检验</w:t>
      </w:r>
    </w:p>
    <w:p w14:paraId="14668699">
      <w:pPr>
        <w:pStyle w:val="56"/>
        <w:ind w:firstLine="420"/>
      </w:pPr>
      <w:r>
        <w:rPr>
          <w:rFonts w:hint="eastAsia"/>
        </w:rPr>
        <w:t>目视检查。</w:t>
      </w:r>
    </w:p>
    <w:p w14:paraId="3C465727">
      <w:pPr>
        <w:pStyle w:val="105"/>
        <w:spacing w:before="120" w:after="120"/>
      </w:pPr>
      <w:bookmarkStart w:id="73" w:name="_Toc236849488"/>
      <w:r>
        <w:rPr>
          <w:rFonts w:hint="eastAsia"/>
        </w:rPr>
        <w:t>包装</w:t>
      </w:r>
      <w:bookmarkEnd w:id="73"/>
    </w:p>
    <w:p w14:paraId="718A3627">
      <w:pPr>
        <w:pStyle w:val="65"/>
        <w:spacing w:before="120" w:after="120"/>
      </w:pPr>
      <w:r>
        <w:rPr>
          <w:rFonts w:hint="eastAsia"/>
        </w:rPr>
        <w:t>要求</w:t>
      </w:r>
    </w:p>
    <w:p w14:paraId="5E4C5ED7">
      <w:pPr>
        <w:pStyle w:val="164"/>
      </w:pPr>
      <w:r>
        <w:rPr>
          <w:rFonts w:hint="eastAsia"/>
        </w:rPr>
        <w:t>出厂前应采取防腐蚀的措施，包装应牢固、可靠、防潮，装箱后应固定稳妥。</w:t>
      </w:r>
    </w:p>
    <w:p w14:paraId="32DF54DE">
      <w:pPr>
        <w:pStyle w:val="164"/>
      </w:pPr>
      <w:r>
        <w:rPr>
          <w:rFonts w:hint="eastAsia"/>
        </w:rPr>
        <w:t>包装和包装箱应符合GB/T 191、GB/T 6388和GB/T 13384的规定。</w:t>
      </w:r>
    </w:p>
    <w:p w14:paraId="3CC79EAB">
      <w:pPr>
        <w:pStyle w:val="164"/>
      </w:pPr>
      <w:r>
        <w:rPr>
          <w:rFonts w:hint="eastAsia"/>
        </w:rPr>
        <w:t>出厂随机附件、备件、工具和技术文件应齐全，技术文件至少包括：</w:t>
      </w:r>
    </w:p>
    <w:p w14:paraId="7A8260AF">
      <w:pPr>
        <w:pStyle w:val="174"/>
        <w:numPr>
          <w:ilvl w:val="0"/>
          <w:numId w:val="45"/>
        </w:numPr>
      </w:pPr>
      <w:r>
        <w:rPr>
          <w:rFonts w:hint="eastAsia"/>
        </w:rPr>
        <w:t>产品合格证；</w:t>
      </w:r>
    </w:p>
    <w:p w14:paraId="76C4144E">
      <w:pPr>
        <w:pStyle w:val="174"/>
      </w:pPr>
      <w:r>
        <w:rPr>
          <w:rFonts w:hint="eastAsia"/>
        </w:rPr>
        <w:t>产品说明书；</w:t>
      </w:r>
    </w:p>
    <w:p w14:paraId="7221AAB8">
      <w:pPr>
        <w:pStyle w:val="174"/>
      </w:pPr>
      <w:r>
        <w:rPr>
          <w:rFonts w:hint="eastAsia"/>
        </w:rPr>
        <w:t>装箱单。</w:t>
      </w:r>
    </w:p>
    <w:p w14:paraId="05C559EF">
      <w:pPr>
        <w:pStyle w:val="164"/>
      </w:pPr>
      <w:r>
        <w:rPr>
          <w:rFonts w:hint="eastAsia"/>
        </w:rPr>
        <w:t>如用户另有要求，可按合同执行。</w:t>
      </w:r>
    </w:p>
    <w:p w14:paraId="7F17DA7F">
      <w:pPr>
        <w:pStyle w:val="65"/>
        <w:spacing w:before="120" w:after="120"/>
      </w:pPr>
      <w:r>
        <w:rPr>
          <w:rFonts w:hint="eastAsia"/>
        </w:rPr>
        <w:t>检验</w:t>
      </w:r>
    </w:p>
    <w:p w14:paraId="51262E93">
      <w:pPr>
        <w:pStyle w:val="56"/>
        <w:ind w:firstLine="420"/>
      </w:pPr>
      <w:r>
        <w:rPr>
          <w:rFonts w:hint="eastAsia"/>
        </w:rPr>
        <w:t>目视进行检查。</w:t>
      </w:r>
    </w:p>
    <w:p w14:paraId="40D5A1BB">
      <w:pPr>
        <w:pStyle w:val="105"/>
        <w:spacing w:before="120" w:after="120"/>
      </w:pPr>
      <w:bookmarkStart w:id="74" w:name="_Toc236849489"/>
      <w:r>
        <w:rPr>
          <w:rFonts w:hint="eastAsia"/>
        </w:rPr>
        <w:t>运输和贮存</w:t>
      </w:r>
      <w:bookmarkEnd w:id="74"/>
    </w:p>
    <w:p w14:paraId="5EAA6517">
      <w:pPr>
        <w:pStyle w:val="165"/>
      </w:pPr>
      <w:r>
        <w:rPr>
          <w:rFonts w:hint="eastAsia"/>
        </w:rPr>
        <w:t>在运输和贮存过程中，不应碰撞、受潮、受压。</w:t>
      </w:r>
    </w:p>
    <w:p w14:paraId="72A665CF">
      <w:pPr>
        <w:pStyle w:val="165"/>
      </w:pPr>
      <w:r>
        <w:rPr>
          <w:rFonts w:hint="eastAsia" w:ascii="Segoe UI" w:hAnsi="Segoe UI" w:cs="Segoe UI"/>
          <w:shd w:val="clear" w:color="auto" w:fill="FFFFFF"/>
        </w:rPr>
        <w:t>应</w:t>
      </w:r>
      <w:r>
        <w:rPr>
          <w:rFonts w:ascii="Segoe UI" w:hAnsi="Segoe UI" w:cs="Segoe UI"/>
          <w:shd w:val="clear" w:color="auto" w:fill="FFFFFF"/>
        </w:rPr>
        <w:t>使用洁净密封包装、避免与含油类物质同批次存放或接触</w:t>
      </w:r>
    </w:p>
    <w:p w14:paraId="484B8004">
      <w:pPr>
        <w:pStyle w:val="165"/>
      </w:pPr>
      <w:r>
        <w:rPr>
          <w:rFonts w:hint="eastAsia"/>
        </w:rPr>
        <w:t>应贮存在干燥、通风的仓库中，不应露天堆放，并应避免与腐蚀性物质混放。</w:t>
      </w:r>
    </w:p>
    <w:p w14:paraId="49F4FB3F">
      <w:pPr>
        <w:pStyle w:val="165"/>
      </w:pPr>
      <w:r>
        <w:rPr>
          <w:rFonts w:hint="eastAsia"/>
        </w:rPr>
        <w:t>按说明书规定在正常贮存保养状态下，在两年内应能正常使用。</w:t>
      </w:r>
    </w:p>
    <w:p w14:paraId="159772BA">
      <w:pPr>
        <w:pStyle w:val="56"/>
        <w:ind w:firstLine="420"/>
      </w:pPr>
    </w:p>
    <w:p w14:paraId="51F132E6">
      <w:pPr>
        <w:pStyle w:val="56"/>
        <w:ind w:firstLine="420"/>
        <w:sectPr>
          <w:pgSz w:w="11906" w:h="16838"/>
          <w:pgMar w:top="1928" w:right="1134" w:bottom="1134" w:left="1134" w:header="1418" w:footer="1134" w:gutter="284"/>
          <w:pgNumType w:start="1"/>
          <w:cols w:space="425" w:num="1"/>
          <w:formProt w:val="0"/>
          <w:docGrid w:linePitch="312" w:charSpace="0"/>
        </w:sectPr>
      </w:pPr>
    </w:p>
    <w:bookmarkEnd w:id="25"/>
    <w:p w14:paraId="11EDA60A">
      <w:pPr>
        <w:pStyle w:val="198"/>
        <w:rPr>
          <w:rFonts w:hint="eastAsia"/>
        </w:rPr>
      </w:pPr>
      <w:bookmarkStart w:id="75" w:name="BookMark5"/>
    </w:p>
    <w:p w14:paraId="07AA7FCE">
      <w:pPr>
        <w:pStyle w:val="199"/>
      </w:pPr>
    </w:p>
    <w:p w14:paraId="0A34BE25">
      <w:pPr>
        <w:pStyle w:val="76"/>
        <w:spacing w:after="120"/>
      </w:pPr>
      <w:r>
        <w:br w:type="textWrapping"/>
      </w:r>
      <w:bookmarkStart w:id="76" w:name="_Toc236849490"/>
      <w:r>
        <w:rPr>
          <w:rFonts w:hint="eastAsia"/>
        </w:rPr>
        <w:t>（资料性）</w:t>
      </w:r>
      <w:r>
        <w:br w:type="textWrapping"/>
      </w:r>
      <w:r>
        <w:rPr>
          <w:rFonts w:hint="eastAsia"/>
        </w:rPr>
        <w:t>传感器结构示意图</w:t>
      </w:r>
      <w:bookmarkEnd w:id="76"/>
    </w:p>
    <w:p w14:paraId="12AC24A8">
      <w:pPr>
        <w:pStyle w:val="56"/>
        <w:ind w:firstLine="420"/>
      </w:pPr>
      <w:r>
        <w:rPr>
          <w:rFonts w:hint="eastAsia"/>
        </w:rPr>
        <w:t>按照设备外形可将传感器分为管式传感器（G）和棒式传感器（B），结构示意图见图A</w:t>
      </w:r>
      <w:r>
        <w:t>.1</w:t>
      </w:r>
      <w:r>
        <w:rPr>
          <w:rFonts w:hint="eastAsia"/>
        </w:rPr>
        <w:t>和图A</w:t>
      </w:r>
      <w:r>
        <w:t>.2</w:t>
      </w:r>
      <w:r>
        <w:rPr>
          <w:rFonts w:hint="eastAsia"/>
        </w:rPr>
        <w:t>。</w:t>
      </w:r>
    </w:p>
    <w:p w14:paraId="4DACE555">
      <w:pPr>
        <w:pStyle w:val="56"/>
        <w:ind w:firstLine="0" w:firstLineChars="0"/>
        <w:jc w:val="center"/>
      </w:pPr>
    </w:p>
    <w:p w14:paraId="426AE942">
      <w:pPr>
        <w:pStyle w:val="56"/>
        <w:ind w:firstLine="0" w:firstLineChars="0"/>
        <w:jc w:val="center"/>
      </w:pPr>
      <w:r>
        <w:drawing>
          <wp:inline distT="0" distB="0" distL="0" distR="0">
            <wp:extent cx="5686425" cy="2869565"/>
            <wp:effectExtent l="0" t="0" r="0" b="6985"/>
            <wp:docPr id="3378824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82400" name="图片 1"/>
                    <pic:cNvPicPr>
                      <a:picLocks noChangeAspect="1"/>
                    </pic:cNvPicPr>
                  </pic:nvPicPr>
                  <pic:blipFill>
                    <a:blip r:embed="rId18"/>
                    <a:stretch>
                      <a:fillRect/>
                    </a:stretch>
                  </pic:blipFill>
                  <pic:spPr>
                    <a:xfrm>
                      <a:off x="0" y="0"/>
                      <a:ext cx="5718916" cy="2886359"/>
                    </a:xfrm>
                    <a:prstGeom prst="rect">
                      <a:avLst/>
                    </a:prstGeom>
                  </pic:spPr>
                </pic:pic>
              </a:graphicData>
            </a:graphic>
          </wp:inline>
        </w:drawing>
      </w:r>
    </w:p>
    <w:p w14:paraId="1EAAFA86">
      <w:pPr>
        <w:pStyle w:val="83"/>
        <w:spacing w:before="120" w:after="120"/>
      </w:pPr>
      <w:r>
        <w:rPr>
          <w:rFonts w:hint="eastAsia"/>
        </w:rPr>
        <w:t>管式传感器</w:t>
      </w:r>
    </w:p>
    <w:p w14:paraId="1C9D261D">
      <w:pPr>
        <w:pStyle w:val="56"/>
        <w:ind w:firstLine="0" w:firstLineChars="0"/>
        <w:jc w:val="center"/>
      </w:pPr>
    </w:p>
    <w:p w14:paraId="61C7C994">
      <w:pPr>
        <w:pStyle w:val="56"/>
        <w:ind w:firstLine="0" w:firstLineChars="0"/>
        <w:jc w:val="center"/>
      </w:pPr>
    </w:p>
    <w:p w14:paraId="71EA6AEF">
      <w:pPr>
        <w:pStyle w:val="56"/>
        <w:ind w:firstLine="0" w:firstLineChars="0"/>
        <w:jc w:val="center"/>
      </w:pPr>
      <w:r>
        <w:drawing>
          <wp:inline distT="0" distB="0" distL="0" distR="0">
            <wp:extent cx="2576830" cy="1985010"/>
            <wp:effectExtent l="0" t="0" r="0" b="0"/>
            <wp:docPr id="18419459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945964" name="图片 1"/>
                    <pic:cNvPicPr>
                      <a:picLocks noChangeAspect="1"/>
                    </pic:cNvPicPr>
                  </pic:nvPicPr>
                  <pic:blipFill>
                    <a:blip r:embed="rId19"/>
                    <a:stretch>
                      <a:fillRect/>
                    </a:stretch>
                  </pic:blipFill>
                  <pic:spPr>
                    <a:xfrm>
                      <a:off x="0" y="0"/>
                      <a:ext cx="2599482" cy="2002364"/>
                    </a:xfrm>
                    <a:prstGeom prst="rect">
                      <a:avLst/>
                    </a:prstGeom>
                  </pic:spPr>
                </pic:pic>
              </a:graphicData>
            </a:graphic>
          </wp:inline>
        </w:drawing>
      </w:r>
    </w:p>
    <w:p w14:paraId="477EAF3A">
      <w:pPr>
        <w:pStyle w:val="83"/>
        <w:spacing w:before="120" w:after="120"/>
      </w:pPr>
      <w:r>
        <w:rPr>
          <w:rFonts w:hint="eastAsia"/>
        </w:rPr>
        <w:t>棒式传感器</w:t>
      </w:r>
    </w:p>
    <w:p w14:paraId="501150AA">
      <w:pPr>
        <w:pStyle w:val="56"/>
        <w:ind w:firstLine="420"/>
        <w:sectPr>
          <w:pgSz w:w="11906" w:h="16838"/>
          <w:pgMar w:top="1928" w:right="1134" w:bottom="1134" w:left="1134" w:header="1418" w:footer="1134" w:gutter="284"/>
          <w:cols w:space="425" w:num="1"/>
          <w:formProt w:val="0"/>
          <w:docGrid w:linePitch="312" w:charSpace="0"/>
        </w:sectPr>
      </w:pPr>
    </w:p>
    <w:p w14:paraId="2C724EFD">
      <w:pPr>
        <w:pStyle w:val="198"/>
        <w:rPr>
          <w:rFonts w:hint="eastAsia"/>
        </w:rPr>
      </w:pPr>
    </w:p>
    <w:p w14:paraId="317C60A9">
      <w:pPr>
        <w:pStyle w:val="199"/>
      </w:pPr>
    </w:p>
    <w:p w14:paraId="707C85CB">
      <w:pPr>
        <w:pStyle w:val="76"/>
        <w:spacing w:after="120"/>
      </w:pPr>
      <w:r>
        <w:br w:type="textWrapping"/>
      </w:r>
      <w:bookmarkStart w:id="77" w:name="_Toc236849491"/>
      <w:r>
        <w:rPr>
          <w:rFonts w:hint="eastAsia"/>
        </w:rPr>
        <w:t>（规范性）</w:t>
      </w:r>
      <w:r>
        <w:br w:type="textWrapping"/>
      </w:r>
      <w:r>
        <w:rPr>
          <w:rFonts w:hint="eastAsia"/>
        </w:rPr>
        <w:t>可燃物样品编号表</w:t>
      </w:r>
      <w:bookmarkEnd w:id="77"/>
    </w:p>
    <w:p w14:paraId="328078F0">
      <w:pPr>
        <w:pStyle w:val="56"/>
        <w:ind w:firstLine="420"/>
      </w:pPr>
      <w:r>
        <w:rPr>
          <w:rFonts w:hint="eastAsia"/>
        </w:rPr>
        <w:t>可燃物样品编号表见表B</w:t>
      </w:r>
      <w:r>
        <w:t>.1</w:t>
      </w:r>
      <w:r>
        <w:rPr>
          <w:rFonts w:hint="eastAsia"/>
        </w:rPr>
        <w:t>。</w:t>
      </w:r>
    </w:p>
    <w:p w14:paraId="1945F373">
      <w:pPr>
        <w:pStyle w:val="77"/>
        <w:spacing w:before="120" w:after="120"/>
      </w:pPr>
      <w:r>
        <w:rPr>
          <w:rFonts w:hint="eastAsia"/>
        </w:rPr>
        <w:t>可燃物样品编号表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13"/>
        <w:gridCol w:w="2287"/>
        <w:gridCol w:w="2378"/>
        <w:gridCol w:w="2356"/>
      </w:tblGrid>
      <w:tr w14:paraId="6221B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313" w:type="dxa"/>
            <w:tcBorders>
              <w:top w:val="single" w:color="auto" w:sz="8" w:space="0"/>
              <w:bottom w:val="single" w:color="auto" w:sz="8" w:space="0"/>
            </w:tcBorders>
            <w:shd w:val="clear" w:color="auto" w:fill="auto"/>
            <w:vAlign w:val="center"/>
          </w:tcPr>
          <w:p w14:paraId="2B994A8F">
            <w:pPr>
              <w:pStyle w:val="178"/>
            </w:pPr>
            <w:r>
              <w:rPr>
                <w:rFonts w:hint="eastAsia"/>
              </w:rPr>
              <w:t>可燃物类型</w:t>
            </w:r>
          </w:p>
        </w:tc>
        <w:tc>
          <w:tcPr>
            <w:tcW w:w="2287" w:type="dxa"/>
            <w:tcBorders>
              <w:top w:val="single" w:color="auto" w:sz="8" w:space="0"/>
              <w:bottom w:val="single" w:color="auto" w:sz="8" w:space="0"/>
            </w:tcBorders>
            <w:vAlign w:val="center"/>
          </w:tcPr>
          <w:p w14:paraId="32CE2A3D">
            <w:pPr>
              <w:pStyle w:val="178"/>
            </w:pPr>
            <w:r>
              <w:rPr>
                <w:rFonts w:hint="eastAsia"/>
              </w:rPr>
              <w:t>试样序号</w:t>
            </w:r>
          </w:p>
        </w:tc>
        <w:tc>
          <w:tcPr>
            <w:tcW w:w="2378" w:type="dxa"/>
            <w:tcBorders>
              <w:top w:val="single" w:color="auto" w:sz="8" w:space="0"/>
              <w:bottom w:val="single" w:color="auto" w:sz="8" w:space="0"/>
            </w:tcBorders>
            <w:shd w:val="clear" w:color="auto" w:fill="auto"/>
            <w:vAlign w:val="center"/>
          </w:tcPr>
          <w:p w14:paraId="2A373B48">
            <w:pPr>
              <w:pStyle w:val="178"/>
            </w:pPr>
            <w:r>
              <w:rPr>
                <w:rFonts w:hint="eastAsia"/>
              </w:rPr>
              <w:t>含水率</w:t>
            </w:r>
          </w:p>
        </w:tc>
        <w:tc>
          <w:tcPr>
            <w:tcW w:w="2356" w:type="dxa"/>
            <w:tcBorders>
              <w:top w:val="single" w:color="auto" w:sz="8" w:space="0"/>
              <w:bottom w:val="single" w:color="auto" w:sz="8" w:space="0"/>
            </w:tcBorders>
            <w:shd w:val="clear" w:color="auto" w:fill="auto"/>
            <w:vAlign w:val="center"/>
          </w:tcPr>
          <w:p w14:paraId="23E9F9D2">
            <w:pPr>
              <w:pStyle w:val="178"/>
            </w:pPr>
            <w:r>
              <w:rPr>
                <w:rFonts w:hint="eastAsia"/>
              </w:rPr>
              <w:t>样品编号</w:t>
            </w:r>
          </w:p>
        </w:tc>
      </w:tr>
      <w:tr w14:paraId="3EFE91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313" w:type="dxa"/>
            <w:vMerge w:val="restart"/>
            <w:tcBorders>
              <w:top w:val="single" w:color="auto" w:sz="8" w:space="0"/>
            </w:tcBorders>
            <w:shd w:val="clear" w:color="auto" w:fill="auto"/>
            <w:vAlign w:val="center"/>
          </w:tcPr>
          <w:p w14:paraId="01D6108D">
            <w:pPr>
              <w:pStyle w:val="178"/>
            </w:pPr>
            <w:r>
              <w:rPr>
                <w:rFonts w:hint="eastAsia"/>
              </w:rPr>
              <w:t>土壤腐殖质</w:t>
            </w:r>
          </w:p>
        </w:tc>
        <w:tc>
          <w:tcPr>
            <w:tcW w:w="2287" w:type="dxa"/>
            <w:tcBorders>
              <w:top w:val="single" w:color="auto" w:sz="8" w:space="0"/>
              <w:bottom w:val="single" w:color="auto" w:sz="8" w:space="0"/>
            </w:tcBorders>
            <w:vAlign w:val="center"/>
          </w:tcPr>
          <w:p w14:paraId="0C459C9C">
            <w:pPr>
              <w:pStyle w:val="178"/>
            </w:pPr>
            <w:r>
              <w:rPr>
                <w:rFonts w:hint="eastAsia"/>
              </w:rPr>
              <w:t>0号试样</w:t>
            </w:r>
          </w:p>
        </w:tc>
        <w:tc>
          <w:tcPr>
            <w:tcW w:w="2378" w:type="dxa"/>
            <w:tcBorders>
              <w:top w:val="single" w:color="auto" w:sz="8" w:space="0"/>
              <w:bottom w:val="single" w:color="auto" w:sz="8" w:space="0"/>
            </w:tcBorders>
            <w:shd w:val="clear" w:color="auto" w:fill="auto"/>
            <w:vAlign w:val="center"/>
          </w:tcPr>
          <w:p w14:paraId="6595C6AB">
            <w:pPr>
              <w:pStyle w:val="178"/>
            </w:pPr>
            <w:r>
              <w:rPr>
                <w:rFonts w:hint="eastAsia"/>
              </w:rPr>
              <w:t>0</w:t>
            </w:r>
            <w:r>
              <w:t xml:space="preserve"> %</w:t>
            </w:r>
            <w:r>
              <w:rPr>
                <w:rFonts w:hint="eastAsia"/>
              </w:rPr>
              <w:t xml:space="preserve"> RH</w:t>
            </w:r>
          </w:p>
        </w:tc>
        <w:tc>
          <w:tcPr>
            <w:tcW w:w="2356" w:type="dxa"/>
            <w:tcBorders>
              <w:top w:val="single" w:color="auto" w:sz="8" w:space="0"/>
              <w:bottom w:val="single" w:color="auto" w:sz="8" w:space="0"/>
            </w:tcBorders>
            <w:shd w:val="clear" w:color="auto" w:fill="auto"/>
            <w:vAlign w:val="center"/>
          </w:tcPr>
          <w:p w14:paraId="3DF36F38">
            <w:pPr>
              <w:pStyle w:val="178"/>
            </w:pPr>
            <w:r>
              <w:rPr>
                <w:rFonts w:hint="eastAsia"/>
              </w:rPr>
              <w:t>Y</w:t>
            </w:r>
            <w:r>
              <w:rPr>
                <w:rFonts w:hint="eastAsia"/>
                <w:vertAlign w:val="subscript"/>
              </w:rPr>
              <w:t>T</w:t>
            </w:r>
            <w:r>
              <w:t>-0</w:t>
            </w:r>
          </w:p>
        </w:tc>
      </w:tr>
      <w:tr w14:paraId="645CDF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shd w:val="clear" w:color="auto" w:fill="auto"/>
            <w:vAlign w:val="center"/>
          </w:tcPr>
          <w:p w14:paraId="4379BED3">
            <w:pPr>
              <w:pStyle w:val="178"/>
            </w:pPr>
          </w:p>
        </w:tc>
        <w:tc>
          <w:tcPr>
            <w:tcW w:w="2287" w:type="dxa"/>
            <w:tcBorders>
              <w:top w:val="single" w:color="auto" w:sz="8" w:space="0"/>
            </w:tcBorders>
            <w:vAlign w:val="center"/>
          </w:tcPr>
          <w:p w14:paraId="309A8E74">
            <w:pPr>
              <w:pStyle w:val="178"/>
            </w:pPr>
            <w:r>
              <w:rPr>
                <w:rFonts w:hint="eastAsia"/>
              </w:rPr>
              <w:t>1号试样</w:t>
            </w:r>
          </w:p>
        </w:tc>
        <w:tc>
          <w:tcPr>
            <w:tcW w:w="2378" w:type="dxa"/>
            <w:tcBorders>
              <w:top w:val="single" w:color="auto" w:sz="8" w:space="0"/>
            </w:tcBorders>
            <w:shd w:val="clear" w:color="auto" w:fill="auto"/>
            <w:vAlign w:val="center"/>
          </w:tcPr>
          <w:p w14:paraId="3457BDE6">
            <w:pPr>
              <w:pStyle w:val="178"/>
            </w:pPr>
            <w:r>
              <w:t>1</w:t>
            </w:r>
            <w:r>
              <w:rPr>
                <w:rFonts w:hint="eastAsia"/>
              </w:rPr>
              <w:t>0</w:t>
            </w:r>
            <w:r>
              <w:t xml:space="preserve"> %</w:t>
            </w:r>
            <w:r>
              <w:rPr>
                <w:rFonts w:hint="eastAsia"/>
              </w:rPr>
              <w:t xml:space="preserve"> RH</w:t>
            </w:r>
          </w:p>
        </w:tc>
        <w:tc>
          <w:tcPr>
            <w:tcW w:w="2356" w:type="dxa"/>
            <w:tcBorders>
              <w:top w:val="single" w:color="auto" w:sz="8" w:space="0"/>
            </w:tcBorders>
            <w:shd w:val="clear" w:color="auto" w:fill="auto"/>
            <w:vAlign w:val="center"/>
          </w:tcPr>
          <w:p w14:paraId="251CFE84">
            <w:pPr>
              <w:pStyle w:val="178"/>
            </w:pPr>
            <w:r>
              <w:rPr>
                <w:rFonts w:hint="eastAsia"/>
              </w:rPr>
              <w:t>Y</w:t>
            </w:r>
            <w:r>
              <w:rPr>
                <w:rFonts w:hint="eastAsia"/>
                <w:vertAlign w:val="subscript"/>
              </w:rPr>
              <w:t>T</w:t>
            </w:r>
            <w:r>
              <w:t>-1</w:t>
            </w:r>
          </w:p>
        </w:tc>
      </w:tr>
      <w:tr w14:paraId="5B07D4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313" w:type="dxa"/>
            <w:vMerge w:val="continue"/>
            <w:shd w:val="clear" w:color="auto" w:fill="auto"/>
            <w:vAlign w:val="center"/>
          </w:tcPr>
          <w:p w14:paraId="59ED7729">
            <w:pPr>
              <w:pStyle w:val="178"/>
            </w:pPr>
          </w:p>
        </w:tc>
        <w:tc>
          <w:tcPr>
            <w:tcW w:w="2287" w:type="dxa"/>
            <w:tcBorders>
              <w:top w:val="single" w:color="auto" w:sz="8" w:space="0"/>
            </w:tcBorders>
            <w:vAlign w:val="center"/>
          </w:tcPr>
          <w:p w14:paraId="060142BB">
            <w:pPr>
              <w:pStyle w:val="178"/>
            </w:pPr>
            <w:r>
              <w:rPr>
                <w:rFonts w:hint="eastAsia"/>
              </w:rPr>
              <w:t>2号试样</w:t>
            </w:r>
          </w:p>
        </w:tc>
        <w:tc>
          <w:tcPr>
            <w:tcW w:w="2378" w:type="dxa"/>
            <w:tcBorders>
              <w:top w:val="single" w:color="auto" w:sz="8" w:space="0"/>
            </w:tcBorders>
            <w:shd w:val="clear" w:color="auto" w:fill="auto"/>
            <w:vAlign w:val="center"/>
          </w:tcPr>
          <w:p w14:paraId="7969A372">
            <w:pPr>
              <w:pStyle w:val="178"/>
            </w:pPr>
            <w:r>
              <w:t>2</w:t>
            </w:r>
            <w:r>
              <w:rPr>
                <w:rFonts w:hint="eastAsia"/>
              </w:rPr>
              <w:t>0</w:t>
            </w:r>
            <w:r>
              <w:t xml:space="preserve"> %</w:t>
            </w:r>
            <w:r>
              <w:rPr>
                <w:rFonts w:hint="eastAsia"/>
              </w:rPr>
              <w:t xml:space="preserve"> RH</w:t>
            </w:r>
          </w:p>
        </w:tc>
        <w:tc>
          <w:tcPr>
            <w:tcW w:w="2356" w:type="dxa"/>
            <w:tcBorders>
              <w:top w:val="single" w:color="auto" w:sz="8" w:space="0"/>
            </w:tcBorders>
            <w:shd w:val="clear" w:color="auto" w:fill="auto"/>
            <w:vAlign w:val="center"/>
          </w:tcPr>
          <w:p w14:paraId="64B0505C">
            <w:pPr>
              <w:pStyle w:val="178"/>
            </w:pPr>
            <w:r>
              <w:rPr>
                <w:rFonts w:hint="eastAsia"/>
              </w:rPr>
              <w:t>Y</w:t>
            </w:r>
            <w:r>
              <w:rPr>
                <w:rFonts w:hint="eastAsia"/>
                <w:vertAlign w:val="subscript"/>
              </w:rPr>
              <w:t>T</w:t>
            </w:r>
            <w:r>
              <w:t>-2</w:t>
            </w:r>
          </w:p>
        </w:tc>
      </w:tr>
      <w:tr w14:paraId="47D4A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shd w:val="clear" w:color="auto" w:fill="auto"/>
            <w:vAlign w:val="center"/>
          </w:tcPr>
          <w:p w14:paraId="5676E955">
            <w:pPr>
              <w:pStyle w:val="178"/>
            </w:pPr>
          </w:p>
        </w:tc>
        <w:tc>
          <w:tcPr>
            <w:tcW w:w="2287" w:type="dxa"/>
            <w:tcBorders>
              <w:top w:val="single" w:color="auto" w:sz="8" w:space="0"/>
            </w:tcBorders>
            <w:vAlign w:val="center"/>
          </w:tcPr>
          <w:p w14:paraId="2AE23EB7">
            <w:pPr>
              <w:pStyle w:val="178"/>
            </w:pPr>
            <w:r>
              <w:rPr>
                <w:rFonts w:hint="eastAsia"/>
              </w:rPr>
              <w:t>3号试样</w:t>
            </w:r>
          </w:p>
        </w:tc>
        <w:tc>
          <w:tcPr>
            <w:tcW w:w="2378" w:type="dxa"/>
            <w:tcBorders>
              <w:top w:val="single" w:color="auto" w:sz="8" w:space="0"/>
            </w:tcBorders>
            <w:shd w:val="clear" w:color="auto" w:fill="auto"/>
            <w:vAlign w:val="center"/>
          </w:tcPr>
          <w:p w14:paraId="448CCE58">
            <w:pPr>
              <w:pStyle w:val="178"/>
            </w:pPr>
            <w:r>
              <w:t>3</w:t>
            </w:r>
            <w:r>
              <w:rPr>
                <w:rFonts w:hint="eastAsia"/>
              </w:rPr>
              <w:t>0</w:t>
            </w:r>
            <w:r>
              <w:t xml:space="preserve"> %</w:t>
            </w:r>
            <w:r>
              <w:rPr>
                <w:rFonts w:hint="eastAsia"/>
              </w:rPr>
              <w:t xml:space="preserve"> RH</w:t>
            </w:r>
          </w:p>
        </w:tc>
        <w:tc>
          <w:tcPr>
            <w:tcW w:w="2356" w:type="dxa"/>
            <w:tcBorders>
              <w:top w:val="single" w:color="auto" w:sz="8" w:space="0"/>
            </w:tcBorders>
            <w:shd w:val="clear" w:color="auto" w:fill="auto"/>
            <w:vAlign w:val="center"/>
          </w:tcPr>
          <w:p w14:paraId="68D4D3F8">
            <w:pPr>
              <w:pStyle w:val="178"/>
            </w:pPr>
            <w:r>
              <w:rPr>
                <w:rFonts w:hint="eastAsia"/>
              </w:rPr>
              <w:t>Y</w:t>
            </w:r>
            <w:r>
              <w:rPr>
                <w:rFonts w:hint="eastAsia"/>
                <w:vertAlign w:val="subscript"/>
              </w:rPr>
              <w:t>T</w:t>
            </w:r>
            <w:r>
              <w:t>-3</w:t>
            </w:r>
          </w:p>
        </w:tc>
      </w:tr>
      <w:tr w14:paraId="22317B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shd w:val="clear" w:color="auto" w:fill="auto"/>
            <w:vAlign w:val="center"/>
          </w:tcPr>
          <w:p w14:paraId="452FBEAD">
            <w:pPr>
              <w:pStyle w:val="178"/>
            </w:pPr>
          </w:p>
        </w:tc>
        <w:tc>
          <w:tcPr>
            <w:tcW w:w="2287" w:type="dxa"/>
            <w:tcBorders>
              <w:top w:val="single" w:color="auto" w:sz="8" w:space="0"/>
            </w:tcBorders>
            <w:vAlign w:val="center"/>
          </w:tcPr>
          <w:p w14:paraId="53B2D29B">
            <w:pPr>
              <w:pStyle w:val="178"/>
            </w:pPr>
            <w:r>
              <w:rPr>
                <w:rFonts w:hint="eastAsia"/>
              </w:rPr>
              <w:t>4号试样</w:t>
            </w:r>
          </w:p>
        </w:tc>
        <w:tc>
          <w:tcPr>
            <w:tcW w:w="2378" w:type="dxa"/>
            <w:tcBorders>
              <w:top w:val="single" w:color="auto" w:sz="8" w:space="0"/>
            </w:tcBorders>
            <w:shd w:val="clear" w:color="auto" w:fill="auto"/>
            <w:vAlign w:val="center"/>
          </w:tcPr>
          <w:p w14:paraId="0E466365">
            <w:pPr>
              <w:pStyle w:val="178"/>
            </w:pPr>
            <w:r>
              <w:t>4</w:t>
            </w:r>
            <w:r>
              <w:rPr>
                <w:rFonts w:hint="eastAsia"/>
              </w:rPr>
              <w:t>0</w:t>
            </w:r>
            <w:r>
              <w:t xml:space="preserve"> %</w:t>
            </w:r>
            <w:r>
              <w:rPr>
                <w:rFonts w:hint="eastAsia"/>
              </w:rPr>
              <w:t xml:space="preserve"> RH</w:t>
            </w:r>
          </w:p>
        </w:tc>
        <w:tc>
          <w:tcPr>
            <w:tcW w:w="2356" w:type="dxa"/>
            <w:tcBorders>
              <w:top w:val="single" w:color="auto" w:sz="8" w:space="0"/>
            </w:tcBorders>
            <w:shd w:val="clear" w:color="auto" w:fill="auto"/>
            <w:vAlign w:val="center"/>
          </w:tcPr>
          <w:p w14:paraId="3D5FE06D">
            <w:pPr>
              <w:pStyle w:val="178"/>
            </w:pPr>
            <w:r>
              <w:rPr>
                <w:rFonts w:hint="eastAsia"/>
              </w:rPr>
              <w:t>Y</w:t>
            </w:r>
            <w:r>
              <w:rPr>
                <w:rFonts w:hint="eastAsia"/>
                <w:vertAlign w:val="subscript"/>
              </w:rPr>
              <w:t>T</w:t>
            </w:r>
            <w:r>
              <w:t>-4</w:t>
            </w:r>
          </w:p>
        </w:tc>
      </w:tr>
      <w:tr w14:paraId="6C0CE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shd w:val="clear" w:color="auto" w:fill="auto"/>
            <w:vAlign w:val="center"/>
          </w:tcPr>
          <w:p w14:paraId="5F4AB089">
            <w:pPr>
              <w:pStyle w:val="178"/>
            </w:pPr>
          </w:p>
        </w:tc>
        <w:tc>
          <w:tcPr>
            <w:tcW w:w="2287" w:type="dxa"/>
            <w:tcBorders>
              <w:top w:val="single" w:color="auto" w:sz="8" w:space="0"/>
            </w:tcBorders>
            <w:vAlign w:val="center"/>
          </w:tcPr>
          <w:p w14:paraId="4F63598D">
            <w:pPr>
              <w:pStyle w:val="178"/>
            </w:pPr>
            <w:r>
              <w:rPr>
                <w:rFonts w:hint="eastAsia"/>
              </w:rPr>
              <w:t>5号试样</w:t>
            </w:r>
          </w:p>
        </w:tc>
        <w:tc>
          <w:tcPr>
            <w:tcW w:w="2378" w:type="dxa"/>
            <w:tcBorders>
              <w:top w:val="single" w:color="auto" w:sz="8" w:space="0"/>
            </w:tcBorders>
            <w:shd w:val="clear" w:color="auto" w:fill="auto"/>
            <w:vAlign w:val="center"/>
          </w:tcPr>
          <w:p w14:paraId="316F51A3">
            <w:pPr>
              <w:pStyle w:val="178"/>
            </w:pPr>
            <w:r>
              <w:t>5</w:t>
            </w:r>
            <w:r>
              <w:rPr>
                <w:rFonts w:hint="eastAsia"/>
              </w:rPr>
              <w:t>0</w:t>
            </w:r>
            <w:r>
              <w:t xml:space="preserve"> %</w:t>
            </w:r>
            <w:r>
              <w:rPr>
                <w:rFonts w:hint="eastAsia"/>
              </w:rPr>
              <w:t xml:space="preserve"> RH</w:t>
            </w:r>
          </w:p>
        </w:tc>
        <w:tc>
          <w:tcPr>
            <w:tcW w:w="2356" w:type="dxa"/>
            <w:tcBorders>
              <w:top w:val="single" w:color="auto" w:sz="8" w:space="0"/>
            </w:tcBorders>
            <w:shd w:val="clear" w:color="auto" w:fill="auto"/>
            <w:vAlign w:val="center"/>
          </w:tcPr>
          <w:p w14:paraId="169BA4C5">
            <w:pPr>
              <w:pStyle w:val="178"/>
            </w:pPr>
            <w:r>
              <w:rPr>
                <w:rFonts w:hint="eastAsia"/>
              </w:rPr>
              <w:t>Y</w:t>
            </w:r>
            <w:r>
              <w:rPr>
                <w:rFonts w:hint="eastAsia"/>
                <w:vertAlign w:val="subscript"/>
              </w:rPr>
              <w:t>T</w:t>
            </w:r>
            <w:r>
              <w:t>-5</w:t>
            </w:r>
          </w:p>
        </w:tc>
      </w:tr>
      <w:tr w14:paraId="055C2E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313" w:type="dxa"/>
            <w:vMerge w:val="continue"/>
            <w:shd w:val="clear" w:color="auto" w:fill="auto"/>
            <w:vAlign w:val="center"/>
          </w:tcPr>
          <w:p w14:paraId="4658E02C">
            <w:pPr>
              <w:pStyle w:val="178"/>
            </w:pPr>
          </w:p>
        </w:tc>
        <w:tc>
          <w:tcPr>
            <w:tcW w:w="2287" w:type="dxa"/>
            <w:tcBorders>
              <w:top w:val="single" w:color="auto" w:sz="8" w:space="0"/>
            </w:tcBorders>
            <w:vAlign w:val="center"/>
          </w:tcPr>
          <w:p w14:paraId="5A9CC695">
            <w:pPr>
              <w:pStyle w:val="178"/>
            </w:pPr>
            <w:r>
              <w:rPr>
                <w:rFonts w:hint="eastAsia"/>
              </w:rPr>
              <w:t>6号试样</w:t>
            </w:r>
          </w:p>
        </w:tc>
        <w:tc>
          <w:tcPr>
            <w:tcW w:w="2378" w:type="dxa"/>
            <w:tcBorders>
              <w:top w:val="single" w:color="auto" w:sz="8" w:space="0"/>
            </w:tcBorders>
            <w:shd w:val="clear" w:color="auto" w:fill="auto"/>
            <w:vAlign w:val="center"/>
          </w:tcPr>
          <w:p w14:paraId="4B7B30B9">
            <w:pPr>
              <w:pStyle w:val="178"/>
            </w:pPr>
            <w:r>
              <w:t>6</w:t>
            </w:r>
            <w:r>
              <w:rPr>
                <w:rFonts w:hint="eastAsia"/>
              </w:rPr>
              <w:t>0</w:t>
            </w:r>
            <w:r>
              <w:t xml:space="preserve"> %</w:t>
            </w:r>
            <w:r>
              <w:rPr>
                <w:rFonts w:hint="eastAsia"/>
              </w:rPr>
              <w:t xml:space="preserve"> RH</w:t>
            </w:r>
          </w:p>
        </w:tc>
        <w:tc>
          <w:tcPr>
            <w:tcW w:w="2356" w:type="dxa"/>
            <w:tcBorders>
              <w:top w:val="single" w:color="auto" w:sz="8" w:space="0"/>
            </w:tcBorders>
            <w:shd w:val="clear" w:color="auto" w:fill="auto"/>
            <w:vAlign w:val="center"/>
          </w:tcPr>
          <w:p w14:paraId="500906F1">
            <w:pPr>
              <w:pStyle w:val="178"/>
            </w:pPr>
            <w:r>
              <w:rPr>
                <w:rFonts w:hint="eastAsia"/>
              </w:rPr>
              <w:t>Y</w:t>
            </w:r>
            <w:r>
              <w:rPr>
                <w:rFonts w:hint="eastAsia"/>
                <w:vertAlign w:val="subscript"/>
              </w:rPr>
              <w:t>T</w:t>
            </w:r>
            <w:r>
              <w:t>-6</w:t>
            </w:r>
          </w:p>
        </w:tc>
      </w:tr>
      <w:tr w14:paraId="74A11C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shd w:val="clear" w:color="auto" w:fill="auto"/>
            <w:vAlign w:val="center"/>
          </w:tcPr>
          <w:p w14:paraId="3C694F9C">
            <w:pPr>
              <w:pStyle w:val="178"/>
            </w:pPr>
          </w:p>
        </w:tc>
        <w:tc>
          <w:tcPr>
            <w:tcW w:w="2287" w:type="dxa"/>
            <w:tcBorders>
              <w:top w:val="single" w:color="auto" w:sz="8" w:space="0"/>
            </w:tcBorders>
            <w:vAlign w:val="center"/>
          </w:tcPr>
          <w:p w14:paraId="2F1FF561">
            <w:pPr>
              <w:pStyle w:val="178"/>
            </w:pPr>
            <w:r>
              <w:rPr>
                <w:rFonts w:hint="eastAsia"/>
              </w:rPr>
              <w:t>7号试样</w:t>
            </w:r>
          </w:p>
        </w:tc>
        <w:tc>
          <w:tcPr>
            <w:tcW w:w="2378" w:type="dxa"/>
            <w:tcBorders>
              <w:top w:val="single" w:color="auto" w:sz="8" w:space="0"/>
            </w:tcBorders>
            <w:shd w:val="clear" w:color="auto" w:fill="auto"/>
            <w:vAlign w:val="center"/>
          </w:tcPr>
          <w:p w14:paraId="78155EAE">
            <w:pPr>
              <w:pStyle w:val="178"/>
            </w:pPr>
            <w:r>
              <w:t>7</w:t>
            </w:r>
            <w:r>
              <w:rPr>
                <w:rFonts w:hint="eastAsia"/>
              </w:rPr>
              <w:t>0</w:t>
            </w:r>
            <w:r>
              <w:t xml:space="preserve"> %</w:t>
            </w:r>
            <w:r>
              <w:rPr>
                <w:rFonts w:hint="eastAsia"/>
              </w:rPr>
              <w:t xml:space="preserve"> RH</w:t>
            </w:r>
          </w:p>
        </w:tc>
        <w:tc>
          <w:tcPr>
            <w:tcW w:w="2356" w:type="dxa"/>
            <w:tcBorders>
              <w:top w:val="single" w:color="auto" w:sz="8" w:space="0"/>
            </w:tcBorders>
            <w:shd w:val="clear" w:color="auto" w:fill="auto"/>
            <w:vAlign w:val="center"/>
          </w:tcPr>
          <w:p w14:paraId="66DE2E3F">
            <w:pPr>
              <w:pStyle w:val="178"/>
            </w:pPr>
            <w:r>
              <w:rPr>
                <w:rFonts w:hint="eastAsia"/>
              </w:rPr>
              <w:t>Y</w:t>
            </w:r>
            <w:r>
              <w:rPr>
                <w:rFonts w:hint="eastAsia"/>
                <w:vertAlign w:val="subscript"/>
              </w:rPr>
              <w:t>T</w:t>
            </w:r>
            <w:r>
              <w:t>-7</w:t>
            </w:r>
          </w:p>
        </w:tc>
      </w:tr>
      <w:tr w14:paraId="069012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shd w:val="clear" w:color="auto" w:fill="auto"/>
            <w:vAlign w:val="center"/>
          </w:tcPr>
          <w:p w14:paraId="63D30122">
            <w:pPr>
              <w:pStyle w:val="178"/>
            </w:pPr>
          </w:p>
        </w:tc>
        <w:tc>
          <w:tcPr>
            <w:tcW w:w="2287" w:type="dxa"/>
            <w:tcBorders>
              <w:top w:val="single" w:color="auto" w:sz="8" w:space="0"/>
            </w:tcBorders>
            <w:vAlign w:val="center"/>
          </w:tcPr>
          <w:p w14:paraId="30DF5064">
            <w:pPr>
              <w:pStyle w:val="178"/>
            </w:pPr>
            <w:r>
              <w:rPr>
                <w:rFonts w:hint="eastAsia"/>
              </w:rPr>
              <w:t>8号试样</w:t>
            </w:r>
          </w:p>
        </w:tc>
        <w:tc>
          <w:tcPr>
            <w:tcW w:w="2378" w:type="dxa"/>
            <w:tcBorders>
              <w:top w:val="single" w:color="auto" w:sz="8" w:space="0"/>
            </w:tcBorders>
            <w:shd w:val="clear" w:color="auto" w:fill="auto"/>
            <w:vAlign w:val="center"/>
          </w:tcPr>
          <w:p w14:paraId="021BDA68">
            <w:pPr>
              <w:pStyle w:val="178"/>
            </w:pPr>
            <w:r>
              <w:t>8</w:t>
            </w:r>
            <w:r>
              <w:rPr>
                <w:rFonts w:hint="eastAsia"/>
              </w:rPr>
              <w:t>0</w:t>
            </w:r>
            <w:r>
              <w:t xml:space="preserve"> %</w:t>
            </w:r>
            <w:r>
              <w:rPr>
                <w:rFonts w:hint="eastAsia"/>
              </w:rPr>
              <w:t xml:space="preserve"> RH</w:t>
            </w:r>
          </w:p>
        </w:tc>
        <w:tc>
          <w:tcPr>
            <w:tcW w:w="2356" w:type="dxa"/>
            <w:tcBorders>
              <w:top w:val="single" w:color="auto" w:sz="8" w:space="0"/>
            </w:tcBorders>
            <w:shd w:val="clear" w:color="auto" w:fill="auto"/>
            <w:vAlign w:val="center"/>
          </w:tcPr>
          <w:p w14:paraId="0196859A">
            <w:pPr>
              <w:pStyle w:val="178"/>
            </w:pPr>
            <w:r>
              <w:rPr>
                <w:rFonts w:hint="eastAsia"/>
              </w:rPr>
              <w:t>Y</w:t>
            </w:r>
            <w:r>
              <w:rPr>
                <w:rFonts w:hint="eastAsia"/>
                <w:vertAlign w:val="subscript"/>
              </w:rPr>
              <w:t>T</w:t>
            </w:r>
            <w:r>
              <w:t>-8</w:t>
            </w:r>
          </w:p>
        </w:tc>
      </w:tr>
      <w:tr w14:paraId="1E20C8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shd w:val="clear" w:color="auto" w:fill="auto"/>
            <w:vAlign w:val="center"/>
          </w:tcPr>
          <w:p w14:paraId="602E399A">
            <w:pPr>
              <w:pStyle w:val="178"/>
            </w:pPr>
          </w:p>
        </w:tc>
        <w:tc>
          <w:tcPr>
            <w:tcW w:w="2287" w:type="dxa"/>
            <w:tcBorders>
              <w:top w:val="single" w:color="auto" w:sz="8" w:space="0"/>
            </w:tcBorders>
            <w:vAlign w:val="center"/>
          </w:tcPr>
          <w:p w14:paraId="6864AEAD">
            <w:pPr>
              <w:pStyle w:val="178"/>
            </w:pPr>
            <w:r>
              <w:rPr>
                <w:rFonts w:hint="eastAsia"/>
              </w:rPr>
              <w:t>9号试样</w:t>
            </w:r>
          </w:p>
        </w:tc>
        <w:tc>
          <w:tcPr>
            <w:tcW w:w="2378" w:type="dxa"/>
            <w:tcBorders>
              <w:top w:val="single" w:color="auto" w:sz="8" w:space="0"/>
            </w:tcBorders>
            <w:shd w:val="clear" w:color="auto" w:fill="auto"/>
            <w:vAlign w:val="center"/>
          </w:tcPr>
          <w:p w14:paraId="798E1E2D">
            <w:pPr>
              <w:pStyle w:val="178"/>
            </w:pPr>
            <w:r>
              <w:t>9</w:t>
            </w:r>
            <w:r>
              <w:rPr>
                <w:rFonts w:hint="eastAsia"/>
              </w:rPr>
              <w:t>0</w:t>
            </w:r>
            <w:r>
              <w:t xml:space="preserve"> %</w:t>
            </w:r>
            <w:r>
              <w:rPr>
                <w:rFonts w:hint="eastAsia"/>
              </w:rPr>
              <w:t xml:space="preserve"> RH</w:t>
            </w:r>
          </w:p>
        </w:tc>
        <w:tc>
          <w:tcPr>
            <w:tcW w:w="2356" w:type="dxa"/>
            <w:tcBorders>
              <w:top w:val="single" w:color="auto" w:sz="8" w:space="0"/>
            </w:tcBorders>
            <w:shd w:val="clear" w:color="auto" w:fill="auto"/>
            <w:vAlign w:val="center"/>
          </w:tcPr>
          <w:p w14:paraId="5C28A3CD">
            <w:pPr>
              <w:pStyle w:val="178"/>
            </w:pPr>
            <w:r>
              <w:rPr>
                <w:rFonts w:hint="eastAsia"/>
              </w:rPr>
              <w:t>Y</w:t>
            </w:r>
            <w:r>
              <w:rPr>
                <w:rFonts w:hint="eastAsia"/>
                <w:vertAlign w:val="subscript"/>
              </w:rPr>
              <w:t>T</w:t>
            </w:r>
            <w:r>
              <w:t>-9</w:t>
            </w:r>
          </w:p>
        </w:tc>
      </w:tr>
      <w:tr w14:paraId="045B2B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313" w:type="dxa"/>
            <w:vMerge w:val="continue"/>
            <w:shd w:val="clear" w:color="auto" w:fill="auto"/>
            <w:vAlign w:val="center"/>
          </w:tcPr>
          <w:p w14:paraId="6AAF958B">
            <w:pPr>
              <w:pStyle w:val="178"/>
            </w:pPr>
          </w:p>
        </w:tc>
        <w:tc>
          <w:tcPr>
            <w:tcW w:w="2287" w:type="dxa"/>
            <w:tcBorders>
              <w:top w:val="single" w:color="auto" w:sz="8" w:space="0"/>
            </w:tcBorders>
            <w:vAlign w:val="center"/>
          </w:tcPr>
          <w:p w14:paraId="6D08E237">
            <w:pPr>
              <w:pStyle w:val="178"/>
            </w:pPr>
            <w:r>
              <w:rPr>
                <w:rFonts w:hint="eastAsia"/>
              </w:rPr>
              <w:t>1</w:t>
            </w:r>
            <w:r>
              <w:t>0</w:t>
            </w:r>
            <w:r>
              <w:rPr>
                <w:rFonts w:hint="eastAsia"/>
              </w:rPr>
              <w:t>号试样</w:t>
            </w:r>
          </w:p>
        </w:tc>
        <w:tc>
          <w:tcPr>
            <w:tcW w:w="2378" w:type="dxa"/>
            <w:tcBorders>
              <w:top w:val="single" w:color="auto" w:sz="8" w:space="0"/>
            </w:tcBorders>
            <w:shd w:val="clear" w:color="auto" w:fill="auto"/>
            <w:vAlign w:val="center"/>
          </w:tcPr>
          <w:p w14:paraId="08DB4754">
            <w:pPr>
              <w:pStyle w:val="178"/>
            </w:pPr>
            <w:r>
              <w:t>10</w:t>
            </w:r>
            <w:r>
              <w:rPr>
                <w:rFonts w:hint="eastAsia"/>
              </w:rPr>
              <w:t>0</w:t>
            </w:r>
            <w:r>
              <w:t xml:space="preserve"> %</w:t>
            </w:r>
            <w:r>
              <w:rPr>
                <w:rFonts w:hint="eastAsia"/>
              </w:rPr>
              <w:t xml:space="preserve"> RH</w:t>
            </w:r>
          </w:p>
        </w:tc>
        <w:tc>
          <w:tcPr>
            <w:tcW w:w="2356" w:type="dxa"/>
            <w:tcBorders>
              <w:top w:val="single" w:color="auto" w:sz="8" w:space="0"/>
            </w:tcBorders>
            <w:shd w:val="clear" w:color="auto" w:fill="auto"/>
            <w:vAlign w:val="center"/>
          </w:tcPr>
          <w:p w14:paraId="5F4C11FE">
            <w:pPr>
              <w:pStyle w:val="178"/>
            </w:pPr>
            <w:r>
              <w:rPr>
                <w:rFonts w:hint="eastAsia"/>
              </w:rPr>
              <w:t>Y</w:t>
            </w:r>
            <w:r>
              <w:rPr>
                <w:rFonts w:hint="eastAsia"/>
                <w:vertAlign w:val="subscript"/>
              </w:rPr>
              <w:t>T</w:t>
            </w:r>
            <w:r>
              <w:t>-10</w:t>
            </w:r>
          </w:p>
        </w:tc>
      </w:tr>
      <w:tr w14:paraId="60076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restart"/>
            <w:tcBorders>
              <w:top w:val="single" w:color="auto" w:sz="8" w:space="0"/>
            </w:tcBorders>
            <w:shd w:val="clear" w:color="auto" w:fill="auto"/>
            <w:vAlign w:val="center"/>
          </w:tcPr>
          <w:p w14:paraId="389202AE">
            <w:pPr>
              <w:pStyle w:val="178"/>
            </w:pPr>
            <w:r>
              <w:rPr>
                <w:rFonts w:hint="eastAsia"/>
              </w:rPr>
              <w:t>1h时滞可燃物</w:t>
            </w:r>
          </w:p>
        </w:tc>
        <w:tc>
          <w:tcPr>
            <w:tcW w:w="2287" w:type="dxa"/>
            <w:tcBorders>
              <w:top w:val="single" w:color="auto" w:sz="8" w:space="0"/>
            </w:tcBorders>
            <w:vAlign w:val="center"/>
          </w:tcPr>
          <w:p w14:paraId="547D8C73">
            <w:pPr>
              <w:pStyle w:val="178"/>
            </w:pPr>
            <w:r>
              <w:rPr>
                <w:rFonts w:hint="eastAsia"/>
              </w:rPr>
              <w:t>0号试样</w:t>
            </w:r>
          </w:p>
        </w:tc>
        <w:tc>
          <w:tcPr>
            <w:tcW w:w="2378" w:type="dxa"/>
            <w:tcBorders>
              <w:top w:val="single" w:color="auto" w:sz="8" w:space="0"/>
            </w:tcBorders>
            <w:shd w:val="clear" w:color="auto" w:fill="auto"/>
            <w:vAlign w:val="center"/>
          </w:tcPr>
          <w:p w14:paraId="6F81FD4D">
            <w:pPr>
              <w:pStyle w:val="178"/>
            </w:pPr>
            <w:r>
              <w:rPr>
                <w:rFonts w:hint="eastAsia"/>
              </w:rPr>
              <w:t>0</w:t>
            </w:r>
            <w:r>
              <w:t xml:space="preserve"> %</w:t>
            </w:r>
            <w:r>
              <w:rPr>
                <w:rFonts w:hint="eastAsia"/>
              </w:rPr>
              <w:t xml:space="preserve"> RH</w:t>
            </w:r>
          </w:p>
        </w:tc>
        <w:tc>
          <w:tcPr>
            <w:tcW w:w="2356" w:type="dxa"/>
            <w:tcBorders>
              <w:top w:val="single" w:color="auto" w:sz="8" w:space="0"/>
            </w:tcBorders>
            <w:shd w:val="clear" w:color="auto" w:fill="auto"/>
            <w:vAlign w:val="center"/>
          </w:tcPr>
          <w:p w14:paraId="68DF77E5">
            <w:pPr>
              <w:pStyle w:val="178"/>
            </w:pPr>
            <w:r>
              <w:t>Y</w:t>
            </w:r>
            <w:r>
              <w:rPr>
                <w:vertAlign w:val="subscript"/>
              </w:rPr>
              <w:t>1h</w:t>
            </w:r>
            <w:r>
              <w:t>-0</w:t>
            </w:r>
          </w:p>
        </w:tc>
      </w:tr>
      <w:tr w14:paraId="0482A7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shd w:val="clear" w:color="auto" w:fill="auto"/>
            <w:vAlign w:val="center"/>
          </w:tcPr>
          <w:p w14:paraId="183B0310">
            <w:pPr>
              <w:pStyle w:val="178"/>
            </w:pPr>
          </w:p>
        </w:tc>
        <w:tc>
          <w:tcPr>
            <w:tcW w:w="2287" w:type="dxa"/>
            <w:vAlign w:val="center"/>
          </w:tcPr>
          <w:p w14:paraId="2AF13409">
            <w:pPr>
              <w:pStyle w:val="178"/>
            </w:pPr>
            <w:r>
              <w:rPr>
                <w:rFonts w:hint="eastAsia"/>
              </w:rPr>
              <w:t>1号试样</w:t>
            </w:r>
          </w:p>
        </w:tc>
        <w:tc>
          <w:tcPr>
            <w:tcW w:w="2378" w:type="dxa"/>
            <w:shd w:val="clear" w:color="auto" w:fill="auto"/>
            <w:vAlign w:val="center"/>
          </w:tcPr>
          <w:p w14:paraId="02661218">
            <w:pPr>
              <w:pStyle w:val="178"/>
            </w:pPr>
            <w:r>
              <w:t>1</w:t>
            </w:r>
            <w:r>
              <w:rPr>
                <w:rFonts w:hint="eastAsia"/>
              </w:rPr>
              <w:t>0</w:t>
            </w:r>
            <w:r>
              <w:t xml:space="preserve"> %</w:t>
            </w:r>
            <w:r>
              <w:rPr>
                <w:rFonts w:hint="eastAsia"/>
              </w:rPr>
              <w:t xml:space="preserve"> RH</w:t>
            </w:r>
          </w:p>
        </w:tc>
        <w:tc>
          <w:tcPr>
            <w:tcW w:w="2356" w:type="dxa"/>
            <w:shd w:val="clear" w:color="auto" w:fill="auto"/>
            <w:vAlign w:val="center"/>
          </w:tcPr>
          <w:p w14:paraId="20D0C783">
            <w:pPr>
              <w:pStyle w:val="178"/>
            </w:pPr>
            <w:r>
              <w:t>Y</w:t>
            </w:r>
            <w:r>
              <w:rPr>
                <w:vertAlign w:val="subscript"/>
              </w:rPr>
              <w:t>1h</w:t>
            </w:r>
            <w:r>
              <w:t>-1</w:t>
            </w:r>
          </w:p>
        </w:tc>
      </w:tr>
      <w:tr w14:paraId="6539D2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shd w:val="clear" w:color="auto" w:fill="auto"/>
            <w:vAlign w:val="center"/>
          </w:tcPr>
          <w:p w14:paraId="2354A891">
            <w:pPr>
              <w:pStyle w:val="178"/>
            </w:pPr>
          </w:p>
        </w:tc>
        <w:tc>
          <w:tcPr>
            <w:tcW w:w="2287" w:type="dxa"/>
            <w:vAlign w:val="center"/>
          </w:tcPr>
          <w:p w14:paraId="01D38B23">
            <w:pPr>
              <w:pStyle w:val="178"/>
            </w:pPr>
            <w:r>
              <w:rPr>
                <w:rFonts w:hint="eastAsia"/>
              </w:rPr>
              <w:t>2号试样</w:t>
            </w:r>
          </w:p>
        </w:tc>
        <w:tc>
          <w:tcPr>
            <w:tcW w:w="2378" w:type="dxa"/>
            <w:shd w:val="clear" w:color="auto" w:fill="auto"/>
            <w:vAlign w:val="center"/>
          </w:tcPr>
          <w:p w14:paraId="2B8D63A1">
            <w:pPr>
              <w:pStyle w:val="178"/>
            </w:pPr>
            <w:r>
              <w:t>2</w:t>
            </w:r>
            <w:r>
              <w:rPr>
                <w:rFonts w:hint="eastAsia"/>
              </w:rPr>
              <w:t>0</w:t>
            </w:r>
            <w:r>
              <w:t xml:space="preserve"> %</w:t>
            </w:r>
            <w:r>
              <w:rPr>
                <w:rFonts w:hint="eastAsia"/>
              </w:rPr>
              <w:t xml:space="preserve"> RH</w:t>
            </w:r>
          </w:p>
        </w:tc>
        <w:tc>
          <w:tcPr>
            <w:tcW w:w="2356" w:type="dxa"/>
            <w:shd w:val="clear" w:color="auto" w:fill="auto"/>
            <w:vAlign w:val="center"/>
          </w:tcPr>
          <w:p w14:paraId="6A33EDE1">
            <w:pPr>
              <w:pStyle w:val="178"/>
            </w:pPr>
            <w:r>
              <w:t>Y</w:t>
            </w:r>
            <w:r>
              <w:rPr>
                <w:vertAlign w:val="subscript"/>
              </w:rPr>
              <w:t>1h</w:t>
            </w:r>
            <w:r>
              <w:t>-2</w:t>
            </w:r>
          </w:p>
        </w:tc>
      </w:tr>
      <w:tr w14:paraId="32CED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313" w:type="dxa"/>
            <w:vMerge w:val="continue"/>
            <w:shd w:val="clear" w:color="auto" w:fill="auto"/>
            <w:vAlign w:val="center"/>
          </w:tcPr>
          <w:p w14:paraId="763F7D27">
            <w:pPr>
              <w:pStyle w:val="178"/>
            </w:pPr>
          </w:p>
        </w:tc>
        <w:tc>
          <w:tcPr>
            <w:tcW w:w="2287" w:type="dxa"/>
            <w:vAlign w:val="center"/>
          </w:tcPr>
          <w:p w14:paraId="7CB12558">
            <w:pPr>
              <w:pStyle w:val="178"/>
            </w:pPr>
            <w:r>
              <w:rPr>
                <w:rFonts w:hint="eastAsia"/>
              </w:rPr>
              <w:t>3号试样</w:t>
            </w:r>
          </w:p>
        </w:tc>
        <w:tc>
          <w:tcPr>
            <w:tcW w:w="2378" w:type="dxa"/>
            <w:shd w:val="clear" w:color="auto" w:fill="auto"/>
            <w:vAlign w:val="center"/>
          </w:tcPr>
          <w:p w14:paraId="32F29BA1">
            <w:pPr>
              <w:pStyle w:val="178"/>
            </w:pPr>
            <w:r>
              <w:t>3</w:t>
            </w:r>
            <w:r>
              <w:rPr>
                <w:rFonts w:hint="eastAsia"/>
              </w:rPr>
              <w:t>0</w:t>
            </w:r>
            <w:r>
              <w:t xml:space="preserve"> %</w:t>
            </w:r>
            <w:r>
              <w:rPr>
                <w:rFonts w:hint="eastAsia"/>
              </w:rPr>
              <w:t xml:space="preserve"> RH</w:t>
            </w:r>
          </w:p>
        </w:tc>
        <w:tc>
          <w:tcPr>
            <w:tcW w:w="2356" w:type="dxa"/>
            <w:shd w:val="clear" w:color="auto" w:fill="auto"/>
            <w:vAlign w:val="center"/>
          </w:tcPr>
          <w:p w14:paraId="2049304E">
            <w:pPr>
              <w:pStyle w:val="178"/>
            </w:pPr>
            <w:r>
              <w:t>Y</w:t>
            </w:r>
            <w:r>
              <w:rPr>
                <w:vertAlign w:val="subscript"/>
              </w:rPr>
              <w:t>1h</w:t>
            </w:r>
            <w:r>
              <w:t>-3</w:t>
            </w:r>
          </w:p>
        </w:tc>
      </w:tr>
      <w:tr w14:paraId="5220BD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shd w:val="clear" w:color="auto" w:fill="auto"/>
            <w:vAlign w:val="center"/>
          </w:tcPr>
          <w:p w14:paraId="444FFC58">
            <w:pPr>
              <w:pStyle w:val="178"/>
            </w:pPr>
          </w:p>
        </w:tc>
        <w:tc>
          <w:tcPr>
            <w:tcW w:w="2287" w:type="dxa"/>
            <w:vAlign w:val="center"/>
          </w:tcPr>
          <w:p w14:paraId="4B90A684">
            <w:pPr>
              <w:pStyle w:val="178"/>
            </w:pPr>
            <w:r>
              <w:rPr>
                <w:rFonts w:hint="eastAsia"/>
              </w:rPr>
              <w:t>4号试样</w:t>
            </w:r>
          </w:p>
        </w:tc>
        <w:tc>
          <w:tcPr>
            <w:tcW w:w="2378" w:type="dxa"/>
            <w:shd w:val="clear" w:color="auto" w:fill="auto"/>
            <w:vAlign w:val="center"/>
          </w:tcPr>
          <w:p w14:paraId="0750FB09">
            <w:pPr>
              <w:pStyle w:val="178"/>
            </w:pPr>
            <w:r>
              <w:t>4</w:t>
            </w:r>
            <w:r>
              <w:rPr>
                <w:rFonts w:hint="eastAsia"/>
              </w:rPr>
              <w:t>0</w:t>
            </w:r>
            <w:r>
              <w:t xml:space="preserve"> %</w:t>
            </w:r>
            <w:r>
              <w:rPr>
                <w:rFonts w:hint="eastAsia"/>
              </w:rPr>
              <w:t xml:space="preserve"> RH</w:t>
            </w:r>
          </w:p>
        </w:tc>
        <w:tc>
          <w:tcPr>
            <w:tcW w:w="2356" w:type="dxa"/>
            <w:shd w:val="clear" w:color="auto" w:fill="auto"/>
            <w:vAlign w:val="center"/>
          </w:tcPr>
          <w:p w14:paraId="48BB3D05">
            <w:pPr>
              <w:pStyle w:val="178"/>
            </w:pPr>
            <w:r>
              <w:t>Y</w:t>
            </w:r>
            <w:r>
              <w:rPr>
                <w:vertAlign w:val="subscript"/>
              </w:rPr>
              <w:t>1h</w:t>
            </w:r>
            <w:r>
              <w:t>-4</w:t>
            </w:r>
          </w:p>
        </w:tc>
      </w:tr>
      <w:tr w14:paraId="5142D0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shd w:val="clear" w:color="auto" w:fill="auto"/>
            <w:vAlign w:val="center"/>
          </w:tcPr>
          <w:p w14:paraId="4D2080FB">
            <w:pPr>
              <w:pStyle w:val="178"/>
            </w:pPr>
          </w:p>
        </w:tc>
        <w:tc>
          <w:tcPr>
            <w:tcW w:w="2287" w:type="dxa"/>
            <w:tcBorders>
              <w:bottom w:val="single" w:color="auto" w:sz="8" w:space="0"/>
            </w:tcBorders>
            <w:vAlign w:val="center"/>
          </w:tcPr>
          <w:p w14:paraId="7300F1C6">
            <w:pPr>
              <w:pStyle w:val="178"/>
            </w:pPr>
            <w:r>
              <w:rPr>
                <w:rFonts w:hint="eastAsia"/>
              </w:rPr>
              <w:t>5号试样</w:t>
            </w:r>
          </w:p>
        </w:tc>
        <w:tc>
          <w:tcPr>
            <w:tcW w:w="2378" w:type="dxa"/>
            <w:tcBorders>
              <w:bottom w:val="single" w:color="auto" w:sz="8" w:space="0"/>
            </w:tcBorders>
            <w:shd w:val="clear" w:color="auto" w:fill="auto"/>
            <w:vAlign w:val="center"/>
          </w:tcPr>
          <w:p w14:paraId="06483BE8">
            <w:pPr>
              <w:pStyle w:val="178"/>
            </w:pPr>
            <w:r>
              <w:t>5</w:t>
            </w:r>
            <w:r>
              <w:rPr>
                <w:rFonts w:hint="eastAsia"/>
              </w:rPr>
              <w:t>0</w:t>
            </w:r>
            <w:r>
              <w:t xml:space="preserve"> %</w:t>
            </w:r>
            <w:r>
              <w:rPr>
                <w:rFonts w:hint="eastAsia"/>
              </w:rPr>
              <w:t xml:space="preserve"> RH</w:t>
            </w:r>
          </w:p>
        </w:tc>
        <w:tc>
          <w:tcPr>
            <w:tcW w:w="2356" w:type="dxa"/>
            <w:tcBorders>
              <w:bottom w:val="single" w:color="auto" w:sz="8" w:space="0"/>
            </w:tcBorders>
            <w:shd w:val="clear" w:color="auto" w:fill="auto"/>
            <w:vAlign w:val="center"/>
          </w:tcPr>
          <w:p w14:paraId="1C2EFA3E">
            <w:pPr>
              <w:pStyle w:val="178"/>
            </w:pPr>
            <w:r>
              <w:t>Y</w:t>
            </w:r>
            <w:r>
              <w:rPr>
                <w:vertAlign w:val="subscript"/>
              </w:rPr>
              <w:t>1h</w:t>
            </w:r>
            <w:r>
              <w:t>-5</w:t>
            </w:r>
          </w:p>
        </w:tc>
      </w:tr>
      <w:tr w14:paraId="501029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shd w:val="clear" w:color="auto" w:fill="auto"/>
            <w:vAlign w:val="center"/>
          </w:tcPr>
          <w:p w14:paraId="60C9B284">
            <w:pPr>
              <w:pStyle w:val="178"/>
            </w:pPr>
          </w:p>
        </w:tc>
        <w:tc>
          <w:tcPr>
            <w:tcW w:w="2287" w:type="dxa"/>
            <w:tcBorders>
              <w:bottom w:val="single" w:color="auto" w:sz="8" w:space="0"/>
            </w:tcBorders>
            <w:vAlign w:val="center"/>
          </w:tcPr>
          <w:p w14:paraId="34D249D8">
            <w:pPr>
              <w:pStyle w:val="178"/>
            </w:pPr>
            <w:r>
              <w:rPr>
                <w:rFonts w:hint="eastAsia"/>
              </w:rPr>
              <w:t>6号试样</w:t>
            </w:r>
          </w:p>
        </w:tc>
        <w:tc>
          <w:tcPr>
            <w:tcW w:w="2378" w:type="dxa"/>
            <w:tcBorders>
              <w:bottom w:val="single" w:color="auto" w:sz="8" w:space="0"/>
            </w:tcBorders>
            <w:shd w:val="clear" w:color="auto" w:fill="auto"/>
            <w:vAlign w:val="center"/>
          </w:tcPr>
          <w:p w14:paraId="0267BFC9">
            <w:pPr>
              <w:pStyle w:val="178"/>
            </w:pPr>
            <w:r>
              <w:t>6</w:t>
            </w:r>
            <w:r>
              <w:rPr>
                <w:rFonts w:hint="eastAsia"/>
              </w:rPr>
              <w:t>0</w:t>
            </w:r>
            <w:r>
              <w:t xml:space="preserve"> %</w:t>
            </w:r>
            <w:r>
              <w:rPr>
                <w:rFonts w:hint="eastAsia"/>
              </w:rPr>
              <w:t xml:space="preserve"> RH</w:t>
            </w:r>
          </w:p>
        </w:tc>
        <w:tc>
          <w:tcPr>
            <w:tcW w:w="2356" w:type="dxa"/>
            <w:tcBorders>
              <w:bottom w:val="single" w:color="auto" w:sz="8" w:space="0"/>
            </w:tcBorders>
            <w:shd w:val="clear" w:color="auto" w:fill="auto"/>
            <w:vAlign w:val="center"/>
          </w:tcPr>
          <w:p w14:paraId="61352D1A">
            <w:pPr>
              <w:pStyle w:val="178"/>
            </w:pPr>
            <w:r>
              <w:t>Y</w:t>
            </w:r>
            <w:r>
              <w:rPr>
                <w:vertAlign w:val="subscript"/>
              </w:rPr>
              <w:t>1h</w:t>
            </w:r>
            <w:r>
              <w:t>-6</w:t>
            </w:r>
          </w:p>
        </w:tc>
      </w:tr>
      <w:tr w14:paraId="7CBDFF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313" w:type="dxa"/>
            <w:vMerge w:val="continue"/>
            <w:shd w:val="clear" w:color="auto" w:fill="auto"/>
            <w:vAlign w:val="center"/>
          </w:tcPr>
          <w:p w14:paraId="053D3B52">
            <w:pPr>
              <w:pStyle w:val="178"/>
            </w:pPr>
          </w:p>
        </w:tc>
        <w:tc>
          <w:tcPr>
            <w:tcW w:w="2287" w:type="dxa"/>
            <w:tcBorders>
              <w:bottom w:val="single" w:color="auto" w:sz="8" w:space="0"/>
            </w:tcBorders>
            <w:vAlign w:val="center"/>
          </w:tcPr>
          <w:p w14:paraId="191962D4">
            <w:pPr>
              <w:pStyle w:val="178"/>
            </w:pPr>
            <w:r>
              <w:rPr>
                <w:rFonts w:hint="eastAsia"/>
              </w:rPr>
              <w:t>7号试样</w:t>
            </w:r>
          </w:p>
        </w:tc>
        <w:tc>
          <w:tcPr>
            <w:tcW w:w="2378" w:type="dxa"/>
            <w:tcBorders>
              <w:bottom w:val="single" w:color="auto" w:sz="8" w:space="0"/>
            </w:tcBorders>
            <w:shd w:val="clear" w:color="auto" w:fill="auto"/>
            <w:vAlign w:val="center"/>
          </w:tcPr>
          <w:p w14:paraId="7DF10EAB">
            <w:pPr>
              <w:pStyle w:val="178"/>
            </w:pPr>
            <w:r>
              <w:t>7</w:t>
            </w:r>
            <w:r>
              <w:rPr>
                <w:rFonts w:hint="eastAsia"/>
              </w:rPr>
              <w:t>0</w:t>
            </w:r>
            <w:r>
              <w:t xml:space="preserve"> %</w:t>
            </w:r>
            <w:r>
              <w:rPr>
                <w:rFonts w:hint="eastAsia"/>
              </w:rPr>
              <w:t xml:space="preserve"> RH</w:t>
            </w:r>
          </w:p>
        </w:tc>
        <w:tc>
          <w:tcPr>
            <w:tcW w:w="2356" w:type="dxa"/>
            <w:tcBorders>
              <w:bottom w:val="single" w:color="auto" w:sz="8" w:space="0"/>
            </w:tcBorders>
            <w:shd w:val="clear" w:color="auto" w:fill="auto"/>
            <w:vAlign w:val="center"/>
          </w:tcPr>
          <w:p w14:paraId="23CCA40B">
            <w:pPr>
              <w:pStyle w:val="178"/>
            </w:pPr>
            <w:r>
              <w:t>Y</w:t>
            </w:r>
            <w:r>
              <w:rPr>
                <w:vertAlign w:val="subscript"/>
              </w:rPr>
              <w:t>1h</w:t>
            </w:r>
            <w:r>
              <w:t>-7</w:t>
            </w:r>
          </w:p>
        </w:tc>
      </w:tr>
      <w:tr w14:paraId="12FD3E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shd w:val="clear" w:color="auto" w:fill="auto"/>
            <w:vAlign w:val="center"/>
          </w:tcPr>
          <w:p w14:paraId="36AACF8D">
            <w:pPr>
              <w:pStyle w:val="178"/>
            </w:pPr>
          </w:p>
        </w:tc>
        <w:tc>
          <w:tcPr>
            <w:tcW w:w="2287" w:type="dxa"/>
            <w:tcBorders>
              <w:bottom w:val="single" w:color="auto" w:sz="8" w:space="0"/>
            </w:tcBorders>
            <w:vAlign w:val="center"/>
          </w:tcPr>
          <w:p w14:paraId="51E926CB">
            <w:pPr>
              <w:pStyle w:val="178"/>
            </w:pPr>
            <w:r>
              <w:rPr>
                <w:rFonts w:hint="eastAsia"/>
              </w:rPr>
              <w:t>8号试样</w:t>
            </w:r>
          </w:p>
        </w:tc>
        <w:tc>
          <w:tcPr>
            <w:tcW w:w="2378" w:type="dxa"/>
            <w:tcBorders>
              <w:bottom w:val="single" w:color="auto" w:sz="8" w:space="0"/>
            </w:tcBorders>
            <w:shd w:val="clear" w:color="auto" w:fill="auto"/>
            <w:vAlign w:val="center"/>
          </w:tcPr>
          <w:p w14:paraId="78821A07">
            <w:pPr>
              <w:pStyle w:val="178"/>
            </w:pPr>
            <w:r>
              <w:t>8</w:t>
            </w:r>
            <w:r>
              <w:rPr>
                <w:rFonts w:hint="eastAsia"/>
              </w:rPr>
              <w:t>0</w:t>
            </w:r>
            <w:r>
              <w:t xml:space="preserve"> %</w:t>
            </w:r>
            <w:r>
              <w:rPr>
                <w:rFonts w:hint="eastAsia"/>
              </w:rPr>
              <w:t xml:space="preserve"> RH</w:t>
            </w:r>
          </w:p>
        </w:tc>
        <w:tc>
          <w:tcPr>
            <w:tcW w:w="2356" w:type="dxa"/>
            <w:tcBorders>
              <w:bottom w:val="single" w:color="auto" w:sz="8" w:space="0"/>
            </w:tcBorders>
            <w:shd w:val="clear" w:color="auto" w:fill="auto"/>
            <w:vAlign w:val="center"/>
          </w:tcPr>
          <w:p w14:paraId="322D680B">
            <w:pPr>
              <w:pStyle w:val="178"/>
            </w:pPr>
            <w:r>
              <w:t>Y</w:t>
            </w:r>
            <w:r>
              <w:rPr>
                <w:vertAlign w:val="subscript"/>
              </w:rPr>
              <w:t>1h</w:t>
            </w:r>
            <w:r>
              <w:t>-8</w:t>
            </w:r>
          </w:p>
        </w:tc>
      </w:tr>
      <w:tr w14:paraId="2C3790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shd w:val="clear" w:color="auto" w:fill="auto"/>
            <w:vAlign w:val="center"/>
          </w:tcPr>
          <w:p w14:paraId="572E6261">
            <w:pPr>
              <w:pStyle w:val="178"/>
            </w:pPr>
          </w:p>
        </w:tc>
        <w:tc>
          <w:tcPr>
            <w:tcW w:w="2287" w:type="dxa"/>
            <w:tcBorders>
              <w:bottom w:val="single" w:color="auto" w:sz="8" w:space="0"/>
            </w:tcBorders>
            <w:vAlign w:val="center"/>
          </w:tcPr>
          <w:p w14:paraId="29810432">
            <w:pPr>
              <w:pStyle w:val="178"/>
            </w:pPr>
            <w:r>
              <w:rPr>
                <w:rFonts w:hint="eastAsia"/>
              </w:rPr>
              <w:t>9号试样</w:t>
            </w:r>
          </w:p>
        </w:tc>
        <w:tc>
          <w:tcPr>
            <w:tcW w:w="2378" w:type="dxa"/>
            <w:tcBorders>
              <w:bottom w:val="single" w:color="auto" w:sz="8" w:space="0"/>
            </w:tcBorders>
            <w:shd w:val="clear" w:color="auto" w:fill="auto"/>
            <w:vAlign w:val="center"/>
          </w:tcPr>
          <w:p w14:paraId="558ACDA7">
            <w:pPr>
              <w:pStyle w:val="178"/>
            </w:pPr>
            <w:r>
              <w:t>9</w:t>
            </w:r>
            <w:r>
              <w:rPr>
                <w:rFonts w:hint="eastAsia"/>
              </w:rPr>
              <w:t>0</w:t>
            </w:r>
            <w:r>
              <w:t xml:space="preserve"> %</w:t>
            </w:r>
            <w:r>
              <w:rPr>
                <w:rFonts w:hint="eastAsia"/>
              </w:rPr>
              <w:t xml:space="preserve"> RH</w:t>
            </w:r>
          </w:p>
        </w:tc>
        <w:tc>
          <w:tcPr>
            <w:tcW w:w="2356" w:type="dxa"/>
            <w:tcBorders>
              <w:bottom w:val="single" w:color="auto" w:sz="8" w:space="0"/>
            </w:tcBorders>
            <w:shd w:val="clear" w:color="auto" w:fill="auto"/>
            <w:vAlign w:val="center"/>
          </w:tcPr>
          <w:p w14:paraId="49005131">
            <w:pPr>
              <w:pStyle w:val="178"/>
            </w:pPr>
            <w:r>
              <w:t>Y</w:t>
            </w:r>
            <w:r>
              <w:rPr>
                <w:vertAlign w:val="subscript"/>
              </w:rPr>
              <w:t>1h</w:t>
            </w:r>
            <w:r>
              <w:t>-9</w:t>
            </w:r>
          </w:p>
        </w:tc>
      </w:tr>
      <w:tr w14:paraId="43FAD1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13" w:type="dxa"/>
            <w:vMerge w:val="continue"/>
            <w:tcBorders>
              <w:bottom w:val="single" w:color="auto" w:sz="8" w:space="0"/>
            </w:tcBorders>
            <w:shd w:val="clear" w:color="auto" w:fill="auto"/>
            <w:vAlign w:val="center"/>
          </w:tcPr>
          <w:p w14:paraId="743F46FB">
            <w:pPr>
              <w:pStyle w:val="178"/>
            </w:pPr>
          </w:p>
        </w:tc>
        <w:tc>
          <w:tcPr>
            <w:tcW w:w="2287" w:type="dxa"/>
            <w:tcBorders>
              <w:bottom w:val="single" w:color="auto" w:sz="8" w:space="0"/>
            </w:tcBorders>
            <w:vAlign w:val="center"/>
          </w:tcPr>
          <w:p w14:paraId="3A92F43C">
            <w:pPr>
              <w:pStyle w:val="178"/>
            </w:pPr>
            <w:r>
              <w:rPr>
                <w:rFonts w:hint="eastAsia"/>
              </w:rPr>
              <w:t>1</w:t>
            </w:r>
            <w:r>
              <w:t>0</w:t>
            </w:r>
            <w:r>
              <w:rPr>
                <w:rFonts w:hint="eastAsia"/>
              </w:rPr>
              <w:t>号试样</w:t>
            </w:r>
          </w:p>
        </w:tc>
        <w:tc>
          <w:tcPr>
            <w:tcW w:w="2378" w:type="dxa"/>
            <w:tcBorders>
              <w:bottom w:val="single" w:color="auto" w:sz="8" w:space="0"/>
            </w:tcBorders>
            <w:shd w:val="clear" w:color="auto" w:fill="auto"/>
            <w:vAlign w:val="center"/>
          </w:tcPr>
          <w:p w14:paraId="32B06EC0">
            <w:pPr>
              <w:pStyle w:val="178"/>
            </w:pPr>
            <w:r>
              <w:t>10</w:t>
            </w:r>
            <w:r>
              <w:rPr>
                <w:rFonts w:hint="eastAsia"/>
              </w:rPr>
              <w:t>0</w:t>
            </w:r>
            <w:r>
              <w:t xml:space="preserve"> %</w:t>
            </w:r>
            <w:r>
              <w:rPr>
                <w:rFonts w:hint="eastAsia"/>
              </w:rPr>
              <w:t xml:space="preserve"> RH</w:t>
            </w:r>
          </w:p>
        </w:tc>
        <w:tc>
          <w:tcPr>
            <w:tcW w:w="2356" w:type="dxa"/>
            <w:tcBorders>
              <w:bottom w:val="single" w:color="auto" w:sz="8" w:space="0"/>
            </w:tcBorders>
            <w:shd w:val="clear" w:color="auto" w:fill="auto"/>
            <w:vAlign w:val="center"/>
          </w:tcPr>
          <w:p w14:paraId="35958422">
            <w:pPr>
              <w:pStyle w:val="178"/>
            </w:pPr>
            <w:r>
              <w:t>Y</w:t>
            </w:r>
            <w:r>
              <w:rPr>
                <w:vertAlign w:val="subscript"/>
              </w:rPr>
              <w:t>1h</w:t>
            </w:r>
            <w:r>
              <w:t>-10</w:t>
            </w:r>
          </w:p>
        </w:tc>
      </w:tr>
      <w:tr w14:paraId="512075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9334" w:type="dxa"/>
            <w:gridSpan w:val="4"/>
            <w:tcBorders>
              <w:top w:val="single" w:color="auto" w:sz="8" w:space="0"/>
              <w:bottom w:val="single" w:color="auto" w:sz="8" w:space="0"/>
            </w:tcBorders>
          </w:tcPr>
          <w:p w14:paraId="3FF36241">
            <w:pPr>
              <w:pStyle w:val="180"/>
            </w:pPr>
            <w:r>
              <w:rPr>
                <w:rFonts w:hint="eastAsia"/>
              </w:rPr>
              <w:t>土壤腐殖质统称为Y</w:t>
            </w:r>
            <w:r>
              <w:rPr>
                <w:rFonts w:hint="eastAsia"/>
                <w:vertAlign w:val="subscript"/>
              </w:rPr>
              <w:t>T</w:t>
            </w:r>
            <w:r>
              <w:rPr>
                <w:rFonts w:hint="eastAsia"/>
              </w:rPr>
              <w:t>，1h时滞可燃物统称为Y</w:t>
            </w:r>
            <w:r>
              <w:rPr>
                <w:vertAlign w:val="subscript"/>
              </w:rPr>
              <w:t>1</w:t>
            </w:r>
            <w:r>
              <w:rPr>
                <w:rFonts w:hint="eastAsia"/>
                <w:vertAlign w:val="subscript"/>
              </w:rPr>
              <w:t>h</w:t>
            </w:r>
            <w:r>
              <w:rPr>
                <w:rFonts w:hint="eastAsia"/>
              </w:rPr>
              <w:t>。</w:t>
            </w:r>
          </w:p>
          <w:p w14:paraId="770D37BE">
            <w:pPr>
              <w:pStyle w:val="180"/>
            </w:pPr>
            <w:r>
              <w:rPr>
                <w:rFonts w:hint="eastAsia"/>
              </w:rPr>
              <w:t>开展试验时应先剔出传感器量程外的试样，原有编号保持不变，例如：当传感器的量程为2</w:t>
            </w:r>
            <w:r>
              <w:t>0 %</w:t>
            </w:r>
            <w:r>
              <w:rPr>
                <w:rFonts w:hint="eastAsia"/>
              </w:rPr>
              <w:t>RH</w:t>
            </w:r>
            <w:r>
              <w:rPr>
                <w:rFonts w:hint="eastAsia" w:hAnsi="宋体"/>
              </w:rPr>
              <w:t>～</w:t>
            </w:r>
            <w:r>
              <w:t>80 %</w:t>
            </w:r>
            <w:r>
              <w:rPr>
                <w:rFonts w:hint="eastAsia"/>
              </w:rPr>
              <w:t>RH时，应剔除</w:t>
            </w:r>
            <w:r>
              <w:t>0</w:t>
            </w:r>
            <w:r>
              <w:rPr>
                <w:rFonts w:hint="eastAsia"/>
              </w:rPr>
              <w:t>号、1号、9号和1</w:t>
            </w:r>
            <w:r>
              <w:t>0</w:t>
            </w:r>
            <w:r>
              <w:rPr>
                <w:rFonts w:hint="eastAsia"/>
              </w:rPr>
              <w:t>号试样，只保留2号至</w:t>
            </w:r>
            <w:r>
              <w:t>8</w:t>
            </w:r>
            <w:r>
              <w:rPr>
                <w:rFonts w:hint="eastAsia"/>
              </w:rPr>
              <w:t>号试样进行试验。</w:t>
            </w:r>
          </w:p>
        </w:tc>
      </w:tr>
    </w:tbl>
    <w:p w14:paraId="439E9AD7">
      <w:pPr>
        <w:pStyle w:val="56"/>
        <w:ind w:firstLine="420"/>
      </w:pPr>
    </w:p>
    <w:bookmarkEnd w:id="75"/>
    <w:p w14:paraId="1F58BC57">
      <w:pPr>
        <w:pStyle w:val="56"/>
        <w:ind w:firstLine="0" w:firstLineChars="0"/>
        <w:jc w:val="center"/>
      </w:pPr>
      <w:bookmarkStart w:id="78" w:name="BookMark8"/>
      <w:r>
        <w:rPr>
          <w:rFonts w:hint="eastAsia"/>
        </w:rPr>
        <w:drawing>
          <wp:inline distT="0" distB="0" distL="0" distR="0">
            <wp:extent cx="1485900" cy="317500"/>
            <wp:effectExtent l="0" t="0" r="0" b="6350"/>
            <wp:docPr id="1996123749" name="图片 2"/>
            <wp:cNvGraphicFramePr/>
            <a:graphic xmlns:a="http://schemas.openxmlformats.org/drawingml/2006/main">
              <a:graphicData uri="http://schemas.openxmlformats.org/drawingml/2006/picture">
                <pic:pic xmlns:pic="http://schemas.openxmlformats.org/drawingml/2006/picture">
                  <pic:nvPicPr>
                    <pic:cNvPr id="1996123749" name="图片 2"/>
                    <pic:cNvPicPr/>
                  </pic:nvPicPr>
                  <pic:blipFill>
                    <a:blip r:embed="rId20">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78"/>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Wingdings 3">
    <w:panose1 w:val="05040102010807070707"/>
    <w:charset w:val="00"/>
    <w:family w:val="auto"/>
    <w:pitch w:val="default"/>
    <w:sig w:usb0="00000000" w:usb1="00000000" w:usb2="00000000" w:usb3="00000000" w:csb0="80000000" w:csb1="00000000"/>
  </w:font>
  <w:font w:name="等线 Light">
    <w:panose1 w:val="02010600030101010101"/>
    <w:charset w:val="86"/>
    <w:family w:val="auto"/>
    <w:pitch w:val="default"/>
    <w:sig w:usb0="A00002BF" w:usb1="38CF7CFA" w:usb2="00000016" w:usb3="00000000" w:csb0="0004000F" w:csb1="00000000"/>
  </w:font>
  <w:font w:name="Segoe UI">
    <w:altName w:val="Noto Naskh Arabic"/>
    <w:panose1 w:val="020B0502040204020203"/>
    <w:charset w:val="00"/>
    <w:family w:val="swiss"/>
    <w:pitch w:val="default"/>
    <w:sig w:usb0="00000000" w:usb1="00000000" w:usb2="00000009" w:usb3="00000000" w:csb0="000001FF" w:csb1="00000000"/>
  </w:font>
  <w:font w:name="Noto Naskh Arabic">
    <w:panose1 w:val="020B0502040504020204"/>
    <w:charset w:val="00"/>
    <w:family w:val="auto"/>
    <w:pitch w:val="default"/>
    <w:sig w:usb0="80002003" w:usb1="80002000" w:usb2="00000008" w:usb3="00000000" w:csb0="00000041" w:csb1="0008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1BCE8">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4CC94">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78492">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A70D7">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FCE7E">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44761">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204DF">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B86ED">
    <w:pPr>
      <w:pStyle w:val="61"/>
      <w:rPr>
        <w:rFonts w:hint="eastAsia"/>
      </w:rPr>
    </w:pPr>
    <w:r>
      <w:fldChar w:fldCharType="begin"/>
    </w:r>
    <w:r>
      <w:instrText xml:space="preserve"> STYLEREF  标准文件_文件编号  \* MERGEFORMAT </w:instrText>
    </w:r>
    <w:r>
      <w:fldChar w:fldCharType="separate"/>
    </w:r>
    <w:r>
      <w:t>T/CSF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DA17C">
    <w:pPr>
      <w:pStyle w:val="18"/>
      <w:jc w:val="right"/>
    </w:pPr>
    <w:r>
      <w:fldChar w:fldCharType="begin"/>
    </w:r>
    <w:r>
      <w:instrText xml:space="preserve"> STYLEREF  标准文件_文件编号  \* MERGEFORMAT </w:instrText>
    </w:r>
    <w:r>
      <w:fldChar w:fldCharType="separate"/>
    </w:r>
    <w:r>
      <w:t>T/CSF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2046"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dit="forms" w:enforcement="1" w:cryptProviderType="rsaAES" w:cryptAlgorithmClass="hash" w:cryptAlgorithmType="typeAny" w:cryptAlgorithmSid="14" w:cryptSpinCount="100000" w:hash="Td7Kp4kp+OCKZwkTsSWqKkzFDE5gNkD8wOkgzaQRT0wSMtOkYDakG8mGGTdgCBKT5OwBEaxdWyaP3WwJCXIEew==" w:salt="fNu2AU4qafxHX5Nwq7d/GQ=="/>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F90"/>
    <w:rsid w:val="000001BF"/>
    <w:rsid w:val="0000040A"/>
    <w:rsid w:val="00000A94"/>
    <w:rsid w:val="00001972"/>
    <w:rsid w:val="00001D9A"/>
    <w:rsid w:val="00002218"/>
    <w:rsid w:val="00004679"/>
    <w:rsid w:val="00007B17"/>
    <w:rsid w:val="00007B3A"/>
    <w:rsid w:val="00007F05"/>
    <w:rsid w:val="000107E0"/>
    <w:rsid w:val="000112E9"/>
    <w:rsid w:val="00011FDE"/>
    <w:rsid w:val="000124B8"/>
    <w:rsid w:val="00012FFD"/>
    <w:rsid w:val="00014162"/>
    <w:rsid w:val="00014340"/>
    <w:rsid w:val="0001686D"/>
    <w:rsid w:val="00016A9C"/>
    <w:rsid w:val="00022184"/>
    <w:rsid w:val="00022762"/>
    <w:rsid w:val="000238E0"/>
    <w:rsid w:val="00023D18"/>
    <w:rsid w:val="00024898"/>
    <w:rsid w:val="000249DB"/>
    <w:rsid w:val="00024DA6"/>
    <w:rsid w:val="0002595E"/>
    <w:rsid w:val="000303C3"/>
    <w:rsid w:val="00031CDB"/>
    <w:rsid w:val="000331D3"/>
    <w:rsid w:val="00033B62"/>
    <w:rsid w:val="0003428A"/>
    <w:rsid w:val="000346A5"/>
    <w:rsid w:val="000359C3"/>
    <w:rsid w:val="00035A7D"/>
    <w:rsid w:val="000365ED"/>
    <w:rsid w:val="0004249A"/>
    <w:rsid w:val="00043282"/>
    <w:rsid w:val="00043A3B"/>
    <w:rsid w:val="00044286"/>
    <w:rsid w:val="00044315"/>
    <w:rsid w:val="0004498A"/>
    <w:rsid w:val="00047F28"/>
    <w:rsid w:val="000503AA"/>
    <w:rsid w:val="000506A1"/>
    <w:rsid w:val="000515DD"/>
    <w:rsid w:val="0005265A"/>
    <w:rsid w:val="000539DD"/>
    <w:rsid w:val="00053BD3"/>
    <w:rsid w:val="00053D29"/>
    <w:rsid w:val="000556ED"/>
    <w:rsid w:val="00055FE2"/>
    <w:rsid w:val="0005616F"/>
    <w:rsid w:val="00056DBF"/>
    <w:rsid w:val="00056F7F"/>
    <w:rsid w:val="00060478"/>
    <w:rsid w:val="00060C2E"/>
    <w:rsid w:val="00061033"/>
    <w:rsid w:val="000619E9"/>
    <w:rsid w:val="000622D4"/>
    <w:rsid w:val="00062456"/>
    <w:rsid w:val="0006357D"/>
    <w:rsid w:val="00064130"/>
    <w:rsid w:val="00064D3F"/>
    <w:rsid w:val="00066377"/>
    <w:rsid w:val="000665EB"/>
    <w:rsid w:val="00066AC0"/>
    <w:rsid w:val="00066E17"/>
    <w:rsid w:val="00067A1F"/>
    <w:rsid w:val="00067F1E"/>
    <w:rsid w:val="00070F3A"/>
    <w:rsid w:val="000717CF"/>
    <w:rsid w:val="00071CC0"/>
    <w:rsid w:val="00071CFC"/>
    <w:rsid w:val="00072307"/>
    <w:rsid w:val="000731BC"/>
    <w:rsid w:val="00073C6D"/>
    <w:rsid w:val="00073C8C"/>
    <w:rsid w:val="000761FC"/>
    <w:rsid w:val="00076B1A"/>
    <w:rsid w:val="00076C6E"/>
    <w:rsid w:val="00077B64"/>
    <w:rsid w:val="00080A1C"/>
    <w:rsid w:val="00080B0B"/>
    <w:rsid w:val="00082317"/>
    <w:rsid w:val="00083D2C"/>
    <w:rsid w:val="00084565"/>
    <w:rsid w:val="00084660"/>
    <w:rsid w:val="000850DD"/>
    <w:rsid w:val="00086870"/>
    <w:rsid w:val="00086AA1"/>
    <w:rsid w:val="00087A77"/>
    <w:rsid w:val="00090404"/>
    <w:rsid w:val="00090CA6"/>
    <w:rsid w:val="00092B8A"/>
    <w:rsid w:val="00092FB0"/>
    <w:rsid w:val="000934C5"/>
    <w:rsid w:val="00093905"/>
    <w:rsid w:val="00093D25"/>
    <w:rsid w:val="00093D87"/>
    <w:rsid w:val="00093DAB"/>
    <w:rsid w:val="00094D73"/>
    <w:rsid w:val="00094E5D"/>
    <w:rsid w:val="00096D63"/>
    <w:rsid w:val="000A00E8"/>
    <w:rsid w:val="000A0139"/>
    <w:rsid w:val="000A0B60"/>
    <w:rsid w:val="000A0EB8"/>
    <w:rsid w:val="000A14FC"/>
    <w:rsid w:val="000A150F"/>
    <w:rsid w:val="000A19FC"/>
    <w:rsid w:val="000A296B"/>
    <w:rsid w:val="000A4D03"/>
    <w:rsid w:val="000A6392"/>
    <w:rsid w:val="000A7311"/>
    <w:rsid w:val="000A7D76"/>
    <w:rsid w:val="000B060F"/>
    <w:rsid w:val="000B1592"/>
    <w:rsid w:val="000B1E8D"/>
    <w:rsid w:val="000B1FF2"/>
    <w:rsid w:val="000B3545"/>
    <w:rsid w:val="000B3CDA"/>
    <w:rsid w:val="000B6A0B"/>
    <w:rsid w:val="000C0F6C"/>
    <w:rsid w:val="000C0FAD"/>
    <w:rsid w:val="000C11DB"/>
    <w:rsid w:val="000C12E5"/>
    <w:rsid w:val="000C1492"/>
    <w:rsid w:val="000C2093"/>
    <w:rsid w:val="000C27A0"/>
    <w:rsid w:val="000C2FBD"/>
    <w:rsid w:val="000C471F"/>
    <w:rsid w:val="000C4B41"/>
    <w:rsid w:val="000C55B9"/>
    <w:rsid w:val="000C57D6"/>
    <w:rsid w:val="000C6362"/>
    <w:rsid w:val="000C759D"/>
    <w:rsid w:val="000C75C2"/>
    <w:rsid w:val="000C7666"/>
    <w:rsid w:val="000D0A9C"/>
    <w:rsid w:val="000D1795"/>
    <w:rsid w:val="000D329A"/>
    <w:rsid w:val="000D4A71"/>
    <w:rsid w:val="000D4B9C"/>
    <w:rsid w:val="000D4EB6"/>
    <w:rsid w:val="000D5A2B"/>
    <w:rsid w:val="000D5DD9"/>
    <w:rsid w:val="000D67FE"/>
    <w:rsid w:val="000D753B"/>
    <w:rsid w:val="000D7AD5"/>
    <w:rsid w:val="000D7D7F"/>
    <w:rsid w:val="000E1567"/>
    <w:rsid w:val="000E1DC5"/>
    <w:rsid w:val="000E2DEB"/>
    <w:rsid w:val="000E4313"/>
    <w:rsid w:val="000E4C9E"/>
    <w:rsid w:val="000E6FD7"/>
    <w:rsid w:val="000E7144"/>
    <w:rsid w:val="000E75EF"/>
    <w:rsid w:val="000E7AD3"/>
    <w:rsid w:val="000F06E1"/>
    <w:rsid w:val="000F0E3C"/>
    <w:rsid w:val="000F19D5"/>
    <w:rsid w:val="000F19F8"/>
    <w:rsid w:val="000F1BA8"/>
    <w:rsid w:val="000F4050"/>
    <w:rsid w:val="000F4AEA"/>
    <w:rsid w:val="000F6379"/>
    <w:rsid w:val="000F67E9"/>
    <w:rsid w:val="000F7303"/>
    <w:rsid w:val="00101395"/>
    <w:rsid w:val="00101A4D"/>
    <w:rsid w:val="00102B8F"/>
    <w:rsid w:val="00102B96"/>
    <w:rsid w:val="00102E0A"/>
    <w:rsid w:val="00104926"/>
    <w:rsid w:val="00106BAC"/>
    <w:rsid w:val="00107412"/>
    <w:rsid w:val="00107920"/>
    <w:rsid w:val="001079B3"/>
    <w:rsid w:val="00113B1E"/>
    <w:rsid w:val="00114A87"/>
    <w:rsid w:val="00114FD9"/>
    <w:rsid w:val="0011711C"/>
    <w:rsid w:val="001225A7"/>
    <w:rsid w:val="00124E4F"/>
    <w:rsid w:val="00124FAF"/>
    <w:rsid w:val="001260B7"/>
    <w:rsid w:val="001265CB"/>
    <w:rsid w:val="001278ED"/>
    <w:rsid w:val="00131A49"/>
    <w:rsid w:val="001321C6"/>
    <w:rsid w:val="001325C4"/>
    <w:rsid w:val="001326F1"/>
    <w:rsid w:val="00132C65"/>
    <w:rsid w:val="00133010"/>
    <w:rsid w:val="001338EE"/>
    <w:rsid w:val="00133AAE"/>
    <w:rsid w:val="00134035"/>
    <w:rsid w:val="0013424F"/>
    <w:rsid w:val="00135323"/>
    <w:rsid w:val="001356C4"/>
    <w:rsid w:val="001356EF"/>
    <w:rsid w:val="00137565"/>
    <w:rsid w:val="00137A78"/>
    <w:rsid w:val="00141114"/>
    <w:rsid w:val="00142969"/>
    <w:rsid w:val="00143691"/>
    <w:rsid w:val="001446C2"/>
    <w:rsid w:val="001457E7"/>
    <w:rsid w:val="0014586A"/>
    <w:rsid w:val="00145D9D"/>
    <w:rsid w:val="00146388"/>
    <w:rsid w:val="00151044"/>
    <w:rsid w:val="00151505"/>
    <w:rsid w:val="001529E5"/>
    <w:rsid w:val="00152D02"/>
    <w:rsid w:val="00152FB3"/>
    <w:rsid w:val="00153A19"/>
    <w:rsid w:val="00153C7E"/>
    <w:rsid w:val="00156390"/>
    <w:rsid w:val="00156825"/>
    <w:rsid w:val="00156B25"/>
    <w:rsid w:val="00156E1A"/>
    <w:rsid w:val="00157131"/>
    <w:rsid w:val="00157894"/>
    <w:rsid w:val="00157AB1"/>
    <w:rsid w:val="00157B55"/>
    <w:rsid w:val="00160243"/>
    <w:rsid w:val="00160C7C"/>
    <w:rsid w:val="00161888"/>
    <w:rsid w:val="001637C8"/>
    <w:rsid w:val="00163960"/>
    <w:rsid w:val="001642FA"/>
    <w:rsid w:val="001647D8"/>
    <w:rsid w:val="001649EB"/>
    <w:rsid w:val="00164BAF"/>
    <w:rsid w:val="00164FA8"/>
    <w:rsid w:val="00165065"/>
    <w:rsid w:val="00165434"/>
    <w:rsid w:val="0016580B"/>
    <w:rsid w:val="00165F49"/>
    <w:rsid w:val="001661A6"/>
    <w:rsid w:val="00166B88"/>
    <w:rsid w:val="0016770A"/>
    <w:rsid w:val="00170804"/>
    <w:rsid w:val="001708E9"/>
    <w:rsid w:val="00171490"/>
    <w:rsid w:val="001723C9"/>
    <w:rsid w:val="00172EE3"/>
    <w:rsid w:val="0017340B"/>
    <w:rsid w:val="00173AEA"/>
    <w:rsid w:val="00173F18"/>
    <w:rsid w:val="00173FB1"/>
    <w:rsid w:val="00174B3C"/>
    <w:rsid w:val="00175091"/>
    <w:rsid w:val="001761B0"/>
    <w:rsid w:val="00176B9E"/>
    <w:rsid w:val="00176DFD"/>
    <w:rsid w:val="00180732"/>
    <w:rsid w:val="00182CFD"/>
    <w:rsid w:val="001843D8"/>
    <w:rsid w:val="00184FA9"/>
    <w:rsid w:val="001852C9"/>
    <w:rsid w:val="00187340"/>
    <w:rsid w:val="00187A0B"/>
    <w:rsid w:val="00190087"/>
    <w:rsid w:val="001913C4"/>
    <w:rsid w:val="00191596"/>
    <w:rsid w:val="0019181F"/>
    <w:rsid w:val="00192615"/>
    <w:rsid w:val="001928C5"/>
    <w:rsid w:val="001928DD"/>
    <w:rsid w:val="0019348F"/>
    <w:rsid w:val="00193A07"/>
    <w:rsid w:val="00193D18"/>
    <w:rsid w:val="00194A8F"/>
    <w:rsid w:val="00194C95"/>
    <w:rsid w:val="00195040"/>
    <w:rsid w:val="001959A6"/>
    <w:rsid w:val="00195C34"/>
    <w:rsid w:val="00196B15"/>
    <w:rsid w:val="00196EF5"/>
    <w:rsid w:val="001975C7"/>
    <w:rsid w:val="001A04F5"/>
    <w:rsid w:val="001A1A53"/>
    <w:rsid w:val="001A234A"/>
    <w:rsid w:val="001A4CF3"/>
    <w:rsid w:val="001A6696"/>
    <w:rsid w:val="001A7382"/>
    <w:rsid w:val="001A75F4"/>
    <w:rsid w:val="001B02AE"/>
    <w:rsid w:val="001B06E8"/>
    <w:rsid w:val="001B67D6"/>
    <w:rsid w:val="001B71D0"/>
    <w:rsid w:val="001B71EE"/>
    <w:rsid w:val="001C04A8"/>
    <w:rsid w:val="001C0DFA"/>
    <w:rsid w:val="001C2C03"/>
    <w:rsid w:val="001C2CD1"/>
    <w:rsid w:val="001C343E"/>
    <w:rsid w:val="001C42F7"/>
    <w:rsid w:val="001C49E5"/>
    <w:rsid w:val="001C680C"/>
    <w:rsid w:val="001C6C18"/>
    <w:rsid w:val="001C7FEA"/>
    <w:rsid w:val="001D0499"/>
    <w:rsid w:val="001D093B"/>
    <w:rsid w:val="001D0BBE"/>
    <w:rsid w:val="001D0ED4"/>
    <w:rsid w:val="001D212F"/>
    <w:rsid w:val="001D29D7"/>
    <w:rsid w:val="001D2DE7"/>
    <w:rsid w:val="001D365F"/>
    <w:rsid w:val="001D411C"/>
    <w:rsid w:val="001D560E"/>
    <w:rsid w:val="001D72F6"/>
    <w:rsid w:val="001D7BED"/>
    <w:rsid w:val="001E18FF"/>
    <w:rsid w:val="001E1A67"/>
    <w:rsid w:val="001E1B6A"/>
    <w:rsid w:val="001E2484"/>
    <w:rsid w:val="001E286B"/>
    <w:rsid w:val="001E384B"/>
    <w:rsid w:val="001E3CC4"/>
    <w:rsid w:val="001E43BA"/>
    <w:rsid w:val="001E4882"/>
    <w:rsid w:val="001E59AA"/>
    <w:rsid w:val="001E70A9"/>
    <w:rsid w:val="001E73AB"/>
    <w:rsid w:val="001E7871"/>
    <w:rsid w:val="001F009B"/>
    <w:rsid w:val="001F092D"/>
    <w:rsid w:val="001F143A"/>
    <w:rsid w:val="001F1605"/>
    <w:rsid w:val="001F1B82"/>
    <w:rsid w:val="001F2508"/>
    <w:rsid w:val="001F3208"/>
    <w:rsid w:val="001F35A1"/>
    <w:rsid w:val="001F3BD0"/>
    <w:rsid w:val="001F4816"/>
    <w:rsid w:val="001F5D8A"/>
    <w:rsid w:val="001F69B4"/>
    <w:rsid w:val="001F77C7"/>
    <w:rsid w:val="00200183"/>
    <w:rsid w:val="00200333"/>
    <w:rsid w:val="0020107D"/>
    <w:rsid w:val="002025F7"/>
    <w:rsid w:val="00202AA4"/>
    <w:rsid w:val="00202EAC"/>
    <w:rsid w:val="002031F7"/>
    <w:rsid w:val="002040E6"/>
    <w:rsid w:val="0020527B"/>
    <w:rsid w:val="00205F2C"/>
    <w:rsid w:val="00206F65"/>
    <w:rsid w:val="00206F95"/>
    <w:rsid w:val="00207BD8"/>
    <w:rsid w:val="00207C67"/>
    <w:rsid w:val="00210B15"/>
    <w:rsid w:val="002142EA"/>
    <w:rsid w:val="002151C7"/>
    <w:rsid w:val="002156C2"/>
    <w:rsid w:val="00215ADD"/>
    <w:rsid w:val="00215EE5"/>
    <w:rsid w:val="00216AB4"/>
    <w:rsid w:val="002202A7"/>
    <w:rsid w:val="002204BB"/>
    <w:rsid w:val="002216BA"/>
    <w:rsid w:val="00221B79"/>
    <w:rsid w:val="00221C6B"/>
    <w:rsid w:val="0022327A"/>
    <w:rsid w:val="002253A1"/>
    <w:rsid w:val="00225CF8"/>
    <w:rsid w:val="0022794E"/>
    <w:rsid w:val="00230CEF"/>
    <w:rsid w:val="0023356C"/>
    <w:rsid w:val="00233D64"/>
    <w:rsid w:val="0023482A"/>
    <w:rsid w:val="002348F9"/>
    <w:rsid w:val="002353A3"/>
    <w:rsid w:val="002359CB"/>
    <w:rsid w:val="002371E6"/>
    <w:rsid w:val="00240097"/>
    <w:rsid w:val="002404D4"/>
    <w:rsid w:val="0024256A"/>
    <w:rsid w:val="00243540"/>
    <w:rsid w:val="0024497B"/>
    <w:rsid w:val="0024515B"/>
    <w:rsid w:val="00245D8A"/>
    <w:rsid w:val="00245F16"/>
    <w:rsid w:val="00246021"/>
    <w:rsid w:val="0024666E"/>
    <w:rsid w:val="00247F52"/>
    <w:rsid w:val="00250B25"/>
    <w:rsid w:val="00250BBE"/>
    <w:rsid w:val="002515C2"/>
    <w:rsid w:val="0025194F"/>
    <w:rsid w:val="00252B82"/>
    <w:rsid w:val="002542AE"/>
    <w:rsid w:val="002564EC"/>
    <w:rsid w:val="0026075F"/>
    <w:rsid w:val="0026148A"/>
    <w:rsid w:val="00261C68"/>
    <w:rsid w:val="00262696"/>
    <w:rsid w:val="00263D25"/>
    <w:rsid w:val="002643C3"/>
    <w:rsid w:val="00264A0C"/>
    <w:rsid w:val="00265DEE"/>
    <w:rsid w:val="00266EEB"/>
    <w:rsid w:val="00267EF4"/>
    <w:rsid w:val="00270CB8"/>
    <w:rsid w:val="00271DA9"/>
    <w:rsid w:val="00272B08"/>
    <w:rsid w:val="002748A5"/>
    <w:rsid w:val="00277AE4"/>
    <w:rsid w:val="00281455"/>
    <w:rsid w:val="00281BB8"/>
    <w:rsid w:val="00281CDB"/>
    <w:rsid w:val="00281E9E"/>
    <w:rsid w:val="00282405"/>
    <w:rsid w:val="00283B6D"/>
    <w:rsid w:val="00285170"/>
    <w:rsid w:val="00285361"/>
    <w:rsid w:val="002927FE"/>
    <w:rsid w:val="00292D60"/>
    <w:rsid w:val="00293B30"/>
    <w:rsid w:val="00293CB3"/>
    <w:rsid w:val="00294D34"/>
    <w:rsid w:val="00294E3B"/>
    <w:rsid w:val="002958F0"/>
    <w:rsid w:val="00296193"/>
    <w:rsid w:val="00296561"/>
    <w:rsid w:val="002965A4"/>
    <w:rsid w:val="00296759"/>
    <w:rsid w:val="00296C66"/>
    <w:rsid w:val="00296EBE"/>
    <w:rsid w:val="002974E3"/>
    <w:rsid w:val="002A084B"/>
    <w:rsid w:val="002A1260"/>
    <w:rsid w:val="002A1589"/>
    <w:rsid w:val="002A1608"/>
    <w:rsid w:val="002A25DC"/>
    <w:rsid w:val="002A3041"/>
    <w:rsid w:val="002A3AAB"/>
    <w:rsid w:val="002A4CEA"/>
    <w:rsid w:val="002A5977"/>
    <w:rsid w:val="002A5A13"/>
    <w:rsid w:val="002A5DC0"/>
    <w:rsid w:val="002A757F"/>
    <w:rsid w:val="002A7720"/>
    <w:rsid w:val="002A7F44"/>
    <w:rsid w:val="002B0B8F"/>
    <w:rsid w:val="002B0C40"/>
    <w:rsid w:val="002B1593"/>
    <w:rsid w:val="002B1966"/>
    <w:rsid w:val="002B370E"/>
    <w:rsid w:val="002B4508"/>
    <w:rsid w:val="002B4A4F"/>
    <w:rsid w:val="002B52CD"/>
    <w:rsid w:val="002B5779"/>
    <w:rsid w:val="002B7332"/>
    <w:rsid w:val="002B7F51"/>
    <w:rsid w:val="002C09E7"/>
    <w:rsid w:val="002C1E06"/>
    <w:rsid w:val="002C28D6"/>
    <w:rsid w:val="002C3F07"/>
    <w:rsid w:val="002C44F3"/>
    <w:rsid w:val="002C5278"/>
    <w:rsid w:val="002C53B4"/>
    <w:rsid w:val="002C7E1A"/>
    <w:rsid w:val="002C7EBB"/>
    <w:rsid w:val="002D06C1"/>
    <w:rsid w:val="002D150D"/>
    <w:rsid w:val="002D15EE"/>
    <w:rsid w:val="002D3D60"/>
    <w:rsid w:val="002D42B5"/>
    <w:rsid w:val="002D4F1A"/>
    <w:rsid w:val="002D5A39"/>
    <w:rsid w:val="002D6EC6"/>
    <w:rsid w:val="002D79AC"/>
    <w:rsid w:val="002E039D"/>
    <w:rsid w:val="002E1419"/>
    <w:rsid w:val="002E3A4B"/>
    <w:rsid w:val="002E4D5A"/>
    <w:rsid w:val="002E6326"/>
    <w:rsid w:val="002E7046"/>
    <w:rsid w:val="002E7F67"/>
    <w:rsid w:val="002F2044"/>
    <w:rsid w:val="002F2EEB"/>
    <w:rsid w:val="002F30E0"/>
    <w:rsid w:val="002F35E4"/>
    <w:rsid w:val="002F3730"/>
    <w:rsid w:val="002F38E1"/>
    <w:rsid w:val="002F4CC1"/>
    <w:rsid w:val="002F78F7"/>
    <w:rsid w:val="002F7AF6"/>
    <w:rsid w:val="003007BB"/>
    <w:rsid w:val="00300E63"/>
    <w:rsid w:val="00302F5F"/>
    <w:rsid w:val="0030403E"/>
    <w:rsid w:val="0030441D"/>
    <w:rsid w:val="00306063"/>
    <w:rsid w:val="00307791"/>
    <w:rsid w:val="00310C4B"/>
    <w:rsid w:val="00311430"/>
    <w:rsid w:val="00311B24"/>
    <w:rsid w:val="00311FBB"/>
    <w:rsid w:val="00313B85"/>
    <w:rsid w:val="00314003"/>
    <w:rsid w:val="003147F6"/>
    <w:rsid w:val="00315079"/>
    <w:rsid w:val="0031575C"/>
    <w:rsid w:val="00316406"/>
    <w:rsid w:val="00317112"/>
    <w:rsid w:val="00317988"/>
    <w:rsid w:val="003216E0"/>
    <w:rsid w:val="003221B4"/>
    <w:rsid w:val="0032258D"/>
    <w:rsid w:val="00322889"/>
    <w:rsid w:val="00322E62"/>
    <w:rsid w:val="0032482A"/>
    <w:rsid w:val="00324D13"/>
    <w:rsid w:val="00324EDD"/>
    <w:rsid w:val="0032537D"/>
    <w:rsid w:val="0032570F"/>
    <w:rsid w:val="00327662"/>
    <w:rsid w:val="00327C55"/>
    <w:rsid w:val="00330552"/>
    <w:rsid w:val="00330993"/>
    <w:rsid w:val="003331E4"/>
    <w:rsid w:val="00335BA2"/>
    <w:rsid w:val="00336C64"/>
    <w:rsid w:val="00337162"/>
    <w:rsid w:val="0034194F"/>
    <w:rsid w:val="00342331"/>
    <w:rsid w:val="00342C29"/>
    <w:rsid w:val="00344605"/>
    <w:rsid w:val="00345324"/>
    <w:rsid w:val="003474AA"/>
    <w:rsid w:val="003477EE"/>
    <w:rsid w:val="00350D1D"/>
    <w:rsid w:val="00352C83"/>
    <w:rsid w:val="00352C9A"/>
    <w:rsid w:val="00352F1A"/>
    <w:rsid w:val="00353569"/>
    <w:rsid w:val="003535E1"/>
    <w:rsid w:val="00357EB3"/>
    <w:rsid w:val="0036107C"/>
    <w:rsid w:val="003615D2"/>
    <w:rsid w:val="00362737"/>
    <w:rsid w:val="0036429C"/>
    <w:rsid w:val="0036470A"/>
    <w:rsid w:val="00364A53"/>
    <w:rsid w:val="003654CB"/>
    <w:rsid w:val="00365AA9"/>
    <w:rsid w:val="00365F86"/>
    <w:rsid w:val="00365F87"/>
    <w:rsid w:val="003662DD"/>
    <w:rsid w:val="003664E0"/>
    <w:rsid w:val="00366E89"/>
    <w:rsid w:val="00367C8C"/>
    <w:rsid w:val="0037040E"/>
    <w:rsid w:val="003705F4"/>
    <w:rsid w:val="00370AEC"/>
    <w:rsid w:val="00370D58"/>
    <w:rsid w:val="00371316"/>
    <w:rsid w:val="00373E39"/>
    <w:rsid w:val="00374529"/>
    <w:rsid w:val="0037581D"/>
    <w:rsid w:val="00376713"/>
    <w:rsid w:val="003803B3"/>
    <w:rsid w:val="00380869"/>
    <w:rsid w:val="00381815"/>
    <w:rsid w:val="003819AF"/>
    <w:rsid w:val="003820E9"/>
    <w:rsid w:val="00382947"/>
    <w:rsid w:val="00382DE7"/>
    <w:rsid w:val="003841ED"/>
    <w:rsid w:val="00384FFC"/>
    <w:rsid w:val="00385322"/>
    <w:rsid w:val="00385706"/>
    <w:rsid w:val="0038594A"/>
    <w:rsid w:val="003872FC"/>
    <w:rsid w:val="00387ADC"/>
    <w:rsid w:val="00387B04"/>
    <w:rsid w:val="00387DCD"/>
    <w:rsid w:val="00390020"/>
    <w:rsid w:val="003903D6"/>
    <w:rsid w:val="00390980"/>
    <w:rsid w:val="00390EE6"/>
    <w:rsid w:val="0039118F"/>
    <w:rsid w:val="00392AD7"/>
    <w:rsid w:val="003932BF"/>
    <w:rsid w:val="003938D9"/>
    <w:rsid w:val="00394376"/>
    <w:rsid w:val="003943FF"/>
    <w:rsid w:val="00394686"/>
    <w:rsid w:val="003964EF"/>
    <w:rsid w:val="003974EB"/>
    <w:rsid w:val="00397A66"/>
    <w:rsid w:val="00397CC5"/>
    <w:rsid w:val="003A11D1"/>
    <w:rsid w:val="003A1582"/>
    <w:rsid w:val="003A1C7B"/>
    <w:rsid w:val="003A1D5D"/>
    <w:rsid w:val="003A2132"/>
    <w:rsid w:val="003A2234"/>
    <w:rsid w:val="003A3D9C"/>
    <w:rsid w:val="003A4077"/>
    <w:rsid w:val="003A4AA7"/>
    <w:rsid w:val="003B09AD"/>
    <w:rsid w:val="003B1AC8"/>
    <w:rsid w:val="003B1DFD"/>
    <w:rsid w:val="003B1F18"/>
    <w:rsid w:val="003B2AAC"/>
    <w:rsid w:val="003B3A3B"/>
    <w:rsid w:val="003B48D1"/>
    <w:rsid w:val="003B52A7"/>
    <w:rsid w:val="003B57CC"/>
    <w:rsid w:val="003B5BF0"/>
    <w:rsid w:val="003B60BF"/>
    <w:rsid w:val="003B6BE3"/>
    <w:rsid w:val="003B7353"/>
    <w:rsid w:val="003C010C"/>
    <w:rsid w:val="003C0452"/>
    <w:rsid w:val="003C071E"/>
    <w:rsid w:val="003C0A6C"/>
    <w:rsid w:val="003C0FC3"/>
    <w:rsid w:val="003C14F8"/>
    <w:rsid w:val="003C2516"/>
    <w:rsid w:val="003C3D55"/>
    <w:rsid w:val="003C457E"/>
    <w:rsid w:val="003C5A43"/>
    <w:rsid w:val="003C5CEB"/>
    <w:rsid w:val="003C6C90"/>
    <w:rsid w:val="003C7487"/>
    <w:rsid w:val="003C74F1"/>
    <w:rsid w:val="003D03BE"/>
    <w:rsid w:val="003D0519"/>
    <w:rsid w:val="003D0D28"/>
    <w:rsid w:val="003D0FF6"/>
    <w:rsid w:val="003D1DD8"/>
    <w:rsid w:val="003D262C"/>
    <w:rsid w:val="003D3E87"/>
    <w:rsid w:val="003D5F52"/>
    <w:rsid w:val="003D6D61"/>
    <w:rsid w:val="003D777C"/>
    <w:rsid w:val="003E019F"/>
    <w:rsid w:val="003E0269"/>
    <w:rsid w:val="003E091D"/>
    <w:rsid w:val="003E1C53"/>
    <w:rsid w:val="003E26BD"/>
    <w:rsid w:val="003E2A69"/>
    <w:rsid w:val="003E2D49"/>
    <w:rsid w:val="003E2FD4"/>
    <w:rsid w:val="003E49F6"/>
    <w:rsid w:val="003E5F30"/>
    <w:rsid w:val="003E660F"/>
    <w:rsid w:val="003E726F"/>
    <w:rsid w:val="003F0279"/>
    <w:rsid w:val="003F0841"/>
    <w:rsid w:val="003F0F8E"/>
    <w:rsid w:val="003F1DF6"/>
    <w:rsid w:val="003F23D3"/>
    <w:rsid w:val="003F3668"/>
    <w:rsid w:val="003F3F08"/>
    <w:rsid w:val="003F49F1"/>
    <w:rsid w:val="003F52A8"/>
    <w:rsid w:val="003F6272"/>
    <w:rsid w:val="00400E06"/>
    <w:rsid w:val="00400E72"/>
    <w:rsid w:val="00401400"/>
    <w:rsid w:val="00403CB8"/>
    <w:rsid w:val="004041DE"/>
    <w:rsid w:val="00404869"/>
    <w:rsid w:val="00405884"/>
    <w:rsid w:val="004059CC"/>
    <w:rsid w:val="00406140"/>
    <w:rsid w:val="00406DE0"/>
    <w:rsid w:val="00407D39"/>
    <w:rsid w:val="00407E1C"/>
    <w:rsid w:val="00413A25"/>
    <w:rsid w:val="0041477A"/>
    <w:rsid w:val="00414F52"/>
    <w:rsid w:val="004164CC"/>
    <w:rsid w:val="004167A3"/>
    <w:rsid w:val="00421977"/>
    <w:rsid w:val="0042444A"/>
    <w:rsid w:val="00424E7B"/>
    <w:rsid w:val="0042524C"/>
    <w:rsid w:val="00425978"/>
    <w:rsid w:val="0043059A"/>
    <w:rsid w:val="00430A09"/>
    <w:rsid w:val="00431AD4"/>
    <w:rsid w:val="00432DAA"/>
    <w:rsid w:val="00434305"/>
    <w:rsid w:val="0043522C"/>
    <w:rsid w:val="00435DF7"/>
    <w:rsid w:val="0043659D"/>
    <w:rsid w:val="00436A7E"/>
    <w:rsid w:val="0043741A"/>
    <w:rsid w:val="0044083F"/>
    <w:rsid w:val="00441AE7"/>
    <w:rsid w:val="00444F37"/>
    <w:rsid w:val="00444F59"/>
    <w:rsid w:val="00445574"/>
    <w:rsid w:val="004467FB"/>
    <w:rsid w:val="00447926"/>
    <w:rsid w:val="004515F4"/>
    <w:rsid w:val="0045173C"/>
    <w:rsid w:val="004519FF"/>
    <w:rsid w:val="00452D6B"/>
    <w:rsid w:val="00453BBA"/>
    <w:rsid w:val="004543DD"/>
    <w:rsid w:val="00454484"/>
    <w:rsid w:val="0045517B"/>
    <w:rsid w:val="00455637"/>
    <w:rsid w:val="004573F5"/>
    <w:rsid w:val="00457E5A"/>
    <w:rsid w:val="004611ED"/>
    <w:rsid w:val="00463B77"/>
    <w:rsid w:val="00463C7B"/>
    <w:rsid w:val="004644A6"/>
    <w:rsid w:val="004659BD"/>
    <w:rsid w:val="00470775"/>
    <w:rsid w:val="0047209A"/>
    <w:rsid w:val="004731AC"/>
    <w:rsid w:val="004744AF"/>
    <w:rsid w:val="004746B1"/>
    <w:rsid w:val="0047583F"/>
    <w:rsid w:val="00475B88"/>
    <w:rsid w:val="00475BEB"/>
    <w:rsid w:val="00475DE8"/>
    <w:rsid w:val="00475F28"/>
    <w:rsid w:val="00476010"/>
    <w:rsid w:val="00477703"/>
    <w:rsid w:val="00481C44"/>
    <w:rsid w:val="00483809"/>
    <w:rsid w:val="00484878"/>
    <w:rsid w:val="00484936"/>
    <w:rsid w:val="00485C89"/>
    <w:rsid w:val="004864C6"/>
    <w:rsid w:val="00486BE3"/>
    <w:rsid w:val="0048723C"/>
    <w:rsid w:val="004877A5"/>
    <w:rsid w:val="004905E4"/>
    <w:rsid w:val="00490A89"/>
    <w:rsid w:val="00490AB4"/>
    <w:rsid w:val="00492F02"/>
    <w:rsid w:val="004939AE"/>
    <w:rsid w:val="004A12DF"/>
    <w:rsid w:val="004A1BA8"/>
    <w:rsid w:val="004A22D6"/>
    <w:rsid w:val="004A285E"/>
    <w:rsid w:val="004A41D8"/>
    <w:rsid w:val="004A4B57"/>
    <w:rsid w:val="004A4EFC"/>
    <w:rsid w:val="004A63FA"/>
    <w:rsid w:val="004A6A3D"/>
    <w:rsid w:val="004A6EDC"/>
    <w:rsid w:val="004A71A8"/>
    <w:rsid w:val="004A7878"/>
    <w:rsid w:val="004A79BE"/>
    <w:rsid w:val="004B0272"/>
    <w:rsid w:val="004B19F1"/>
    <w:rsid w:val="004B1A3C"/>
    <w:rsid w:val="004B2701"/>
    <w:rsid w:val="004B292B"/>
    <w:rsid w:val="004B2B55"/>
    <w:rsid w:val="004B2E1B"/>
    <w:rsid w:val="004B3AA8"/>
    <w:rsid w:val="004B3E93"/>
    <w:rsid w:val="004B571F"/>
    <w:rsid w:val="004C0AFD"/>
    <w:rsid w:val="004C1F88"/>
    <w:rsid w:val="004C1FBC"/>
    <w:rsid w:val="004C25A2"/>
    <w:rsid w:val="004C3F1D"/>
    <w:rsid w:val="004C458D"/>
    <w:rsid w:val="004C5A6A"/>
    <w:rsid w:val="004C5AB0"/>
    <w:rsid w:val="004C5E91"/>
    <w:rsid w:val="004C6238"/>
    <w:rsid w:val="004C7556"/>
    <w:rsid w:val="004C7E8B"/>
    <w:rsid w:val="004C7E9D"/>
    <w:rsid w:val="004C7F07"/>
    <w:rsid w:val="004C7F67"/>
    <w:rsid w:val="004D024F"/>
    <w:rsid w:val="004D076D"/>
    <w:rsid w:val="004D0EF1"/>
    <w:rsid w:val="004D2253"/>
    <w:rsid w:val="004D4406"/>
    <w:rsid w:val="004D4A8A"/>
    <w:rsid w:val="004D4F4F"/>
    <w:rsid w:val="004D52F1"/>
    <w:rsid w:val="004D63AA"/>
    <w:rsid w:val="004D7C42"/>
    <w:rsid w:val="004D7F65"/>
    <w:rsid w:val="004E0465"/>
    <w:rsid w:val="004E127B"/>
    <w:rsid w:val="004E1C0A"/>
    <w:rsid w:val="004E30C5"/>
    <w:rsid w:val="004E3B10"/>
    <w:rsid w:val="004E469D"/>
    <w:rsid w:val="004E4AA5"/>
    <w:rsid w:val="004E4AEE"/>
    <w:rsid w:val="004E51A1"/>
    <w:rsid w:val="004E59E3"/>
    <w:rsid w:val="004E67C0"/>
    <w:rsid w:val="004E743C"/>
    <w:rsid w:val="004E7B86"/>
    <w:rsid w:val="004F391A"/>
    <w:rsid w:val="004F3CFB"/>
    <w:rsid w:val="004F40B8"/>
    <w:rsid w:val="004F47E6"/>
    <w:rsid w:val="004F4E99"/>
    <w:rsid w:val="004F6456"/>
    <w:rsid w:val="004F64D4"/>
    <w:rsid w:val="004F696E"/>
    <w:rsid w:val="004F6C71"/>
    <w:rsid w:val="004F6CF1"/>
    <w:rsid w:val="004F6F18"/>
    <w:rsid w:val="00501139"/>
    <w:rsid w:val="005011E1"/>
    <w:rsid w:val="00501F0A"/>
    <w:rsid w:val="0050363E"/>
    <w:rsid w:val="005039BC"/>
    <w:rsid w:val="005043BB"/>
    <w:rsid w:val="00504A3D"/>
    <w:rsid w:val="00505767"/>
    <w:rsid w:val="005073F0"/>
    <w:rsid w:val="005079AE"/>
    <w:rsid w:val="00510A7B"/>
    <w:rsid w:val="00512F6E"/>
    <w:rsid w:val="00513038"/>
    <w:rsid w:val="00514174"/>
    <w:rsid w:val="005149CF"/>
    <w:rsid w:val="00516088"/>
    <w:rsid w:val="00516B0B"/>
    <w:rsid w:val="00516DC6"/>
    <w:rsid w:val="005176B6"/>
    <w:rsid w:val="005205EC"/>
    <w:rsid w:val="005220EC"/>
    <w:rsid w:val="00522248"/>
    <w:rsid w:val="00522309"/>
    <w:rsid w:val="00522918"/>
    <w:rsid w:val="00523F95"/>
    <w:rsid w:val="00524502"/>
    <w:rsid w:val="0052487F"/>
    <w:rsid w:val="00524D65"/>
    <w:rsid w:val="00525B16"/>
    <w:rsid w:val="00531600"/>
    <w:rsid w:val="00533D04"/>
    <w:rsid w:val="00533E7D"/>
    <w:rsid w:val="00533F5F"/>
    <w:rsid w:val="00534804"/>
    <w:rsid w:val="00534BDF"/>
    <w:rsid w:val="005354EA"/>
    <w:rsid w:val="0053585F"/>
    <w:rsid w:val="00535EC4"/>
    <w:rsid w:val="00535ED9"/>
    <w:rsid w:val="0053692B"/>
    <w:rsid w:val="005379BD"/>
    <w:rsid w:val="00537B88"/>
    <w:rsid w:val="0054175C"/>
    <w:rsid w:val="00541853"/>
    <w:rsid w:val="00541AB1"/>
    <w:rsid w:val="00541FDB"/>
    <w:rsid w:val="00543BDA"/>
    <w:rsid w:val="005441CC"/>
    <w:rsid w:val="005479DA"/>
    <w:rsid w:val="00547AAE"/>
    <w:rsid w:val="00547BCC"/>
    <w:rsid w:val="00550026"/>
    <w:rsid w:val="0055013B"/>
    <w:rsid w:val="00551F6F"/>
    <w:rsid w:val="00554090"/>
    <w:rsid w:val="005541CD"/>
    <w:rsid w:val="00555044"/>
    <w:rsid w:val="00556F8D"/>
    <w:rsid w:val="00557274"/>
    <w:rsid w:val="00561475"/>
    <w:rsid w:val="00562308"/>
    <w:rsid w:val="00562B2E"/>
    <w:rsid w:val="0056380F"/>
    <w:rsid w:val="0056387F"/>
    <w:rsid w:val="0056487B"/>
    <w:rsid w:val="00564FB9"/>
    <w:rsid w:val="00565BD1"/>
    <w:rsid w:val="00572AAD"/>
    <w:rsid w:val="0057358C"/>
    <w:rsid w:val="00573D9E"/>
    <w:rsid w:val="00574ABD"/>
    <w:rsid w:val="005754C0"/>
    <w:rsid w:val="00577CC5"/>
    <w:rsid w:val="00580080"/>
    <w:rsid w:val="005801E3"/>
    <w:rsid w:val="0058155E"/>
    <w:rsid w:val="00581802"/>
    <w:rsid w:val="00582D98"/>
    <w:rsid w:val="00583391"/>
    <w:rsid w:val="005836A8"/>
    <w:rsid w:val="0058409C"/>
    <w:rsid w:val="00584262"/>
    <w:rsid w:val="005844DF"/>
    <w:rsid w:val="00585344"/>
    <w:rsid w:val="0058635C"/>
    <w:rsid w:val="00586630"/>
    <w:rsid w:val="00587064"/>
    <w:rsid w:val="00587ADD"/>
    <w:rsid w:val="00593A49"/>
    <w:rsid w:val="00593CB7"/>
    <w:rsid w:val="00594314"/>
    <w:rsid w:val="00596160"/>
    <w:rsid w:val="0059661F"/>
    <w:rsid w:val="005966E2"/>
    <w:rsid w:val="00597007"/>
    <w:rsid w:val="005A0966"/>
    <w:rsid w:val="005A11B7"/>
    <w:rsid w:val="005A12DE"/>
    <w:rsid w:val="005A260B"/>
    <w:rsid w:val="005A379C"/>
    <w:rsid w:val="005A3E6F"/>
    <w:rsid w:val="005A4A1B"/>
    <w:rsid w:val="005A6A77"/>
    <w:rsid w:val="005A7830"/>
    <w:rsid w:val="005A7FCE"/>
    <w:rsid w:val="005B06F5"/>
    <w:rsid w:val="005B0F3F"/>
    <w:rsid w:val="005B185F"/>
    <w:rsid w:val="005B191C"/>
    <w:rsid w:val="005B2A85"/>
    <w:rsid w:val="005B3E0F"/>
    <w:rsid w:val="005B479B"/>
    <w:rsid w:val="005B4903"/>
    <w:rsid w:val="005B4DD3"/>
    <w:rsid w:val="005B51CE"/>
    <w:rsid w:val="005B5885"/>
    <w:rsid w:val="005B5CD7"/>
    <w:rsid w:val="005B5FA2"/>
    <w:rsid w:val="005B6CF6"/>
    <w:rsid w:val="005B7422"/>
    <w:rsid w:val="005C1245"/>
    <w:rsid w:val="005C282B"/>
    <w:rsid w:val="005C29B8"/>
    <w:rsid w:val="005C4A31"/>
    <w:rsid w:val="005C558B"/>
    <w:rsid w:val="005C5F21"/>
    <w:rsid w:val="005C64CC"/>
    <w:rsid w:val="005C7156"/>
    <w:rsid w:val="005D0C75"/>
    <w:rsid w:val="005D182D"/>
    <w:rsid w:val="005D2788"/>
    <w:rsid w:val="005D36F2"/>
    <w:rsid w:val="005D4171"/>
    <w:rsid w:val="005D4590"/>
    <w:rsid w:val="005D4A20"/>
    <w:rsid w:val="005D5DA2"/>
    <w:rsid w:val="005D65F5"/>
    <w:rsid w:val="005D6A95"/>
    <w:rsid w:val="005D6B2C"/>
    <w:rsid w:val="005D6D0B"/>
    <w:rsid w:val="005D6D9C"/>
    <w:rsid w:val="005E0B89"/>
    <w:rsid w:val="005E1275"/>
    <w:rsid w:val="005E2335"/>
    <w:rsid w:val="005E34CA"/>
    <w:rsid w:val="005E3C18"/>
    <w:rsid w:val="005E4250"/>
    <w:rsid w:val="005E5115"/>
    <w:rsid w:val="005E6812"/>
    <w:rsid w:val="005E7881"/>
    <w:rsid w:val="005E78E0"/>
    <w:rsid w:val="005F0894"/>
    <w:rsid w:val="005F0D9C"/>
    <w:rsid w:val="005F1DB3"/>
    <w:rsid w:val="005F23BF"/>
    <w:rsid w:val="005F284E"/>
    <w:rsid w:val="005F3BBF"/>
    <w:rsid w:val="005F50FA"/>
    <w:rsid w:val="005F6B09"/>
    <w:rsid w:val="005F6BE1"/>
    <w:rsid w:val="005F7766"/>
    <w:rsid w:val="006015CE"/>
    <w:rsid w:val="0060231B"/>
    <w:rsid w:val="00603373"/>
    <w:rsid w:val="00604653"/>
    <w:rsid w:val="00604784"/>
    <w:rsid w:val="00604D5C"/>
    <w:rsid w:val="00605D4E"/>
    <w:rsid w:val="00606419"/>
    <w:rsid w:val="00607102"/>
    <w:rsid w:val="00607AAD"/>
    <w:rsid w:val="00607D29"/>
    <w:rsid w:val="00612952"/>
    <w:rsid w:val="00614BAE"/>
    <w:rsid w:val="00614CC1"/>
    <w:rsid w:val="00615A9D"/>
    <w:rsid w:val="0061670F"/>
    <w:rsid w:val="00617387"/>
    <w:rsid w:val="0061747B"/>
    <w:rsid w:val="006205D6"/>
    <w:rsid w:val="006210F3"/>
    <w:rsid w:val="00621CD7"/>
    <w:rsid w:val="006224E0"/>
    <w:rsid w:val="006238BC"/>
    <w:rsid w:val="006252D8"/>
    <w:rsid w:val="006259BC"/>
    <w:rsid w:val="0062636B"/>
    <w:rsid w:val="00627509"/>
    <w:rsid w:val="00627F5E"/>
    <w:rsid w:val="00631726"/>
    <w:rsid w:val="00632182"/>
    <w:rsid w:val="006325FB"/>
    <w:rsid w:val="00632AE0"/>
    <w:rsid w:val="00632DEB"/>
    <w:rsid w:val="00633C17"/>
    <w:rsid w:val="00634144"/>
    <w:rsid w:val="00634D9E"/>
    <w:rsid w:val="0063669B"/>
    <w:rsid w:val="00636E3E"/>
    <w:rsid w:val="006379F7"/>
    <w:rsid w:val="00637E4D"/>
    <w:rsid w:val="00640620"/>
    <w:rsid w:val="0064081B"/>
    <w:rsid w:val="00640CF5"/>
    <w:rsid w:val="00641A1F"/>
    <w:rsid w:val="00645904"/>
    <w:rsid w:val="00646717"/>
    <w:rsid w:val="00646DB6"/>
    <w:rsid w:val="00650FD2"/>
    <w:rsid w:val="00651ACB"/>
    <w:rsid w:val="00651C47"/>
    <w:rsid w:val="00652AB2"/>
    <w:rsid w:val="00653A48"/>
    <w:rsid w:val="00653FED"/>
    <w:rsid w:val="00654A26"/>
    <w:rsid w:val="00654EC0"/>
    <w:rsid w:val="0065525B"/>
    <w:rsid w:val="00655D4F"/>
    <w:rsid w:val="0065676D"/>
    <w:rsid w:val="00656D29"/>
    <w:rsid w:val="006618E6"/>
    <w:rsid w:val="00662316"/>
    <w:rsid w:val="006640E5"/>
    <w:rsid w:val="006646F1"/>
    <w:rsid w:val="00664929"/>
    <w:rsid w:val="00664F62"/>
    <w:rsid w:val="006651DF"/>
    <w:rsid w:val="006652D8"/>
    <w:rsid w:val="006655E1"/>
    <w:rsid w:val="00665B04"/>
    <w:rsid w:val="006677BB"/>
    <w:rsid w:val="006700A3"/>
    <w:rsid w:val="00670B5F"/>
    <w:rsid w:val="00672060"/>
    <w:rsid w:val="00672BFD"/>
    <w:rsid w:val="00673D6B"/>
    <w:rsid w:val="006770F4"/>
    <w:rsid w:val="00677A84"/>
    <w:rsid w:val="0068026D"/>
    <w:rsid w:val="00680A27"/>
    <w:rsid w:val="006816A4"/>
    <w:rsid w:val="006817CA"/>
    <w:rsid w:val="006819B8"/>
    <w:rsid w:val="006840A6"/>
    <w:rsid w:val="006850CD"/>
    <w:rsid w:val="00685840"/>
    <w:rsid w:val="00685A3B"/>
    <w:rsid w:val="00685AAB"/>
    <w:rsid w:val="00686376"/>
    <w:rsid w:val="00687418"/>
    <w:rsid w:val="00691C26"/>
    <w:rsid w:val="00692266"/>
    <w:rsid w:val="00693962"/>
    <w:rsid w:val="006947EA"/>
    <w:rsid w:val="00694B86"/>
    <w:rsid w:val="00695973"/>
    <w:rsid w:val="0069649F"/>
    <w:rsid w:val="006A07AA"/>
    <w:rsid w:val="006A25E5"/>
    <w:rsid w:val="006A2B46"/>
    <w:rsid w:val="006A336D"/>
    <w:rsid w:val="006A37B9"/>
    <w:rsid w:val="006A477D"/>
    <w:rsid w:val="006A504C"/>
    <w:rsid w:val="006A518D"/>
    <w:rsid w:val="006A685B"/>
    <w:rsid w:val="006A7757"/>
    <w:rsid w:val="006B030B"/>
    <w:rsid w:val="006B08A8"/>
    <w:rsid w:val="006B1C0C"/>
    <w:rsid w:val="006B2672"/>
    <w:rsid w:val="006B525D"/>
    <w:rsid w:val="006B54BF"/>
    <w:rsid w:val="006B5F44"/>
    <w:rsid w:val="006B5F90"/>
    <w:rsid w:val="006B5FE9"/>
    <w:rsid w:val="006B62E4"/>
    <w:rsid w:val="006B7598"/>
    <w:rsid w:val="006C15AC"/>
    <w:rsid w:val="006C15DA"/>
    <w:rsid w:val="006C1BBA"/>
    <w:rsid w:val="006C2079"/>
    <w:rsid w:val="006C46D9"/>
    <w:rsid w:val="006C5A62"/>
    <w:rsid w:val="006C5D68"/>
    <w:rsid w:val="006C6976"/>
    <w:rsid w:val="006C6DD0"/>
    <w:rsid w:val="006C73BD"/>
    <w:rsid w:val="006C768F"/>
    <w:rsid w:val="006C7823"/>
    <w:rsid w:val="006C7E1D"/>
    <w:rsid w:val="006D04EA"/>
    <w:rsid w:val="006D0D7C"/>
    <w:rsid w:val="006D16C4"/>
    <w:rsid w:val="006D16F3"/>
    <w:rsid w:val="006D38E5"/>
    <w:rsid w:val="006D3E96"/>
    <w:rsid w:val="006D4515"/>
    <w:rsid w:val="006D4BB1"/>
    <w:rsid w:val="006D575F"/>
    <w:rsid w:val="006D6593"/>
    <w:rsid w:val="006D6959"/>
    <w:rsid w:val="006D7D57"/>
    <w:rsid w:val="006E0ACB"/>
    <w:rsid w:val="006E1533"/>
    <w:rsid w:val="006E39B9"/>
    <w:rsid w:val="006E4745"/>
    <w:rsid w:val="006E51E2"/>
    <w:rsid w:val="006E6560"/>
    <w:rsid w:val="006E70B2"/>
    <w:rsid w:val="006F03A8"/>
    <w:rsid w:val="006F0563"/>
    <w:rsid w:val="006F2ACA"/>
    <w:rsid w:val="006F2ADC"/>
    <w:rsid w:val="006F2BFE"/>
    <w:rsid w:val="006F31E9"/>
    <w:rsid w:val="006F3BE9"/>
    <w:rsid w:val="006F44FA"/>
    <w:rsid w:val="006F6284"/>
    <w:rsid w:val="006F6CE2"/>
    <w:rsid w:val="006F7144"/>
    <w:rsid w:val="007002C5"/>
    <w:rsid w:val="007015C2"/>
    <w:rsid w:val="007024F0"/>
    <w:rsid w:val="007028F2"/>
    <w:rsid w:val="00703C96"/>
    <w:rsid w:val="00704387"/>
    <w:rsid w:val="00704660"/>
    <w:rsid w:val="00705698"/>
    <w:rsid w:val="007056CA"/>
    <w:rsid w:val="007057CB"/>
    <w:rsid w:val="00707669"/>
    <w:rsid w:val="00711412"/>
    <w:rsid w:val="00711CBA"/>
    <w:rsid w:val="00711FB5"/>
    <w:rsid w:val="007124CB"/>
    <w:rsid w:val="00712A01"/>
    <w:rsid w:val="00714F58"/>
    <w:rsid w:val="00717136"/>
    <w:rsid w:val="00721A3D"/>
    <w:rsid w:val="00722FBF"/>
    <w:rsid w:val="00722FC2"/>
    <w:rsid w:val="007233E5"/>
    <w:rsid w:val="00724E1B"/>
    <w:rsid w:val="00725949"/>
    <w:rsid w:val="00726F51"/>
    <w:rsid w:val="00727FA2"/>
    <w:rsid w:val="00731D80"/>
    <w:rsid w:val="007322D9"/>
    <w:rsid w:val="007324EE"/>
    <w:rsid w:val="00732BC0"/>
    <w:rsid w:val="00734E4F"/>
    <w:rsid w:val="0073720F"/>
    <w:rsid w:val="00737796"/>
    <w:rsid w:val="0074165C"/>
    <w:rsid w:val="00742C35"/>
    <w:rsid w:val="007432CA"/>
    <w:rsid w:val="007439EB"/>
    <w:rsid w:val="00743CB4"/>
    <w:rsid w:val="00743F0A"/>
    <w:rsid w:val="007444E8"/>
    <w:rsid w:val="0074548E"/>
    <w:rsid w:val="00745773"/>
    <w:rsid w:val="00746800"/>
    <w:rsid w:val="0075002A"/>
    <w:rsid w:val="007501A8"/>
    <w:rsid w:val="00750D61"/>
    <w:rsid w:val="00750EE1"/>
    <w:rsid w:val="00752B4D"/>
    <w:rsid w:val="007548BA"/>
    <w:rsid w:val="007549CE"/>
    <w:rsid w:val="00755402"/>
    <w:rsid w:val="00755787"/>
    <w:rsid w:val="00756B26"/>
    <w:rsid w:val="00756EDF"/>
    <w:rsid w:val="007576FB"/>
    <w:rsid w:val="007600E3"/>
    <w:rsid w:val="00760A57"/>
    <w:rsid w:val="00762E8A"/>
    <w:rsid w:val="007658E6"/>
    <w:rsid w:val="00765C43"/>
    <w:rsid w:val="00765EFB"/>
    <w:rsid w:val="007671CA"/>
    <w:rsid w:val="00767C61"/>
    <w:rsid w:val="00767CE1"/>
    <w:rsid w:val="0077008A"/>
    <w:rsid w:val="007715E7"/>
    <w:rsid w:val="00773C1F"/>
    <w:rsid w:val="00774DA4"/>
    <w:rsid w:val="00775F04"/>
    <w:rsid w:val="00776356"/>
    <w:rsid w:val="00776557"/>
    <w:rsid w:val="00776599"/>
    <w:rsid w:val="007768B5"/>
    <w:rsid w:val="0078114B"/>
    <w:rsid w:val="00781DD2"/>
    <w:rsid w:val="00782D09"/>
    <w:rsid w:val="007831DE"/>
    <w:rsid w:val="00783B60"/>
    <w:rsid w:val="00783ECF"/>
    <w:rsid w:val="0078413A"/>
    <w:rsid w:val="007869C8"/>
    <w:rsid w:val="00787075"/>
    <w:rsid w:val="007877FD"/>
    <w:rsid w:val="00787B4B"/>
    <w:rsid w:val="007908F7"/>
    <w:rsid w:val="00791105"/>
    <w:rsid w:val="007959E8"/>
    <w:rsid w:val="00795E9C"/>
    <w:rsid w:val="0079753F"/>
    <w:rsid w:val="007A0521"/>
    <w:rsid w:val="007A0B90"/>
    <w:rsid w:val="007A2E12"/>
    <w:rsid w:val="007A3475"/>
    <w:rsid w:val="007A41C8"/>
    <w:rsid w:val="007A449E"/>
    <w:rsid w:val="007A52F1"/>
    <w:rsid w:val="007A54CE"/>
    <w:rsid w:val="007A5D3A"/>
    <w:rsid w:val="007A6FD9"/>
    <w:rsid w:val="007A7632"/>
    <w:rsid w:val="007A7724"/>
    <w:rsid w:val="007A7FFA"/>
    <w:rsid w:val="007B04EB"/>
    <w:rsid w:val="007B0D4F"/>
    <w:rsid w:val="007B1350"/>
    <w:rsid w:val="007B29DB"/>
    <w:rsid w:val="007B5A3D"/>
    <w:rsid w:val="007B5B95"/>
    <w:rsid w:val="007B6032"/>
    <w:rsid w:val="007B68EA"/>
    <w:rsid w:val="007B7305"/>
    <w:rsid w:val="007B7453"/>
    <w:rsid w:val="007C2D89"/>
    <w:rsid w:val="007C4593"/>
    <w:rsid w:val="007C5309"/>
    <w:rsid w:val="007C6069"/>
    <w:rsid w:val="007C6D8E"/>
    <w:rsid w:val="007D06C4"/>
    <w:rsid w:val="007D1352"/>
    <w:rsid w:val="007D2508"/>
    <w:rsid w:val="007D346A"/>
    <w:rsid w:val="007D3872"/>
    <w:rsid w:val="007D475D"/>
    <w:rsid w:val="007D5880"/>
    <w:rsid w:val="007D6518"/>
    <w:rsid w:val="007D6DF8"/>
    <w:rsid w:val="007D76BD"/>
    <w:rsid w:val="007E0BF1"/>
    <w:rsid w:val="007E0D71"/>
    <w:rsid w:val="007E33F6"/>
    <w:rsid w:val="007E654F"/>
    <w:rsid w:val="007F0881"/>
    <w:rsid w:val="007F0ED8"/>
    <w:rsid w:val="007F0F63"/>
    <w:rsid w:val="007F11E9"/>
    <w:rsid w:val="007F233E"/>
    <w:rsid w:val="007F49EB"/>
    <w:rsid w:val="007F6536"/>
    <w:rsid w:val="007F7189"/>
    <w:rsid w:val="007F75CE"/>
    <w:rsid w:val="00800681"/>
    <w:rsid w:val="00800739"/>
    <w:rsid w:val="00800A48"/>
    <w:rsid w:val="008013A4"/>
    <w:rsid w:val="008027CE"/>
    <w:rsid w:val="00802F42"/>
    <w:rsid w:val="00803130"/>
    <w:rsid w:val="00804383"/>
    <w:rsid w:val="00804ABE"/>
    <w:rsid w:val="00804BB7"/>
    <w:rsid w:val="00804D13"/>
    <w:rsid w:val="00804D41"/>
    <w:rsid w:val="00805EE8"/>
    <w:rsid w:val="00806B12"/>
    <w:rsid w:val="00807603"/>
    <w:rsid w:val="00810257"/>
    <w:rsid w:val="008104F5"/>
    <w:rsid w:val="00811072"/>
    <w:rsid w:val="00811369"/>
    <w:rsid w:val="008143D9"/>
    <w:rsid w:val="00815419"/>
    <w:rsid w:val="00816200"/>
    <w:rsid w:val="008163C8"/>
    <w:rsid w:val="008164A1"/>
    <w:rsid w:val="00817325"/>
    <w:rsid w:val="00817AB5"/>
    <w:rsid w:val="008209E6"/>
    <w:rsid w:val="00821D19"/>
    <w:rsid w:val="00823303"/>
    <w:rsid w:val="008233B2"/>
    <w:rsid w:val="00823A9F"/>
    <w:rsid w:val="00823C85"/>
    <w:rsid w:val="00824496"/>
    <w:rsid w:val="0082471A"/>
    <w:rsid w:val="00825138"/>
    <w:rsid w:val="00825C1D"/>
    <w:rsid w:val="008269DD"/>
    <w:rsid w:val="00830621"/>
    <w:rsid w:val="0083348C"/>
    <w:rsid w:val="00833705"/>
    <w:rsid w:val="00834927"/>
    <w:rsid w:val="008351D0"/>
    <w:rsid w:val="008363CD"/>
    <w:rsid w:val="00837250"/>
    <w:rsid w:val="008373D3"/>
    <w:rsid w:val="008378C7"/>
    <w:rsid w:val="00837C39"/>
    <w:rsid w:val="00840617"/>
    <w:rsid w:val="00840F84"/>
    <w:rsid w:val="00842A47"/>
    <w:rsid w:val="00843808"/>
    <w:rsid w:val="00843C13"/>
    <w:rsid w:val="00843DEF"/>
    <w:rsid w:val="00844FB9"/>
    <w:rsid w:val="008454F8"/>
    <w:rsid w:val="00846915"/>
    <w:rsid w:val="00850572"/>
    <w:rsid w:val="0085173A"/>
    <w:rsid w:val="00852FBB"/>
    <w:rsid w:val="00853E58"/>
    <w:rsid w:val="00854753"/>
    <w:rsid w:val="008552D4"/>
    <w:rsid w:val="00855F46"/>
    <w:rsid w:val="00856165"/>
    <w:rsid w:val="0085720E"/>
    <w:rsid w:val="00857C50"/>
    <w:rsid w:val="008603CE"/>
    <w:rsid w:val="008620FC"/>
    <w:rsid w:val="008627A5"/>
    <w:rsid w:val="00863370"/>
    <w:rsid w:val="008636D6"/>
    <w:rsid w:val="00863E05"/>
    <w:rsid w:val="00865141"/>
    <w:rsid w:val="00865ACA"/>
    <w:rsid w:val="00865D28"/>
    <w:rsid w:val="00865F85"/>
    <w:rsid w:val="00866D29"/>
    <w:rsid w:val="00867C10"/>
    <w:rsid w:val="00870022"/>
    <w:rsid w:val="0087025B"/>
    <w:rsid w:val="00870439"/>
    <w:rsid w:val="00870DA1"/>
    <w:rsid w:val="00871024"/>
    <w:rsid w:val="008732CF"/>
    <w:rsid w:val="0087635F"/>
    <w:rsid w:val="00877301"/>
    <w:rsid w:val="00880998"/>
    <w:rsid w:val="00880AF3"/>
    <w:rsid w:val="0088366C"/>
    <w:rsid w:val="00883F93"/>
    <w:rsid w:val="00884450"/>
    <w:rsid w:val="00884DB3"/>
    <w:rsid w:val="00885A9D"/>
    <w:rsid w:val="008864F6"/>
    <w:rsid w:val="00887779"/>
    <w:rsid w:val="00887922"/>
    <w:rsid w:val="0089049D"/>
    <w:rsid w:val="00890512"/>
    <w:rsid w:val="00891046"/>
    <w:rsid w:val="008928C9"/>
    <w:rsid w:val="008930CB"/>
    <w:rsid w:val="008938DC"/>
    <w:rsid w:val="00893FD1"/>
    <w:rsid w:val="00894836"/>
    <w:rsid w:val="00895172"/>
    <w:rsid w:val="00895680"/>
    <w:rsid w:val="008956B6"/>
    <w:rsid w:val="00896DFF"/>
    <w:rsid w:val="00896EE9"/>
    <w:rsid w:val="008975CF"/>
    <w:rsid w:val="0089762C"/>
    <w:rsid w:val="008A08A2"/>
    <w:rsid w:val="008A11AC"/>
    <w:rsid w:val="008A173B"/>
    <w:rsid w:val="008A1893"/>
    <w:rsid w:val="008A3703"/>
    <w:rsid w:val="008A57E6"/>
    <w:rsid w:val="008A68D2"/>
    <w:rsid w:val="008A6962"/>
    <w:rsid w:val="008A6F81"/>
    <w:rsid w:val="008A769A"/>
    <w:rsid w:val="008B0C9C"/>
    <w:rsid w:val="008B166D"/>
    <w:rsid w:val="008B17F4"/>
    <w:rsid w:val="008B1F2D"/>
    <w:rsid w:val="008B2E56"/>
    <w:rsid w:val="008B3615"/>
    <w:rsid w:val="008B4AC4"/>
    <w:rsid w:val="008B50C8"/>
    <w:rsid w:val="008B5281"/>
    <w:rsid w:val="008B780B"/>
    <w:rsid w:val="008B7E05"/>
    <w:rsid w:val="008C1659"/>
    <w:rsid w:val="008C1797"/>
    <w:rsid w:val="008C219C"/>
    <w:rsid w:val="008C3F35"/>
    <w:rsid w:val="008C475E"/>
    <w:rsid w:val="008C6149"/>
    <w:rsid w:val="008C619A"/>
    <w:rsid w:val="008C61B6"/>
    <w:rsid w:val="008D01A0"/>
    <w:rsid w:val="008D0CE8"/>
    <w:rsid w:val="008D190E"/>
    <w:rsid w:val="008D2200"/>
    <w:rsid w:val="008D2D1D"/>
    <w:rsid w:val="008D453D"/>
    <w:rsid w:val="008D4EE3"/>
    <w:rsid w:val="008D53AD"/>
    <w:rsid w:val="008D562B"/>
    <w:rsid w:val="008D5733"/>
    <w:rsid w:val="008D622B"/>
    <w:rsid w:val="008D666C"/>
    <w:rsid w:val="008D6AA6"/>
    <w:rsid w:val="008D7B54"/>
    <w:rsid w:val="008E0C9D"/>
    <w:rsid w:val="008E1648"/>
    <w:rsid w:val="008E16F2"/>
    <w:rsid w:val="008E1B3E"/>
    <w:rsid w:val="008E2319"/>
    <w:rsid w:val="008E3385"/>
    <w:rsid w:val="008E4618"/>
    <w:rsid w:val="008E4BB6"/>
    <w:rsid w:val="008E5518"/>
    <w:rsid w:val="008E6A84"/>
    <w:rsid w:val="008F0CDC"/>
    <w:rsid w:val="008F14E2"/>
    <w:rsid w:val="008F17A3"/>
    <w:rsid w:val="008F1A1A"/>
    <w:rsid w:val="008F1ED3"/>
    <w:rsid w:val="008F2371"/>
    <w:rsid w:val="008F270B"/>
    <w:rsid w:val="008F4C29"/>
    <w:rsid w:val="008F70BD"/>
    <w:rsid w:val="008F7575"/>
    <w:rsid w:val="008F788F"/>
    <w:rsid w:val="008F7EA2"/>
    <w:rsid w:val="0090030F"/>
    <w:rsid w:val="00900C98"/>
    <w:rsid w:val="00901096"/>
    <w:rsid w:val="00902722"/>
    <w:rsid w:val="009027BC"/>
    <w:rsid w:val="009062E6"/>
    <w:rsid w:val="00906331"/>
    <w:rsid w:val="00907330"/>
    <w:rsid w:val="00907DC2"/>
    <w:rsid w:val="00911040"/>
    <w:rsid w:val="00911B09"/>
    <w:rsid w:val="00911BE5"/>
    <w:rsid w:val="00912362"/>
    <w:rsid w:val="00912715"/>
    <w:rsid w:val="00913906"/>
    <w:rsid w:val="00913979"/>
    <w:rsid w:val="00913CA9"/>
    <w:rsid w:val="009145AE"/>
    <w:rsid w:val="009146CE"/>
    <w:rsid w:val="00914CA7"/>
    <w:rsid w:val="00915094"/>
    <w:rsid w:val="00915C3E"/>
    <w:rsid w:val="009161A8"/>
    <w:rsid w:val="00916FDC"/>
    <w:rsid w:val="00921015"/>
    <w:rsid w:val="009211E9"/>
    <w:rsid w:val="00923092"/>
    <w:rsid w:val="009245AE"/>
    <w:rsid w:val="009245F5"/>
    <w:rsid w:val="009249EC"/>
    <w:rsid w:val="00926584"/>
    <w:rsid w:val="009273B3"/>
    <w:rsid w:val="0092761F"/>
    <w:rsid w:val="009305B5"/>
    <w:rsid w:val="00931922"/>
    <w:rsid w:val="00933242"/>
    <w:rsid w:val="0093518B"/>
    <w:rsid w:val="00935B8D"/>
    <w:rsid w:val="00936ECD"/>
    <w:rsid w:val="009378DD"/>
    <w:rsid w:val="00940DEF"/>
    <w:rsid w:val="009429D5"/>
    <w:rsid w:val="00942BF1"/>
    <w:rsid w:val="009434B2"/>
    <w:rsid w:val="009437CE"/>
    <w:rsid w:val="00944137"/>
    <w:rsid w:val="00945180"/>
    <w:rsid w:val="00945320"/>
    <w:rsid w:val="00945428"/>
    <w:rsid w:val="0094607B"/>
    <w:rsid w:val="00950F5F"/>
    <w:rsid w:val="00951339"/>
    <w:rsid w:val="0095248D"/>
    <w:rsid w:val="00953239"/>
    <w:rsid w:val="00953604"/>
    <w:rsid w:val="0095496B"/>
    <w:rsid w:val="00956748"/>
    <w:rsid w:val="00956FFC"/>
    <w:rsid w:val="00957578"/>
    <w:rsid w:val="00957C67"/>
    <w:rsid w:val="00960F1E"/>
    <w:rsid w:val="009610DC"/>
    <w:rsid w:val="00961490"/>
    <w:rsid w:val="0096381A"/>
    <w:rsid w:val="009639C6"/>
    <w:rsid w:val="00964108"/>
    <w:rsid w:val="0096509C"/>
    <w:rsid w:val="00965E04"/>
    <w:rsid w:val="009674AD"/>
    <w:rsid w:val="00967944"/>
    <w:rsid w:val="00970CDC"/>
    <w:rsid w:val="00971C76"/>
    <w:rsid w:val="0097231D"/>
    <w:rsid w:val="00972718"/>
    <w:rsid w:val="00972B44"/>
    <w:rsid w:val="0097466C"/>
    <w:rsid w:val="009756C7"/>
    <w:rsid w:val="00975727"/>
    <w:rsid w:val="00977010"/>
    <w:rsid w:val="00977D02"/>
    <w:rsid w:val="00977FF9"/>
    <w:rsid w:val="009809BB"/>
    <w:rsid w:val="009819C6"/>
    <w:rsid w:val="009830F9"/>
    <w:rsid w:val="0098364B"/>
    <w:rsid w:val="009836BD"/>
    <w:rsid w:val="00984DE9"/>
    <w:rsid w:val="00987493"/>
    <w:rsid w:val="009908A3"/>
    <w:rsid w:val="00991118"/>
    <w:rsid w:val="009911AF"/>
    <w:rsid w:val="00991875"/>
    <w:rsid w:val="00991F92"/>
    <w:rsid w:val="00992664"/>
    <w:rsid w:val="00992765"/>
    <w:rsid w:val="00992985"/>
    <w:rsid w:val="009929F5"/>
    <w:rsid w:val="00993889"/>
    <w:rsid w:val="0099551B"/>
    <w:rsid w:val="00996BD2"/>
    <w:rsid w:val="00997074"/>
    <w:rsid w:val="00997BF1"/>
    <w:rsid w:val="009A089C"/>
    <w:rsid w:val="009A118E"/>
    <w:rsid w:val="009A18B4"/>
    <w:rsid w:val="009A18C5"/>
    <w:rsid w:val="009A20E3"/>
    <w:rsid w:val="009A21CD"/>
    <w:rsid w:val="009A278C"/>
    <w:rsid w:val="009A2BC2"/>
    <w:rsid w:val="009A2FEF"/>
    <w:rsid w:val="009A3E81"/>
    <w:rsid w:val="009A42C1"/>
    <w:rsid w:val="009A5429"/>
    <w:rsid w:val="009A72AD"/>
    <w:rsid w:val="009B0727"/>
    <w:rsid w:val="009B09E0"/>
    <w:rsid w:val="009B0BC5"/>
    <w:rsid w:val="009B0CBF"/>
    <w:rsid w:val="009B1247"/>
    <w:rsid w:val="009B6029"/>
    <w:rsid w:val="009B64B0"/>
    <w:rsid w:val="009B6971"/>
    <w:rsid w:val="009C27F1"/>
    <w:rsid w:val="009C3152"/>
    <w:rsid w:val="009C31E0"/>
    <w:rsid w:val="009C3257"/>
    <w:rsid w:val="009C3394"/>
    <w:rsid w:val="009C4CFA"/>
    <w:rsid w:val="009C5070"/>
    <w:rsid w:val="009C6373"/>
    <w:rsid w:val="009C7888"/>
    <w:rsid w:val="009D112C"/>
    <w:rsid w:val="009D1385"/>
    <w:rsid w:val="009D2028"/>
    <w:rsid w:val="009D285B"/>
    <w:rsid w:val="009D2E10"/>
    <w:rsid w:val="009D47FA"/>
    <w:rsid w:val="009D4C5B"/>
    <w:rsid w:val="009D50D2"/>
    <w:rsid w:val="009D6BCA"/>
    <w:rsid w:val="009D6D4D"/>
    <w:rsid w:val="009D6EE2"/>
    <w:rsid w:val="009E0F62"/>
    <w:rsid w:val="009E284E"/>
    <w:rsid w:val="009E2A66"/>
    <w:rsid w:val="009E47D7"/>
    <w:rsid w:val="009E4A58"/>
    <w:rsid w:val="009E5A2D"/>
    <w:rsid w:val="009E5AB2"/>
    <w:rsid w:val="009E6219"/>
    <w:rsid w:val="009F03B3"/>
    <w:rsid w:val="009F08F4"/>
    <w:rsid w:val="009F272D"/>
    <w:rsid w:val="009F3EFF"/>
    <w:rsid w:val="009F4841"/>
    <w:rsid w:val="009F6BE7"/>
    <w:rsid w:val="00A0096C"/>
    <w:rsid w:val="00A01757"/>
    <w:rsid w:val="00A028C0"/>
    <w:rsid w:val="00A02BAE"/>
    <w:rsid w:val="00A04D75"/>
    <w:rsid w:val="00A06A6B"/>
    <w:rsid w:val="00A06C28"/>
    <w:rsid w:val="00A07E47"/>
    <w:rsid w:val="00A1204A"/>
    <w:rsid w:val="00A129D0"/>
    <w:rsid w:val="00A12C33"/>
    <w:rsid w:val="00A138BA"/>
    <w:rsid w:val="00A14498"/>
    <w:rsid w:val="00A14C12"/>
    <w:rsid w:val="00A14C8E"/>
    <w:rsid w:val="00A153D9"/>
    <w:rsid w:val="00A15555"/>
    <w:rsid w:val="00A156DB"/>
    <w:rsid w:val="00A159CE"/>
    <w:rsid w:val="00A15F09"/>
    <w:rsid w:val="00A169B6"/>
    <w:rsid w:val="00A2045E"/>
    <w:rsid w:val="00A208DB"/>
    <w:rsid w:val="00A221AC"/>
    <w:rsid w:val="00A2271D"/>
    <w:rsid w:val="00A2290E"/>
    <w:rsid w:val="00A22BB9"/>
    <w:rsid w:val="00A237D5"/>
    <w:rsid w:val="00A24B7B"/>
    <w:rsid w:val="00A24BEC"/>
    <w:rsid w:val="00A25079"/>
    <w:rsid w:val="00A2624B"/>
    <w:rsid w:val="00A30AED"/>
    <w:rsid w:val="00A30EFC"/>
    <w:rsid w:val="00A31984"/>
    <w:rsid w:val="00A3247F"/>
    <w:rsid w:val="00A32D73"/>
    <w:rsid w:val="00A33305"/>
    <w:rsid w:val="00A3367B"/>
    <w:rsid w:val="00A33902"/>
    <w:rsid w:val="00A33C67"/>
    <w:rsid w:val="00A348BB"/>
    <w:rsid w:val="00A3597D"/>
    <w:rsid w:val="00A36537"/>
    <w:rsid w:val="00A365F9"/>
    <w:rsid w:val="00A36828"/>
    <w:rsid w:val="00A36C7C"/>
    <w:rsid w:val="00A36DD1"/>
    <w:rsid w:val="00A4006C"/>
    <w:rsid w:val="00A40091"/>
    <w:rsid w:val="00A4030F"/>
    <w:rsid w:val="00A41B31"/>
    <w:rsid w:val="00A41C79"/>
    <w:rsid w:val="00A41CB5"/>
    <w:rsid w:val="00A42CAC"/>
    <w:rsid w:val="00A42CDF"/>
    <w:rsid w:val="00A4355B"/>
    <w:rsid w:val="00A43DB4"/>
    <w:rsid w:val="00A4452E"/>
    <w:rsid w:val="00A4472C"/>
    <w:rsid w:val="00A44B8E"/>
    <w:rsid w:val="00A44E69"/>
    <w:rsid w:val="00A45829"/>
    <w:rsid w:val="00A4661E"/>
    <w:rsid w:val="00A46D8E"/>
    <w:rsid w:val="00A4793E"/>
    <w:rsid w:val="00A50C0C"/>
    <w:rsid w:val="00A5198A"/>
    <w:rsid w:val="00A52035"/>
    <w:rsid w:val="00A52EB0"/>
    <w:rsid w:val="00A5526E"/>
    <w:rsid w:val="00A55BD6"/>
    <w:rsid w:val="00A55D08"/>
    <w:rsid w:val="00A55D50"/>
    <w:rsid w:val="00A56ED0"/>
    <w:rsid w:val="00A57142"/>
    <w:rsid w:val="00A57A3E"/>
    <w:rsid w:val="00A57B4C"/>
    <w:rsid w:val="00A61521"/>
    <w:rsid w:val="00A61899"/>
    <w:rsid w:val="00A648CD"/>
    <w:rsid w:val="00A6537A"/>
    <w:rsid w:val="00A65B40"/>
    <w:rsid w:val="00A66B8F"/>
    <w:rsid w:val="00A67866"/>
    <w:rsid w:val="00A67F23"/>
    <w:rsid w:val="00A70B07"/>
    <w:rsid w:val="00A716B3"/>
    <w:rsid w:val="00A723F8"/>
    <w:rsid w:val="00A7342C"/>
    <w:rsid w:val="00A7435F"/>
    <w:rsid w:val="00A745A5"/>
    <w:rsid w:val="00A74AD9"/>
    <w:rsid w:val="00A77952"/>
    <w:rsid w:val="00A77CCB"/>
    <w:rsid w:val="00A820D4"/>
    <w:rsid w:val="00A82AB2"/>
    <w:rsid w:val="00A83D8D"/>
    <w:rsid w:val="00A83E0C"/>
    <w:rsid w:val="00A8446B"/>
    <w:rsid w:val="00A8473F"/>
    <w:rsid w:val="00A859D8"/>
    <w:rsid w:val="00A85BEE"/>
    <w:rsid w:val="00A862D6"/>
    <w:rsid w:val="00A8715E"/>
    <w:rsid w:val="00A8776F"/>
    <w:rsid w:val="00A91BE5"/>
    <w:rsid w:val="00A91C42"/>
    <w:rsid w:val="00A92748"/>
    <w:rsid w:val="00A9295B"/>
    <w:rsid w:val="00A93B09"/>
    <w:rsid w:val="00A952D7"/>
    <w:rsid w:val="00A963F7"/>
    <w:rsid w:val="00A96AD8"/>
    <w:rsid w:val="00AA052C"/>
    <w:rsid w:val="00AA0BFC"/>
    <w:rsid w:val="00AA1055"/>
    <w:rsid w:val="00AA138C"/>
    <w:rsid w:val="00AA1E45"/>
    <w:rsid w:val="00AA4286"/>
    <w:rsid w:val="00AA456B"/>
    <w:rsid w:val="00AA4D17"/>
    <w:rsid w:val="00AA57F5"/>
    <w:rsid w:val="00AA5D08"/>
    <w:rsid w:val="00AA672E"/>
    <w:rsid w:val="00AA6EC9"/>
    <w:rsid w:val="00AB2C3C"/>
    <w:rsid w:val="00AB4B1E"/>
    <w:rsid w:val="00AB6309"/>
    <w:rsid w:val="00AB6343"/>
    <w:rsid w:val="00AB638D"/>
    <w:rsid w:val="00AB6C5F"/>
    <w:rsid w:val="00AB7129"/>
    <w:rsid w:val="00AC27A6"/>
    <w:rsid w:val="00AC30F7"/>
    <w:rsid w:val="00AC3A5A"/>
    <w:rsid w:val="00AC4AB6"/>
    <w:rsid w:val="00AC4BBF"/>
    <w:rsid w:val="00AC4D95"/>
    <w:rsid w:val="00AC5DF4"/>
    <w:rsid w:val="00AD03CF"/>
    <w:rsid w:val="00AD0AEF"/>
    <w:rsid w:val="00AD11B7"/>
    <w:rsid w:val="00AD1A94"/>
    <w:rsid w:val="00AD1C05"/>
    <w:rsid w:val="00AD1CDA"/>
    <w:rsid w:val="00AD32B0"/>
    <w:rsid w:val="00AD4126"/>
    <w:rsid w:val="00AD421C"/>
    <w:rsid w:val="00AD4255"/>
    <w:rsid w:val="00AD44FA"/>
    <w:rsid w:val="00AD48B1"/>
    <w:rsid w:val="00AD5F83"/>
    <w:rsid w:val="00AD74AE"/>
    <w:rsid w:val="00AE070A"/>
    <w:rsid w:val="00AE101C"/>
    <w:rsid w:val="00AE16E6"/>
    <w:rsid w:val="00AE196B"/>
    <w:rsid w:val="00AE2A69"/>
    <w:rsid w:val="00AE2B06"/>
    <w:rsid w:val="00AE355A"/>
    <w:rsid w:val="00AE37E5"/>
    <w:rsid w:val="00AE38F6"/>
    <w:rsid w:val="00AE5EB4"/>
    <w:rsid w:val="00AE68A2"/>
    <w:rsid w:val="00AF0C18"/>
    <w:rsid w:val="00AF10D9"/>
    <w:rsid w:val="00AF331B"/>
    <w:rsid w:val="00AF47C5"/>
    <w:rsid w:val="00AF5398"/>
    <w:rsid w:val="00B00BE4"/>
    <w:rsid w:val="00B017FB"/>
    <w:rsid w:val="00B022F6"/>
    <w:rsid w:val="00B049AF"/>
    <w:rsid w:val="00B07242"/>
    <w:rsid w:val="00B075F3"/>
    <w:rsid w:val="00B07B7D"/>
    <w:rsid w:val="00B10534"/>
    <w:rsid w:val="00B105B9"/>
    <w:rsid w:val="00B10EAD"/>
    <w:rsid w:val="00B113DB"/>
    <w:rsid w:val="00B11C80"/>
    <w:rsid w:val="00B11D8A"/>
    <w:rsid w:val="00B12981"/>
    <w:rsid w:val="00B13170"/>
    <w:rsid w:val="00B147DD"/>
    <w:rsid w:val="00B156B5"/>
    <w:rsid w:val="00B156FD"/>
    <w:rsid w:val="00B17119"/>
    <w:rsid w:val="00B17508"/>
    <w:rsid w:val="00B21BF7"/>
    <w:rsid w:val="00B21F61"/>
    <w:rsid w:val="00B2278E"/>
    <w:rsid w:val="00B233C1"/>
    <w:rsid w:val="00B23DEF"/>
    <w:rsid w:val="00B255EE"/>
    <w:rsid w:val="00B261DB"/>
    <w:rsid w:val="00B261F1"/>
    <w:rsid w:val="00B265BC"/>
    <w:rsid w:val="00B2771E"/>
    <w:rsid w:val="00B3059C"/>
    <w:rsid w:val="00B305AD"/>
    <w:rsid w:val="00B308CE"/>
    <w:rsid w:val="00B31FB1"/>
    <w:rsid w:val="00B33952"/>
    <w:rsid w:val="00B33C5E"/>
    <w:rsid w:val="00B342F4"/>
    <w:rsid w:val="00B34369"/>
    <w:rsid w:val="00B34DC2"/>
    <w:rsid w:val="00B37725"/>
    <w:rsid w:val="00B378E5"/>
    <w:rsid w:val="00B40FC7"/>
    <w:rsid w:val="00B43278"/>
    <w:rsid w:val="00B4346D"/>
    <w:rsid w:val="00B440F4"/>
    <w:rsid w:val="00B447A5"/>
    <w:rsid w:val="00B455B4"/>
    <w:rsid w:val="00B45E35"/>
    <w:rsid w:val="00B4654C"/>
    <w:rsid w:val="00B47293"/>
    <w:rsid w:val="00B5091D"/>
    <w:rsid w:val="00B50B81"/>
    <w:rsid w:val="00B50E50"/>
    <w:rsid w:val="00B5141E"/>
    <w:rsid w:val="00B517C1"/>
    <w:rsid w:val="00B52120"/>
    <w:rsid w:val="00B52AB4"/>
    <w:rsid w:val="00B543D7"/>
    <w:rsid w:val="00B545FD"/>
    <w:rsid w:val="00B54ABC"/>
    <w:rsid w:val="00B55711"/>
    <w:rsid w:val="00B557E2"/>
    <w:rsid w:val="00B568F5"/>
    <w:rsid w:val="00B56A93"/>
    <w:rsid w:val="00B56FBE"/>
    <w:rsid w:val="00B60472"/>
    <w:rsid w:val="00B60ACF"/>
    <w:rsid w:val="00B623A5"/>
    <w:rsid w:val="00B62B58"/>
    <w:rsid w:val="00B63F94"/>
    <w:rsid w:val="00B64106"/>
    <w:rsid w:val="00B65149"/>
    <w:rsid w:val="00B66567"/>
    <w:rsid w:val="00B6695A"/>
    <w:rsid w:val="00B66F52"/>
    <w:rsid w:val="00B66FE5"/>
    <w:rsid w:val="00B70B3D"/>
    <w:rsid w:val="00B72880"/>
    <w:rsid w:val="00B73556"/>
    <w:rsid w:val="00B757E6"/>
    <w:rsid w:val="00B758BF"/>
    <w:rsid w:val="00B76193"/>
    <w:rsid w:val="00B77605"/>
    <w:rsid w:val="00B77EC8"/>
    <w:rsid w:val="00B827A6"/>
    <w:rsid w:val="00B82841"/>
    <w:rsid w:val="00B831CE"/>
    <w:rsid w:val="00B84A9C"/>
    <w:rsid w:val="00B85146"/>
    <w:rsid w:val="00B854FA"/>
    <w:rsid w:val="00B85E6F"/>
    <w:rsid w:val="00B86677"/>
    <w:rsid w:val="00B87131"/>
    <w:rsid w:val="00B8768C"/>
    <w:rsid w:val="00B876CF"/>
    <w:rsid w:val="00B87C47"/>
    <w:rsid w:val="00B901DD"/>
    <w:rsid w:val="00B939B1"/>
    <w:rsid w:val="00B93A13"/>
    <w:rsid w:val="00B9518D"/>
    <w:rsid w:val="00B95538"/>
    <w:rsid w:val="00B96D40"/>
    <w:rsid w:val="00B97386"/>
    <w:rsid w:val="00BA06EE"/>
    <w:rsid w:val="00BA2507"/>
    <w:rsid w:val="00BA263B"/>
    <w:rsid w:val="00BA42B2"/>
    <w:rsid w:val="00BA58D4"/>
    <w:rsid w:val="00BA5B9E"/>
    <w:rsid w:val="00BA6458"/>
    <w:rsid w:val="00BA7C9A"/>
    <w:rsid w:val="00BB0A34"/>
    <w:rsid w:val="00BB2F30"/>
    <w:rsid w:val="00BB4312"/>
    <w:rsid w:val="00BB5F8F"/>
    <w:rsid w:val="00BB657A"/>
    <w:rsid w:val="00BC0767"/>
    <w:rsid w:val="00BC1A4E"/>
    <w:rsid w:val="00BC2466"/>
    <w:rsid w:val="00BC45CF"/>
    <w:rsid w:val="00BC5DC7"/>
    <w:rsid w:val="00BC5F97"/>
    <w:rsid w:val="00BC660B"/>
    <w:rsid w:val="00BC6A21"/>
    <w:rsid w:val="00BC6B8B"/>
    <w:rsid w:val="00BC73D8"/>
    <w:rsid w:val="00BD106C"/>
    <w:rsid w:val="00BD115D"/>
    <w:rsid w:val="00BD188D"/>
    <w:rsid w:val="00BD47D3"/>
    <w:rsid w:val="00BD52D7"/>
    <w:rsid w:val="00BD5A7F"/>
    <w:rsid w:val="00BD5AD2"/>
    <w:rsid w:val="00BD5DFD"/>
    <w:rsid w:val="00BD61AE"/>
    <w:rsid w:val="00BD78F8"/>
    <w:rsid w:val="00BD79E5"/>
    <w:rsid w:val="00BD7B85"/>
    <w:rsid w:val="00BE22F3"/>
    <w:rsid w:val="00BE26B8"/>
    <w:rsid w:val="00BE2D0D"/>
    <w:rsid w:val="00BE2FDE"/>
    <w:rsid w:val="00BE3410"/>
    <w:rsid w:val="00BE39AB"/>
    <w:rsid w:val="00BE3D81"/>
    <w:rsid w:val="00BE42AD"/>
    <w:rsid w:val="00BE4601"/>
    <w:rsid w:val="00BE539E"/>
    <w:rsid w:val="00BE5B52"/>
    <w:rsid w:val="00BE7841"/>
    <w:rsid w:val="00BE7B8D"/>
    <w:rsid w:val="00BF050A"/>
    <w:rsid w:val="00BF0986"/>
    <w:rsid w:val="00BF0993"/>
    <w:rsid w:val="00BF0B6E"/>
    <w:rsid w:val="00BF0C2A"/>
    <w:rsid w:val="00BF101B"/>
    <w:rsid w:val="00BF10A9"/>
    <w:rsid w:val="00BF1703"/>
    <w:rsid w:val="00BF231C"/>
    <w:rsid w:val="00BF2665"/>
    <w:rsid w:val="00BF2E9B"/>
    <w:rsid w:val="00BF2EEE"/>
    <w:rsid w:val="00BF32AE"/>
    <w:rsid w:val="00BF36E0"/>
    <w:rsid w:val="00BF51E5"/>
    <w:rsid w:val="00BF65E9"/>
    <w:rsid w:val="00BF74A6"/>
    <w:rsid w:val="00BF78CB"/>
    <w:rsid w:val="00BF79F6"/>
    <w:rsid w:val="00C005D7"/>
    <w:rsid w:val="00C013AD"/>
    <w:rsid w:val="00C014AB"/>
    <w:rsid w:val="00C02ABB"/>
    <w:rsid w:val="00C02FD1"/>
    <w:rsid w:val="00C039DF"/>
    <w:rsid w:val="00C04904"/>
    <w:rsid w:val="00C04F7F"/>
    <w:rsid w:val="00C056B3"/>
    <w:rsid w:val="00C05C85"/>
    <w:rsid w:val="00C07492"/>
    <w:rsid w:val="00C103E5"/>
    <w:rsid w:val="00C12AD1"/>
    <w:rsid w:val="00C13319"/>
    <w:rsid w:val="00C13A69"/>
    <w:rsid w:val="00C13EE9"/>
    <w:rsid w:val="00C14CCE"/>
    <w:rsid w:val="00C1662E"/>
    <w:rsid w:val="00C1681D"/>
    <w:rsid w:val="00C17E43"/>
    <w:rsid w:val="00C212DD"/>
    <w:rsid w:val="00C21540"/>
    <w:rsid w:val="00C21906"/>
    <w:rsid w:val="00C21BFA"/>
    <w:rsid w:val="00C231E1"/>
    <w:rsid w:val="00C24404"/>
    <w:rsid w:val="00C24C8D"/>
    <w:rsid w:val="00C2565E"/>
    <w:rsid w:val="00C25DE4"/>
    <w:rsid w:val="00C25FBC"/>
    <w:rsid w:val="00C25FE2"/>
    <w:rsid w:val="00C26969"/>
    <w:rsid w:val="00C26B53"/>
    <w:rsid w:val="00C279B2"/>
    <w:rsid w:val="00C3245A"/>
    <w:rsid w:val="00C33E50"/>
    <w:rsid w:val="00C34AF1"/>
    <w:rsid w:val="00C34C20"/>
    <w:rsid w:val="00C34CE7"/>
    <w:rsid w:val="00C35A3E"/>
    <w:rsid w:val="00C36A35"/>
    <w:rsid w:val="00C37B4D"/>
    <w:rsid w:val="00C403E9"/>
    <w:rsid w:val="00C40885"/>
    <w:rsid w:val="00C40D8B"/>
    <w:rsid w:val="00C415FB"/>
    <w:rsid w:val="00C42130"/>
    <w:rsid w:val="00C423A4"/>
    <w:rsid w:val="00C423E3"/>
    <w:rsid w:val="00C441D3"/>
    <w:rsid w:val="00C44A5E"/>
    <w:rsid w:val="00C44BF5"/>
    <w:rsid w:val="00C50079"/>
    <w:rsid w:val="00C51B78"/>
    <w:rsid w:val="00C521D6"/>
    <w:rsid w:val="00C537BF"/>
    <w:rsid w:val="00C53C45"/>
    <w:rsid w:val="00C54331"/>
    <w:rsid w:val="00C5519E"/>
    <w:rsid w:val="00C55232"/>
    <w:rsid w:val="00C553A4"/>
    <w:rsid w:val="00C55A06"/>
    <w:rsid w:val="00C55D03"/>
    <w:rsid w:val="00C565CD"/>
    <w:rsid w:val="00C601BC"/>
    <w:rsid w:val="00C6160D"/>
    <w:rsid w:val="00C61851"/>
    <w:rsid w:val="00C628A0"/>
    <w:rsid w:val="00C62F90"/>
    <w:rsid w:val="00C6329F"/>
    <w:rsid w:val="00C63340"/>
    <w:rsid w:val="00C6335E"/>
    <w:rsid w:val="00C643F9"/>
    <w:rsid w:val="00C64E95"/>
    <w:rsid w:val="00C70AFA"/>
    <w:rsid w:val="00C71372"/>
    <w:rsid w:val="00C7167B"/>
    <w:rsid w:val="00C72410"/>
    <w:rsid w:val="00C7287F"/>
    <w:rsid w:val="00C7549B"/>
    <w:rsid w:val="00C76FDD"/>
    <w:rsid w:val="00C77818"/>
    <w:rsid w:val="00C80CB8"/>
    <w:rsid w:val="00C819F8"/>
    <w:rsid w:val="00C81B59"/>
    <w:rsid w:val="00C8248C"/>
    <w:rsid w:val="00C84E33"/>
    <w:rsid w:val="00C8517D"/>
    <w:rsid w:val="00C86D6F"/>
    <w:rsid w:val="00C87C6E"/>
    <w:rsid w:val="00C905FC"/>
    <w:rsid w:val="00C92D03"/>
    <w:rsid w:val="00C9319C"/>
    <w:rsid w:val="00C931E8"/>
    <w:rsid w:val="00C9435D"/>
    <w:rsid w:val="00C94DF2"/>
    <w:rsid w:val="00C96741"/>
    <w:rsid w:val="00C97DFD"/>
    <w:rsid w:val="00CA1BF6"/>
    <w:rsid w:val="00CA26A4"/>
    <w:rsid w:val="00CA2D1B"/>
    <w:rsid w:val="00CA2FD1"/>
    <w:rsid w:val="00CA375D"/>
    <w:rsid w:val="00CA37BD"/>
    <w:rsid w:val="00CA5BA2"/>
    <w:rsid w:val="00CA5EFA"/>
    <w:rsid w:val="00CA662A"/>
    <w:rsid w:val="00CA6DEB"/>
    <w:rsid w:val="00CA7AFD"/>
    <w:rsid w:val="00CA7C3C"/>
    <w:rsid w:val="00CB0189"/>
    <w:rsid w:val="00CB0BA2"/>
    <w:rsid w:val="00CB1A42"/>
    <w:rsid w:val="00CB1B0C"/>
    <w:rsid w:val="00CB2125"/>
    <w:rsid w:val="00CB2C0B"/>
    <w:rsid w:val="00CB5068"/>
    <w:rsid w:val="00CB517D"/>
    <w:rsid w:val="00CB52F9"/>
    <w:rsid w:val="00CC038D"/>
    <w:rsid w:val="00CC08DB"/>
    <w:rsid w:val="00CC1717"/>
    <w:rsid w:val="00CC39FF"/>
    <w:rsid w:val="00CC3C2F"/>
    <w:rsid w:val="00CC4AC8"/>
    <w:rsid w:val="00CC4CBF"/>
    <w:rsid w:val="00CC5233"/>
    <w:rsid w:val="00CC5DE6"/>
    <w:rsid w:val="00CC6E4E"/>
    <w:rsid w:val="00CC6FE8"/>
    <w:rsid w:val="00CC7202"/>
    <w:rsid w:val="00CD0819"/>
    <w:rsid w:val="00CD206D"/>
    <w:rsid w:val="00CD226F"/>
    <w:rsid w:val="00CD2808"/>
    <w:rsid w:val="00CD28BF"/>
    <w:rsid w:val="00CD2D72"/>
    <w:rsid w:val="00CD4092"/>
    <w:rsid w:val="00CD4A20"/>
    <w:rsid w:val="00CD50A1"/>
    <w:rsid w:val="00CD519E"/>
    <w:rsid w:val="00CD5AFE"/>
    <w:rsid w:val="00CE031E"/>
    <w:rsid w:val="00CE0C4F"/>
    <w:rsid w:val="00CE30EA"/>
    <w:rsid w:val="00CE3B5F"/>
    <w:rsid w:val="00CE3CBA"/>
    <w:rsid w:val="00CE6FBB"/>
    <w:rsid w:val="00CF048A"/>
    <w:rsid w:val="00CF0D25"/>
    <w:rsid w:val="00CF155A"/>
    <w:rsid w:val="00CF1FB9"/>
    <w:rsid w:val="00CF27E2"/>
    <w:rsid w:val="00CF2947"/>
    <w:rsid w:val="00CF39E8"/>
    <w:rsid w:val="00CF686F"/>
    <w:rsid w:val="00CF6E60"/>
    <w:rsid w:val="00CF7116"/>
    <w:rsid w:val="00CF734C"/>
    <w:rsid w:val="00CF784B"/>
    <w:rsid w:val="00CF7A86"/>
    <w:rsid w:val="00CF7BCA"/>
    <w:rsid w:val="00D008FD"/>
    <w:rsid w:val="00D020E6"/>
    <w:rsid w:val="00D0321C"/>
    <w:rsid w:val="00D035EC"/>
    <w:rsid w:val="00D039D3"/>
    <w:rsid w:val="00D05674"/>
    <w:rsid w:val="00D06AB1"/>
    <w:rsid w:val="00D06EEC"/>
    <w:rsid w:val="00D06FC1"/>
    <w:rsid w:val="00D072ED"/>
    <w:rsid w:val="00D07A16"/>
    <w:rsid w:val="00D1067E"/>
    <w:rsid w:val="00D10F50"/>
    <w:rsid w:val="00D11025"/>
    <w:rsid w:val="00D11272"/>
    <w:rsid w:val="00D1240B"/>
    <w:rsid w:val="00D126F5"/>
    <w:rsid w:val="00D13B98"/>
    <w:rsid w:val="00D14732"/>
    <w:rsid w:val="00D1489E"/>
    <w:rsid w:val="00D15B7F"/>
    <w:rsid w:val="00D163BC"/>
    <w:rsid w:val="00D204B7"/>
    <w:rsid w:val="00D20737"/>
    <w:rsid w:val="00D21E81"/>
    <w:rsid w:val="00D223DE"/>
    <w:rsid w:val="00D22F44"/>
    <w:rsid w:val="00D25E37"/>
    <w:rsid w:val="00D2661A"/>
    <w:rsid w:val="00D27582"/>
    <w:rsid w:val="00D27EC4"/>
    <w:rsid w:val="00D30D7B"/>
    <w:rsid w:val="00D30FD4"/>
    <w:rsid w:val="00D32018"/>
    <w:rsid w:val="00D32153"/>
    <w:rsid w:val="00D32531"/>
    <w:rsid w:val="00D32719"/>
    <w:rsid w:val="00D32F5A"/>
    <w:rsid w:val="00D33333"/>
    <w:rsid w:val="00D3375A"/>
    <w:rsid w:val="00D352A2"/>
    <w:rsid w:val="00D356E7"/>
    <w:rsid w:val="00D3770C"/>
    <w:rsid w:val="00D41118"/>
    <w:rsid w:val="00D411F3"/>
    <w:rsid w:val="00D4162B"/>
    <w:rsid w:val="00D42F48"/>
    <w:rsid w:val="00D44979"/>
    <w:rsid w:val="00D4514F"/>
    <w:rsid w:val="00D451E2"/>
    <w:rsid w:val="00D455CE"/>
    <w:rsid w:val="00D45E89"/>
    <w:rsid w:val="00D45E8D"/>
    <w:rsid w:val="00D466AE"/>
    <w:rsid w:val="00D4734F"/>
    <w:rsid w:val="00D5103F"/>
    <w:rsid w:val="00D51096"/>
    <w:rsid w:val="00D5125D"/>
    <w:rsid w:val="00D51BF3"/>
    <w:rsid w:val="00D52107"/>
    <w:rsid w:val="00D52CBC"/>
    <w:rsid w:val="00D5500E"/>
    <w:rsid w:val="00D559DC"/>
    <w:rsid w:val="00D574B0"/>
    <w:rsid w:val="00D60824"/>
    <w:rsid w:val="00D62F32"/>
    <w:rsid w:val="00D631B9"/>
    <w:rsid w:val="00D64FE6"/>
    <w:rsid w:val="00D6520D"/>
    <w:rsid w:val="00D657F0"/>
    <w:rsid w:val="00D66846"/>
    <w:rsid w:val="00D669DF"/>
    <w:rsid w:val="00D675FB"/>
    <w:rsid w:val="00D71F25"/>
    <w:rsid w:val="00D723EE"/>
    <w:rsid w:val="00D72649"/>
    <w:rsid w:val="00D72A9C"/>
    <w:rsid w:val="00D7494E"/>
    <w:rsid w:val="00D74F7D"/>
    <w:rsid w:val="00D77031"/>
    <w:rsid w:val="00D83629"/>
    <w:rsid w:val="00D84941"/>
    <w:rsid w:val="00D84FA1"/>
    <w:rsid w:val="00D851F0"/>
    <w:rsid w:val="00D86DB7"/>
    <w:rsid w:val="00D86F1B"/>
    <w:rsid w:val="00D86F21"/>
    <w:rsid w:val="00D87B21"/>
    <w:rsid w:val="00D87BF5"/>
    <w:rsid w:val="00D90721"/>
    <w:rsid w:val="00D91ED3"/>
    <w:rsid w:val="00D926D0"/>
    <w:rsid w:val="00D93030"/>
    <w:rsid w:val="00D948D2"/>
    <w:rsid w:val="00D94F43"/>
    <w:rsid w:val="00D950E1"/>
    <w:rsid w:val="00D952A6"/>
    <w:rsid w:val="00D9698F"/>
    <w:rsid w:val="00D96B5E"/>
    <w:rsid w:val="00D97D6C"/>
    <w:rsid w:val="00D97F99"/>
    <w:rsid w:val="00DA0611"/>
    <w:rsid w:val="00DA1E08"/>
    <w:rsid w:val="00DA24F8"/>
    <w:rsid w:val="00DA28E8"/>
    <w:rsid w:val="00DA38D3"/>
    <w:rsid w:val="00DA3932"/>
    <w:rsid w:val="00DA3AFC"/>
    <w:rsid w:val="00DA59CF"/>
    <w:rsid w:val="00DA5C00"/>
    <w:rsid w:val="00DA64F8"/>
    <w:rsid w:val="00DA6C15"/>
    <w:rsid w:val="00DA7296"/>
    <w:rsid w:val="00DA77B2"/>
    <w:rsid w:val="00DA7A14"/>
    <w:rsid w:val="00DB0258"/>
    <w:rsid w:val="00DB25AF"/>
    <w:rsid w:val="00DB3088"/>
    <w:rsid w:val="00DB38EE"/>
    <w:rsid w:val="00DB498B"/>
    <w:rsid w:val="00DB4D90"/>
    <w:rsid w:val="00DB52EE"/>
    <w:rsid w:val="00DB66CA"/>
    <w:rsid w:val="00DB688E"/>
    <w:rsid w:val="00DB6BCA"/>
    <w:rsid w:val="00DB6F54"/>
    <w:rsid w:val="00DB6F99"/>
    <w:rsid w:val="00DB73F7"/>
    <w:rsid w:val="00DC0321"/>
    <w:rsid w:val="00DC0A22"/>
    <w:rsid w:val="00DC2E81"/>
    <w:rsid w:val="00DC3067"/>
    <w:rsid w:val="00DC370B"/>
    <w:rsid w:val="00DC4AE6"/>
    <w:rsid w:val="00DC5B90"/>
    <w:rsid w:val="00DC61E6"/>
    <w:rsid w:val="00DC6820"/>
    <w:rsid w:val="00DC6DD7"/>
    <w:rsid w:val="00DC7B07"/>
    <w:rsid w:val="00DD00FF"/>
    <w:rsid w:val="00DD0619"/>
    <w:rsid w:val="00DD07FB"/>
    <w:rsid w:val="00DD255B"/>
    <w:rsid w:val="00DD25C6"/>
    <w:rsid w:val="00DD2B47"/>
    <w:rsid w:val="00DD447B"/>
    <w:rsid w:val="00DD4FE5"/>
    <w:rsid w:val="00DD54B0"/>
    <w:rsid w:val="00DD57EE"/>
    <w:rsid w:val="00DD6BCC"/>
    <w:rsid w:val="00DD726E"/>
    <w:rsid w:val="00DE0A4B"/>
    <w:rsid w:val="00DE1175"/>
    <w:rsid w:val="00DE2410"/>
    <w:rsid w:val="00DE25BB"/>
    <w:rsid w:val="00DE2939"/>
    <w:rsid w:val="00DE6BAB"/>
    <w:rsid w:val="00DE6E81"/>
    <w:rsid w:val="00DE703F"/>
    <w:rsid w:val="00DE7595"/>
    <w:rsid w:val="00DF1961"/>
    <w:rsid w:val="00DF25DD"/>
    <w:rsid w:val="00DF374F"/>
    <w:rsid w:val="00DF44DE"/>
    <w:rsid w:val="00DF5645"/>
    <w:rsid w:val="00DF64D5"/>
    <w:rsid w:val="00E0040F"/>
    <w:rsid w:val="00E0046B"/>
    <w:rsid w:val="00E01138"/>
    <w:rsid w:val="00E012AA"/>
    <w:rsid w:val="00E0252D"/>
    <w:rsid w:val="00E02DFB"/>
    <w:rsid w:val="00E030F9"/>
    <w:rsid w:val="00E0311A"/>
    <w:rsid w:val="00E03138"/>
    <w:rsid w:val="00E055D5"/>
    <w:rsid w:val="00E06404"/>
    <w:rsid w:val="00E11A85"/>
    <w:rsid w:val="00E12402"/>
    <w:rsid w:val="00E12495"/>
    <w:rsid w:val="00E1323C"/>
    <w:rsid w:val="00E13FDD"/>
    <w:rsid w:val="00E15CCD"/>
    <w:rsid w:val="00E16083"/>
    <w:rsid w:val="00E171C6"/>
    <w:rsid w:val="00E175D4"/>
    <w:rsid w:val="00E20070"/>
    <w:rsid w:val="00E202EF"/>
    <w:rsid w:val="00E210B5"/>
    <w:rsid w:val="00E226F8"/>
    <w:rsid w:val="00E235B8"/>
    <w:rsid w:val="00E2423E"/>
    <w:rsid w:val="00E246C3"/>
    <w:rsid w:val="00E24C6A"/>
    <w:rsid w:val="00E2552F"/>
    <w:rsid w:val="00E2598B"/>
    <w:rsid w:val="00E269A7"/>
    <w:rsid w:val="00E3137A"/>
    <w:rsid w:val="00E326E4"/>
    <w:rsid w:val="00E32CCF"/>
    <w:rsid w:val="00E33D05"/>
    <w:rsid w:val="00E34A98"/>
    <w:rsid w:val="00E3563F"/>
    <w:rsid w:val="00E35D1E"/>
    <w:rsid w:val="00E364F9"/>
    <w:rsid w:val="00E365FA"/>
    <w:rsid w:val="00E36789"/>
    <w:rsid w:val="00E42D93"/>
    <w:rsid w:val="00E44A83"/>
    <w:rsid w:val="00E502C1"/>
    <w:rsid w:val="00E502DD"/>
    <w:rsid w:val="00E502E5"/>
    <w:rsid w:val="00E5088B"/>
    <w:rsid w:val="00E50D3A"/>
    <w:rsid w:val="00E51387"/>
    <w:rsid w:val="00E5163B"/>
    <w:rsid w:val="00E51E68"/>
    <w:rsid w:val="00E52B26"/>
    <w:rsid w:val="00E52EFD"/>
    <w:rsid w:val="00E53AB3"/>
    <w:rsid w:val="00E5408A"/>
    <w:rsid w:val="00E54BC9"/>
    <w:rsid w:val="00E56800"/>
    <w:rsid w:val="00E56BEB"/>
    <w:rsid w:val="00E57DA7"/>
    <w:rsid w:val="00E60C63"/>
    <w:rsid w:val="00E61A65"/>
    <w:rsid w:val="00E62FF9"/>
    <w:rsid w:val="00E635D6"/>
    <w:rsid w:val="00E639BC"/>
    <w:rsid w:val="00E664CC"/>
    <w:rsid w:val="00E6668E"/>
    <w:rsid w:val="00E70388"/>
    <w:rsid w:val="00E70F92"/>
    <w:rsid w:val="00E717EF"/>
    <w:rsid w:val="00E74313"/>
    <w:rsid w:val="00E74C54"/>
    <w:rsid w:val="00E75156"/>
    <w:rsid w:val="00E75B52"/>
    <w:rsid w:val="00E77A03"/>
    <w:rsid w:val="00E80F2A"/>
    <w:rsid w:val="00E81492"/>
    <w:rsid w:val="00E822E8"/>
    <w:rsid w:val="00E82554"/>
    <w:rsid w:val="00E82606"/>
    <w:rsid w:val="00E82640"/>
    <w:rsid w:val="00E82837"/>
    <w:rsid w:val="00E831C1"/>
    <w:rsid w:val="00E832FB"/>
    <w:rsid w:val="00E846C8"/>
    <w:rsid w:val="00E848A5"/>
    <w:rsid w:val="00E84957"/>
    <w:rsid w:val="00E84A55"/>
    <w:rsid w:val="00E84BE4"/>
    <w:rsid w:val="00E84FBC"/>
    <w:rsid w:val="00E85BFF"/>
    <w:rsid w:val="00E863D8"/>
    <w:rsid w:val="00E875D9"/>
    <w:rsid w:val="00E87EB4"/>
    <w:rsid w:val="00E90391"/>
    <w:rsid w:val="00E906C2"/>
    <w:rsid w:val="00E92DF2"/>
    <w:rsid w:val="00E9311F"/>
    <w:rsid w:val="00E934D1"/>
    <w:rsid w:val="00E939F6"/>
    <w:rsid w:val="00E94AF0"/>
    <w:rsid w:val="00E95D13"/>
    <w:rsid w:val="00E95DD3"/>
    <w:rsid w:val="00E9671E"/>
    <w:rsid w:val="00E969D5"/>
    <w:rsid w:val="00EA09BF"/>
    <w:rsid w:val="00EA117A"/>
    <w:rsid w:val="00EA19C7"/>
    <w:rsid w:val="00EA2B89"/>
    <w:rsid w:val="00EA4213"/>
    <w:rsid w:val="00EA58D1"/>
    <w:rsid w:val="00EA61BC"/>
    <w:rsid w:val="00EA681A"/>
    <w:rsid w:val="00EA735B"/>
    <w:rsid w:val="00EA73B0"/>
    <w:rsid w:val="00EB0E5F"/>
    <w:rsid w:val="00EB1E69"/>
    <w:rsid w:val="00EB2086"/>
    <w:rsid w:val="00EB31ED"/>
    <w:rsid w:val="00EB5EDF"/>
    <w:rsid w:val="00EB60FE"/>
    <w:rsid w:val="00EB72E5"/>
    <w:rsid w:val="00EB74DB"/>
    <w:rsid w:val="00EC007E"/>
    <w:rsid w:val="00EC0DC1"/>
    <w:rsid w:val="00EC2053"/>
    <w:rsid w:val="00EC220D"/>
    <w:rsid w:val="00EC5359"/>
    <w:rsid w:val="00EC562A"/>
    <w:rsid w:val="00EC5FC8"/>
    <w:rsid w:val="00EC67FE"/>
    <w:rsid w:val="00EC6D33"/>
    <w:rsid w:val="00EC7BB8"/>
    <w:rsid w:val="00ED067A"/>
    <w:rsid w:val="00ED2B50"/>
    <w:rsid w:val="00ED3128"/>
    <w:rsid w:val="00ED52A1"/>
    <w:rsid w:val="00ED6219"/>
    <w:rsid w:val="00ED66F2"/>
    <w:rsid w:val="00EE0350"/>
    <w:rsid w:val="00EE0719"/>
    <w:rsid w:val="00EE0E80"/>
    <w:rsid w:val="00EE4B30"/>
    <w:rsid w:val="00EE4C3A"/>
    <w:rsid w:val="00EE4ECA"/>
    <w:rsid w:val="00EE613F"/>
    <w:rsid w:val="00EE7295"/>
    <w:rsid w:val="00EE74B2"/>
    <w:rsid w:val="00EE7869"/>
    <w:rsid w:val="00EF054A"/>
    <w:rsid w:val="00EF0B76"/>
    <w:rsid w:val="00EF3235"/>
    <w:rsid w:val="00EF7E72"/>
    <w:rsid w:val="00F00216"/>
    <w:rsid w:val="00F00B48"/>
    <w:rsid w:val="00F01192"/>
    <w:rsid w:val="00F051E7"/>
    <w:rsid w:val="00F06D37"/>
    <w:rsid w:val="00F07B9D"/>
    <w:rsid w:val="00F11586"/>
    <w:rsid w:val="00F1183B"/>
    <w:rsid w:val="00F11C9F"/>
    <w:rsid w:val="00F11F25"/>
    <w:rsid w:val="00F12263"/>
    <w:rsid w:val="00F13053"/>
    <w:rsid w:val="00F1409D"/>
    <w:rsid w:val="00F14214"/>
    <w:rsid w:val="00F157A9"/>
    <w:rsid w:val="00F158A1"/>
    <w:rsid w:val="00F16459"/>
    <w:rsid w:val="00F16F00"/>
    <w:rsid w:val="00F21270"/>
    <w:rsid w:val="00F21D20"/>
    <w:rsid w:val="00F2202D"/>
    <w:rsid w:val="00F25BB6"/>
    <w:rsid w:val="00F26005"/>
    <w:rsid w:val="00F26B7E"/>
    <w:rsid w:val="00F27A3B"/>
    <w:rsid w:val="00F27AE3"/>
    <w:rsid w:val="00F3034F"/>
    <w:rsid w:val="00F32780"/>
    <w:rsid w:val="00F33817"/>
    <w:rsid w:val="00F35E4D"/>
    <w:rsid w:val="00F37B78"/>
    <w:rsid w:val="00F4163F"/>
    <w:rsid w:val="00F420D5"/>
    <w:rsid w:val="00F451EA"/>
    <w:rsid w:val="00F45447"/>
    <w:rsid w:val="00F45551"/>
    <w:rsid w:val="00F456C6"/>
    <w:rsid w:val="00F4577B"/>
    <w:rsid w:val="00F46496"/>
    <w:rsid w:val="00F474D0"/>
    <w:rsid w:val="00F50179"/>
    <w:rsid w:val="00F51044"/>
    <w:rsid w:val="00F515EE"/>
    <w:rsid w:val="00F56511"/>
    <w:rsid w:val="00F6194E"/>
    <w:rsid w:val="00F623AC"/>
    <w:rsid w:val="00F62C92"/>
    <w:rsid w:val="00F6412A"/>
    <w:rsid w:val="00F65893"/>
    <w:rsid w:val="00F66789"/>
    <w:rsid w:val="00F66A4A"/>
    <w:rsid w:val="00F70CF4"/>
    <w:rsid w:val="00F71B20"/>
    <w:rsid w:val="00F71E22"/>
    <w:rsid w:val="00F72142"/>
    <w:rsid w:val="00F72AE7"/>
    <w:rsid w:val="00F737D0"/>
    <w:rsid w:val="00F73AB2"/>
    <w:rsid w:val="00F80C2E"/>
    <w:rsid w:val="00F821AE"/>
    <w:rsid w:val="00F833BA"/>
    <w:rsid w:val="00F834D9"/>
    <w:rsid w:val="00F84388"/>
    <w:rsid w:val="00F84FD0"/>
    <w:rsid w:val="00F859A8"/>
    <w:rsid w:val="00F8676E"/>
    <w:rsid w:val="00F86C23"/>
    <w:rsid w:val="00F86D87"/>
    <w:rsid w:val="00F9108B"/>
    <w:rsid w:val="00F91349"/>
    <w:rsid w:val="00F93A8A"/>
    <w:rsid w:val="00F95248"/>
    <w:rsid w:val="00F956A9"/>
    <w:rsid w:val="00F95D6C"/>
    <w:rsid w:val="00F963ED"/>
    <w:rsid w:val="00F966CF"/>
    <w:rsid w:val="00F968CF"/>
    <w:rsid w:val="00F96B68"/>
    <w:rsid w:val="00F96CAE"/>
    <w:rsid w:val="00F9791E"/>
    <w:rsid w:val="00F97927"/>
    <w:rsid w:val="00F97C99"/>
    <w:rsid w:val="00FA03D9"/>
    <w:rsid w:val="00FA1646"/>
    <w:rsid w:val="00FA2D94"/>
    <w:rsid w:val="00FA4D9E"/>
    <w:rsid w:val="00FA5953"/>
    <w:rsid w:val="00FA662D"/>
    <w:rsid w:val="00FA72BB"/>
    <w:rsid w:val="00FA73B1"/>
    <w:rsid w:val="00FB0CB9"/>
    <w:rsid w:val="00FB13D1"/>
    <w:rsid w:val="00FB15A1"/>
    <w:rsid w:val="00FB1E53"/>
    <w:rsid w:val="00FB231D"/>
    <w:rsid w:val="00FB3347"/>
    <w:rsid w:val="00FB37C4"/>
    <w:rsid w:val="00FB4274"/>
    <w:rsid w:val="00FB43E6"/>
    <w:rsid w:val="00FB45F1"/>
    <w:rsid w:val="00FB4A72"/>
    <w:rsid w:val="00FB54E8"/>
    <w:rsid w:val="00FB5A58"/>
    <w:rsid w:val="00FB7054"/>
    <w:rsid w:val="00FC0E2F"/>
    <w:rsid w:val="00FC17B7"/>
    <w:rsid w:val="00FC2CB7"/>
    <w:rsid w:val="00FC4090"/>
    <w:rsid w:val="00FC54F2"/>
    <w:rsid w:val="00FC55B4"/>
    <w:rsid w:val="00FC73D0"/>
    <w:rsid w:val="00FD00E6"/>
    <w:rsid w:val="00FD09A1"/>
    <w:rsid w:val="00FD201C"/>
    <w:rsid w:val="00FD2A7C"/>
    <w:rsid w:val="00FD2E97"/>
    <w:rsid w:val="00FD3CCB"/>
    <w:rsid w:val="00FD57FF"/>
    <w:rsid w:val="00FD59EB"/>
    <w:rsid w:val="00FD6AE8"/>
    <w:rsid w:val="00FD7160"/>
    <w:rsid w:val="00FD7299"/>
    <w:rsid w:val="00FE1FBE"/>
    <w:rsid w:val="00FE3901"/>
    <w:rsid w:val="00FE39D3"/>
    <w:rsid w:val="00FE4BCE"/>
    <w:rsid w:val="00FE4C6E"/>
    <w:rsid w:val="00FE54AE"/>
    <w:rsid w:val="00FE576A"/>
    <w:rsid w:val="00FE7E79"/>
    <w:rsid w:val="00FF3D8C"/>
    <w:rsid w:val="00FF3E7D"/>
    <w:rsid w:val="00FF42A5"/>
    <w:rsid w:val="00FF5B99"/>
    <w:rsid w:val="00FF730C"/>
    <w:rsid w:val="00FF73F4"/>
    <w:rsid w:val="00FF73F9"/>
    <w:rsid w:val="00FF7CE4"/>
    <w:rsid w:val="00FF7E39"/>
    <w:rsid w:val="EF6B48D3"/>
    <w:rsid w:val="FFC23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uiPriority="39" w:semiHidden="0" w:name="toc 3"/>
    <w:lsdException w:qFormat="1" w:uiPriority="39" w:semiHidden="0" w:name="toc 4"/>
    <w:lsdException w:qFormat="1" w:uiPriority="39" w:semiHidden="0" w:name="toc 5"/>
    <w:lsdException w:qFormat="1" w:uiPriority="39" w:semiHidden="0" w:name="toc 6"/>
    <w:lsdException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uiPriority w:val="0"/>
    <w:pPr>
      <w:adjustRightInd/>
      <w:spacing w:line="240" w:lineRule="auto"/>
      <w:jc w:val="left"/>
    </w:pPr>
    <w:rPr>
      <w:szCs w:val="24"/>
    </w:rPr>
  </w:style>
  <w:style w:type="paragraph" w:styleId="24">
    <w:name w:val="toc 2"/>
    <w:basedOn w:val="1"/>
    <w:next w:val="1"/>
    <w:autoRedefine/>
    <w:unhideWhenUsed/>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uiPriority w:val="0"/>
    <w:pPr>
      <w:outlineLvl w:val="4"/>
    </w:pPr>
  </w:style>
  <w:style w:type="paragraph" w:customStyle="1" w:styleId="130">
    <w:name w:val="附录四级无标题条"/>
    <w:basedOn w:val="129"/>
    <w:next w:val="56"/>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uiPriority w:val="0"/>
    <w:pPr>
      <w:autoSpaceDN w:val="0"/>
      <w:outlineLvl w:val="2"/>
    </w:pPr>
    <w:rPr>
      <w:rFonts w:ascii="宋体" w:hAnsi="宋体" w:eastAsia="宋体"/>
    </w:rPr>
  </w:style>
  <w:style w:type="character" w:customStyle="1" w:styleId="136">
    <w:name w:val="个人答复风格"/>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uiPriority w:val="0"/>
    <w:pPr>
      <w:framePr w:hSpace="0" w:wrap="around" w:xAlign="right"/>
      <w:jc w:val="right"/>
    </w:pPr>
  </w:style>
  <w:style w:type="paragraph" w:customStyle="1" w:styleId="155">
    <w:name w:val="四级无标题条"/>
    <w:basedOn w:val="1"/>
    <w:uiPriority w:val="0"/>
    <w:pPr>
      <w:numPr>
        <w:ilvl w:val="5"/>
        <w:numId w:val="20"/>
      </w:numPr>
      <w:adjustRightInd/>
      <w:spacing w:line="240" w:lineRule="auto"/>
    </w:pPr>
    <w:rPr>
      <w:rFonts w:ascii="宋体" w:hAnsi="宋体"/>
      <w:szCs w:val="24"/>
    </w:rPr>
  </w:style>
  <w:style w:type="paragraph" w:customStyle="1" w:styleId="156">
    <w:name w:val="文献分类号"/>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glossaryDocument" Target="glossary/document.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6.jpe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gjlcj/D:\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33BFC1212124E64A74B6C6192E10F6A"/>
        <w:style w:val=""/>
        <w:category>
          <w:name w:val="常规"/>
          <w:gallery w:val="placeholder"/>
        </w:category>
        <w:types>
          <w:type w:val="bbPlcHdr"/>
        </w:types>
        <w:behaviors>
          <w:behavior w:val="content"/>
        </w:behaviors>
        <w:description w:val=""/>
        <w:guid w:val="{E2598DDF-D6FE-4FB3-B6FC-E2F1FB71A230}"/>
      </w:docPartPr>
      <w:docPartBody>
        <w:p w14:paraId="7F0078F6">
          <w:pPr>
            <w:pStyle w:val="5"/>
            <w:rPr>
              <w:rFonts w:hint="eastAsia"/>
            </w:rPr>
          </w:pPr>
          <w:r>
            <w:rPr>
              <w:rStyle w:val="4"/>
              <w:rFonts w:hint="eastAsia"/>
            </w:rPr>
            <w:t>单击或点击此处输入文字。</w:t>
          </w:r>
        </w:p>
      </w:docPartBody>
    </w:docPart>
    <w:docPart>
      <w:docPartPr>
        <w:name w:val="B0E262AB316F4DE89438CD413524DE49"/>
        <w:style w:val=""/>
        <w:category>
          <w:name w:val="常规"/>
          <w:gallery w:val="placeholder"/>
        </w:category>
        <w:types>
          <w:type w:val="bbPlcHdr"/>
        </w:types>
        <w:behaviors>
          <w:behavior w:val="content"/>
        </w:behaviors>
        <w:description w:val=""/>
        <w:guid w:val="{B349D9B6-64A3-447D-8C48-394ED4833878}"/>
      </w:docPartPr>
      <w:docPartBody>
        <w:p w14:paraId="36F48DCE">
          <w:pPr>
            <w:pStyle w:val="6"/>
            <w:rPr>
              <w:rFonts w:hint="eastAsia"/>
            </w:rPr>
          </w:pPr>
          <w:r>
            <w:rPr>
              <w:rStyle w:val="4"/>
              <w:rFonts w:hint="eastAsia"/>
            </w:rPr>
            <w:t>选择一项。</w:t>
          </w:r>
        </w:p>
      </w:docPartBody>
    </w:docPart>
    <w:docPart>
      <w:docPartPr>
        <w:name w:val="8503BF8E805A43358664D4C769BEA780"/>
        <w:style w:val=""/>
        <w:category>
          <w:name w:val="常规"/>
          <w:gallery w:val="placeholder"/>
        </w:category>
        <w:types>
          <w:type w:val="bbPlcHdr"/>
        </w:types>
        <w:behaviors>
          <w:behavior w:val="content"/>
        </w:behaviors>
        <w:description w:val=""/>
        <w:guid w:val="{CFA854BF-9671-4E51-9A13-E864032090E4}"/>
      </w:docPartPr>
      <w:docPartBody>
        <w:p w14:paraId="30C3D3A6">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C46"/>
    <w:rsid w:val="000438CF"/>
    <w:rsid w:val="00057540"/>
    <w:rsid w:val="0007465A"/>
    <w:rsid w:val="00075411"/>
    <w:rsid w:val="00101622"/>
    <w:rsid w:val="001317A4"/>
    <w:rsid w:val="001E286B"/>
    <w:rsid w:val="00285438"/>
    <w:rsid w:val="00300C47"/>
    <w:rsid w:val="0036293D"/>
    <w:rsid w:val="003B6831"/>
    <w:rsid w:val="003C199E"/>
    <w:rsid w:val="003C5E7E"/>
    <w:rsid w:val="005142D7"/>
    <w:rsid w:val="00561A5B"/>
    <w:rsid w:val="00672C70"/>
    <w:rsid w:val="00706889"/>
    <w:rsid w:val="0074150D"/>
    <w:rsid w:val="0078419C"/>
    <w:rsid w:val="007A052C"/>
    <w:rsid w:val="00864C46"/>
    <w:rsid w:val="00890512"/>
    <w:rsid w:val="0097335F"/>
    <w:rsid w:val="00A03EF5"/>
    <w:rsid w:val="00AE2148"/>
    <w:rsid w:val="00B0779F"/>
    <w:rsid w:val="00B553E8"/>
    <w:rsid w:val="00BC5783"/>
    <w:rsid w:val="00C57C51"/>
    <w:rsid w:val="00D316DA"/>
    <w:rsid w:val="00D65E38"/>
    <w:rsid w:val="00D864D6"/>
    <w:rsid w:val="00F24180"/>
    <w:rsid w:val="00F35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633BFC1212124E64A74B6C6192E10F6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B0E262AB316F4DE89438CD413524DE49"/>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8503BF8E805A43358664D4C769BEA780"/>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0F809-F1B0-47A2-BF3F-77BC97C7211C}">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13</Pages>
  <Words>4435</Words>
  <Characters>5457</Characters>
  <Lines>363</Lines>
  <Paragraphs>494</Paragraphs>
  <TotalTime>17447</TotalTime>
  <ScaleCrop>false</ScaleCrop>
  <LinksUpToDate>false</LinksUpToDate>
  <CharactersWithSpaces>9398</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2025-07-25T17:10:00Z</dcterms:created>
  <dc:creator>郝思思</dc:creator>
  <dc:description>&lt;config cover="true" show_menu="true" version="1.0.0" doctype="SDKXY"&gt;_x000d_
&lt;/config&gt;</dc:description>
  <cp:lastModifiedBy>gjlcj</cp:lastModifiedBy>
  <cp:lastPrinted>2021-02-02T16:22:00Z</cp:lastPrinted>
  <dcterms:modified xsi:type="dcterms:W3CDTF">2026-09-02T10:09:53Z</dcterms:modified>
  <dc:title>团体标准</dc:title>
  <cp:revision>1274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2052-12.1.2.24722</vt:lpwstr>
  </property>
  <property fmtid="{D5CDD505-2E9C-101B-9397-08002B2CF9AE}" pid="15" name="ICV">
    <vt:lpwstr>17345241E32BD3C36785976A9EA1B8A6_42</vt:lpwstr>
  </property>
</Properties>
</file>