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CBA94">
      <w:pPr>
        <w:pStyle w:val="36"/>
        <w:framePr w:w="10303" w:wrap="auto" w:vAnchor="page" w:hAnchor="page" w:x="1101" w:y="1111"/>
        <w:rPr>
          <w:rFonts w:hint="eastAsia" w:ascii="黑体" w:hAnsi="黑体" w:cs="黑体"/>
          <w:b w:val="0"/>
          <w:bCs w:val="0"/>
          <w:szCs w:val="21"/>
        </w:rPr>
      </w:pPr>
      <w:bookmarkStart w:id="0" w:name="OLE_LINK4"/>
      <w:r>
        <w:rPr>
          <w:rFonts w:hint="default"/>
          <w:b w:val="0"/>
          <w:bCs w:val="0"/>
          <w:spacing w:val="-20"/>
          <w:sz w:val="21"/>
          <w:szCs w:val="21"/>
        </w:rPr>
        <w:t>ICS</w:t>
      </w:r>
      <w:r>
        <w:rPr>
          <w:rFonts w:hint="eastAsia" w:ascii="黑体" w:hAnsi="黑体" w:cs="黑体"/>
          <w:b w:val="0"/>
          <w:bCs w:val="0"/>
          <w:spacing w:val="-20"/>
          <w:sz w:val="21"/>
          <w:szCs w:val="21"/>
          <w:lang w:val="en-US" w:eastAsia="zh-CN"/>
        </w:rPr>
        <w:t xml:space="preserve"> </w:t>
      </w:r>
      <w:r>
        <w:rPr>
          <w:rFonts w:hint="eastAsia" w:ascii="黑体" w:hAnsi="黑体" w:cs="黑体"/>
          <w:b w:val="0"/>
          <w:bCs w:val="0"/>
          <w:spacing w:val="0"/>
          <w:sz w:val="21"/>
          <w:szCs w:val="21"/>
          <w:lang w:val="en-US" w:eastAsia="zh-CN"/>
        </w:rPr>
        <w:t xml:space="preserve"> 65.020.01</w:t>
      </w:r>
      <w:r>
        <w:rPr>
          <w:rFonts w:hint="eastAsia" w:ascii="黑体" w:hAnsi="黑体" w:cs="黑体"/>
          <w:b w:val="0"/>
          <w:bCs w:val="0"/>
          <w:szCs w:val="21"/>
        </w:rPr>
        <w:t xml:space="preserve">  </w:t>
      </w:r>
    </w:p>
    <w:p w14:paraId="77E7BCA6">
      <w:pPr>
        <w:pStyle w:val="36"/>
        <w:framePr w:w="10303" w:wrap="auto" w:vAnchor="page" w:hAnchor="page" w:x="1101" w:y="1111"/>
        <w:wordWrap w:val="0"/>
        <w:rPr>
          <w:rFonts w:hint="default" w:eastAsia="黑体"/>
          <w:b/>
          <w:bCs/>
          <w:lang w:val="en-US" w:eastAsia="zh-CN"/>
        </w:rPr>
      </w:pPr>
      <w:r>
        <w:rPr>
          <w:rFonts w:hint="default"/>
          <w:b w:val="0"/>
          <w:bCs w:val="0"/>
          <w:sz w:val="21"/>
          <w:szCs w:val="21"/>
          <w:lang w:val="en-US"/>
        </w:rPr>
        <mc:AlternateContent>
          <mc:Choice Requires="wps">
            <w:drawing>
              <wp:anchor distT="0" distB="0" distL="0" distR="0" simplePos="0" relativeHeight="251659264" behindDoc="1" locked="0" layoutInCell="1" allowOverlap="1">
                <wp:simplePos x="0" y="0"/>
                <wp:positionH relativeFrom="column">
                  <wp:posOffset>-76200</wp:posOffset>
                </wp:positionH>
                <wp:positionV relativeFrom="paragraph">
                  <wp:posOffset>188595</wp:posOffset>
                </wp:positionV>
                <wp:extent cx="866775" cy="198120"/>
                <wp:effectExtent l="0" t="0" r="1905" b="0"/>
                <wp:wrapNone/>
                <wp:docPr id="1026" name="矩形 19"/>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ps:wsp>
                  </a:graphicData>
                </a:graphic>
              </wp:anchor>
            </w:drawing>
          </mc:Choice>
          <mc:Fallback>
            <w:pict>
              <v:rect id="矩形 19" o:spid="_x0000_s1026" o:spt="1" style="position:absolute;left:0pt;margin-left:-6pt;margin-top:14.85pt;height:15.6pt;width:68.25pt;z-index:-251657216;mso-width-relative:page;mso-height-relative:page;" fillcolor="#FFFFFF" filled="t" stroked="f" coordsize="21600,21600" o:gfxdata="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6FzHWNcA&#10;AAAJAQAADwAAAAAAAAABACAAAAAiAAAAZHJzL2Rvd25yZXYueG1sUEsBAhQAFAAAAAgAh07iQJmq&#10;CHauAQAAVgMAAA4AAAAAAAAAAQAgAAAAJgEAAGRycy9lMm9Eb2MueG1sUEsFBgAAAAAGAAYAWQEA&#10;AEYFAAAAAA==&#10;">
                <v:fill on="t" focussize="0,0"/>
                <v:stroke on="f"/>
                <v:imagedata o:title=""/>
                <o:lock v:ext="edit" aspectratio="f"/>
              </v:rect>
            </w:pict>
          </mc:Fallback>
        </mc:AlternateContent>
      </w:r>
      <w:r>
        <w:rPr>
          <w:rFonts w:hint="default"/>
          <w:b w:val="0"/>
          <w:bCs w:val="0"/>
          <w:sz w:val="21"/>
          <w:szCs w:val="21"/>
          <w:lang w:val="en-US" w:eastAsia="zh-CN"/>
        </w:rPr>
        <w:t>C</w:t>
      </w:r>
      <w:r>
        <w:rPr>
          <w:rFonts w:hint="default"/>
          <w:b w:val="0"/>
          <w:bCs w:val="0"/>
          <w:spacing w:val="-20"/>
          <w:sz w:val="21"/>
          <w:szCs w:val="21"/>
          <w:lang w:val="en-US" w:eastAsia="zh-CN"/>
        </w:rPr>
        <w:t xml:space="preserve">CS </w:t>
      </w:r>
      <w:r>
        <w:rPr>
          <w:rFonts w:hint="eastAsia" w:cs="Times New Roman"/>
          <w:b w:val="0"/>
          <w:bCs w:val="0"/>
          <w:spacing w:val="-20"/>
          <w:sz w:val="21"/>
          <w:szCs w:val="21"/>
          <w:lang w:val="en-US" w:eastAsia="zh-CN"/>
        </w:rPr>
        <w:t xml:space="preserve"> </w:t>
      </w:r>
      <w:r>
        <w:rPr>
          <w:rFonts w:hint="eastAsia" w:ascii="黑体" w:hAnsi="黑体" w:cs="黑体"/>
          <w:b w:val="0"/>
          <w:bCs w:val="0"/>
          <w:sz w:val="21"/>
          <w:szCs w:val="21"/>
          <w:lang w:val="en-US" w:eastAsia="zh-CN"/>
        </w:rPr>
        <w:t>B 04</w:t>
      </w:r>
      <w:r>
        <w:rPr>
          <w:rFonts w:hint="eastAsia" w:ascii="宋体" w:hAnsi="宋体"/>
          <w:lang w:val="en-US" w:eastAsia="zh-CN"/>
        </w:rPr>
        <w:t xml:space="preserve"> </w:t>
      </w: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14:paraId="59408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14:paraId="333A8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14:paraId="118EBABF">
                  <w:pPr>
                    <w:pStyle w:val="36"/>
                    <w:framePr w:w="10303" w:wrap="auto" w:vAnchor="page" w:hAnchor="page" w:x="1101" w:y="1111"/>
                    <w:jc w:val="right"/>
                    <w:rPr>
                      <w:sz w:val="112"/>
                      <w:szCs w:val="112"/>
                    </w:rPr>
                  </w:pPr>
                  <w:r>
                    <w:rPr>
                      <w:rFonts w:ascii="黑体"/>
                      <w:sz w:val="112"/>
                      <w:szCs w:val="112"/>
                    </w:rPr>
                    <mc:AlternateContent>
                      <mc:Choice Requires="wps">
                        <w:drawing>
                          <wp:anchor distT="0" distB="0" distL="0" distR="0" simplePos="0" relativeHeight="251659264" behindDoc="1" locked="0" layoutInCell="1" allowOverlap="1">
                            <wp:simplePos x="0" y="0"/>
                            <wp:positionH relativeFrom="column">
                              <wp:posOffset>-66675</wp:posOffset>
                            </wp:positionH>
                            <wp:positionV relativeFrom="paragraph">
                              <wp:posOffset>0</wp:posOffset>
                            </wp:positionV>
                            <wp:extent cx="866775" cy="198120"/>
                            <wp:effectExtent l="0" t="0" r="1905" b="0"/>
                            <wp:wrapNone/>
                            <wp:docPr id="1027" name="矩形 18"/>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ps:wsp>
                              </a:graphicData>
                            </a:graphic>
                          </wp:anchor>
                        </w:drawing>
                      </mc:Choice>
                      <mc:Fallback>
                        <w:pict>
                          <v:rect id="矩形 18" o:spid="_x0000_s1026" o:spt="1" style="position:absolute;left:0pt;margin-left:-5.25pt;margin-top:0pt;height:15.6pt;width:68.25pt;z-index:-251657216;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yK4v7NUAAAAH&#10;AQAADwAAAAAAAAABACAAAAAiAAAAZHJzL2Rvd25yZXYueG1sUEsBAhQAFAAAAAgAh07iQFCZdlGt&#10;AQAAVgMAAA4AAAAAAAAAAQAgAAAAJAEAAGRycy9lMm9Eb2MueG1sUEsFBgAAAAAGAAYAWQEAAEMF&#10;AAAAAA==&#10;">
                            <v:fill on="t" focussize="0,0"/>
                            <v:stroke on="f"/>
                            <v:imagedata o:title=""/>
                            <o:lock v:ext="edit" aspectratio="f"/>
                          </v:rect>
                        </w:pict>
                      </mc:Fallback>
                    </mc:AlternateContent>
                  </w:r>
                  <w:r>
                    <w:rPr>
                      <w:b/>
                      <w:bCs/>
                      <w:sz w:val="112"/>
                      <w:szCs w:val="112"/>
                    </w:rPr>
                    <w:t>CSF</w:t>
                  </w:r>
                </w:p>
              </w:tc>
            </w:tr>
          </w:tbl>
          <w:p w14:paraId="13D52C2F">
            <w:pPr>
              <w:pStyle w:val="36"/>
              <w:framePr w:w="10303" w:wrap="auto" w:vAnchor="page" w:hAnchor="page" w:x="1101" w:y="1111"/>
            </w:pPr>
          </w:p>
        </w:tc>
      </w:tr>
    </w:tbl>
    <w:p w14:paraId="06B0523A">
      <w:pPr>
        <w:pStyle w:val="48"/>
        <w:framePr w:w="7714" w:wrap="around" w:x="2311" w:y="3244"/>
        <w:rPr>
          <w:bCs/>
          <w:sz w:val="84"/>
          <w:szCs w:val="84"/>
        </w:rPr>
      </w:pPr>
      <w:r>
        <w:rPr>
          <w:rFonts w:hint="eastAsia" w:hAnsi="黑体" w:cs="黑体"/>
          <w:bCs/>
          <w:sz w:val="84"/>
          <w:szCs w:val="84"/>
        </w:rPr>
        <w:t>团体标准</w:t>
      </w:r>
    </w:p>
    <w:p w14:paraId="7D32E866">
      <w:pPr>
        <w:framePr w:w="9639" w:h="4897" w:hRule="exact" w:wrap="around" w:vAnchor="page" w:hAnchor="page" w:x="1241" w:y="6371" w:anchorLock="1"/>
        <w:jc w:val="center"/>
        <w:rPr>
          <w:rFonts w:ascii="黑体" w:hAnsi="黑体" w:eastAsia="黑体" w:cs="Times New Roman"/>
          <w:color w:val="000000"/>
          <w:sz w:val="52"/>
          <w:szCs w:val="52"/>
        </w:rPr>
      </w:pPr>
    </w:p>
    <w:p w14:paraId="689E62EB">
      <w:pPr>
        <w:framePr w:w="9639" w:h="4897" w:hRule="exact" w:wrap="around" w:vAnchor="page" w:hAnchor="page" w:x="1241" w:y="6371" w:anchorLock="1"/>
        <w:spacing w:line="600" w:lineRule="auto"/>
        <w:jc w:val="center"/>
        <w:rPr>
          <w:rFonts w:hint="eastAsia" w:ascii="黑体" w:hAnsi="黑体" w:eastAsia="黑体"/>
          <w:sz w:val="52"/>
          <w:szCs w:val="52"/>
          <w:lang w:eastAsia="zh-CN"/>
        </w:rPr>
      </w:pPr>
      <w:r>
        <w:rPr>
          <w:rFonts w:hint="eastAsia" w:ascii="黑体" w:hAnsi="黑体" w:eastAsia="黑体"/>
          <w:sz w:val="52"/>
          <w:szCs w:val="52"/>
        </w:rPr>
        <w:t>林下经济发展技术</w:t>
      </w:r>
      <w:r>
        <w:rPr>
          <w:rFonts w:hint="eastAsia" w:ascii="黑体" w:hAnsi="黑体" w:eastAsia="黑体"/>
          <w:sz w:val="52"/>
          <w:szCs w:val="52"/>
          <w:lang w:val="en-US" w:eastAsia="zh-CN"/>
        </w:rPr>
        <w:t>指南</w:t>
      </w:r>
    </w:p>
    <w:p w14:paraId="3976F4A5">
      <w:pPr>
        <w:framePr w:w="9639" w:h="4897" w:hRule="exact" w:wrap="around" w:vAnchor="page" w:hAnchor="page" w:x="1241" w:y="6371" w:anchorLock="1"/>
        <w:spacing w:line="600" w:lineRule="auto"/>
        <w:jc w:val="center"/>
        <w:rPr>
          <w:rFonts w:ascii="Times New Roman" w:hAnsi="Times New Roman" w:eastAsia="黑体" w:cs="Times New Roman"/>
          <w:sz w:val="28"/>
          <w:szCs w:val="28"/>
        </w:rPr>
      </w:pPr>
      <w:r>
        <w:rPr>
          <w:rFonts w:hint="default" w:ascii="Times New Roman" w:hAnsi="Times New Roman" w:eastAsia="黑体" w:cs="Times New Roman"/>
          <w:sz w:val="28"/>
          <w:szCs w:val="28"/>
        </w:rPr>
        <w:t xml:space="preserve">Technical </w:t>
      </w:r>
      <w:r>
        <w:rPr>
          <w:rFonts w:hint="eastAsia" w:ascii="Times New Roman" w:hAnsi="Times New Roman" w:eastAsia="黑体" w:cs="Times New Roman"/>
          <w:sz w:val="28"/>
          <w:szCs w:val="28"/>
          <w:lang w:eastAsia="zh-CN"/>
        </w:rPr>
        <w:t>g</w:t>
      </w:r>
      <w:r>
        <w:rPr>
          <w:rFonts w:hint="default" w:ascii="Times New Roman" w:hAnsi="Times New Roman" w:eastAsia="黑体" w:cs="Times New Roman"/>
          <w:sz w:val="28"/>
          <w:szCs w:val="28"/>
        </w:rPr>
        <w:t xml:space="preserve">uidelines for </w:t>
      </w:r>
      <w:r>
        <w:rPr>
          <w:rFonts w:hint="eastAsia" w:ascii="Times New Roman" w:hAnsi="Times New Roman" w:eastAsia="黑体" w:cs="Times New Roman"/>
          <w:sz w:val="28"/>
          <w:szCs w:val="28"/>
          <w:lang w:val="en-US" w:eastAsia="zh-CN"/>
        </w:rPr>
        <w:t>n</w:t>
      </w:r>
      <w:r>
        <w:rPr>
          <w:rFonts w:hint="default" w:ascii="Times New Roman" w:hAnsi="Times New Roman" w:eastAsia="黑体" w:cs="Times New Roman"/>
          <w:sz w:val="28"/>
          <w:szCs w:val="28"/>
          <w:lang w:val="en-US" w:eastAsia="zh-CN"/>
        </w:rPr>
        <w:t xml:space="preserve">on-timber </w:t>
      </w:r>
      <w:r>
        <w:rPr>
          <w:rFonts w:hint="eastAsia" w:ascii="Times New Roman" w:hAnsi="Times New Roman" w:eastAsia="黑体" w:cs="Times New Roman"/>
          <w:sz w:val="28"/>
          <w:szCs w:val="28"/>
          <w:lang w:val="en-US" w:eastAsia="zh-CN"/>
        </w:rPr>
        <w:t>f</w:t>
      </w:r>
      <w:r>
        <w:rPr>
          <w:rFonts w:hint="default" w:ascii="Times New Roman" w:hAnsi="Times New Roman" w:eastAsia="黑体" w:cs="Times New Roman"/>
          <w:sz w:val="28"/>
          <w:szCs w:val="28"/>
          <w:lang w:val="en-US" w:eastAsia="zh-CN"/>
        </w:rPr>
        <w:t xml:space="preserve">orest-based </w:t>
      </w:r>
      <w:r>
        <w:rPr>
          <w:rFonts w:hint="eastAsia" w:ascii="Times New Roman" w:hAnsi="Times New Roman" w:eastAsia="黑体" w:cs="Times New Roman"/>
          <w:sz w:val="28"/>
          <w:szCs w:val="28"/>
          <w:lang w:val="en-US" w:eastAsia="zh-CN"/>
        </w:rPr>
        <w:t>e</w:t>
      </w:r>
      <w:r>
        <w:rPr>
          <w:rFonts w:hint="default" w:ascii="Times New Roman" w:hAnsi="Times New Roman" w:eastAsia="黑体" w:cs="Times New Roman"/>
          <w:sz w:val="28"/>
          <w:szCs w:val="28"/>
        </w:rPr>
        <w:t xml:space="preserve">conomy </w:t>
      </w:r>
      <w:r>
        <w:rPr>
          <w:rFonts w:hint="eastAsia" w:ascii="Times New Roman" w:hAnsi="Times New Roman" w:eastAsia="黑体" w:cs="Times New Roman"/>
          <w:sz w:val="28"/>
          <w:szCs w:val="28"/>
          <w:lang w:eastAsia="zh-CN"/>
        </w:rPr>
        <w:t>d</w:t>
      </w:r>
      <w:r>
        <w:rPr>
          <w:rFonts w:hint="default" w:ascii="Times New Roman" w:hAnsi="Times New Roman" w:eastAsia="黑体" w:cs="Times New Roman"/>
          <w:sz w:val="28"/>
          <w:szCs w:val="28"/>
        </w:rPr>
        <w:t>evelopment</w:t>
      </w:r>
    </w:p>
    <w:p w14:paraId="7DCD138E">
      <w:pPr>
        <w:framePr w:w="9639" w:h="4897" w:hRule="exact" w:wrap="around" w:vAnchor="page" w:hAnchor="page" w:x="1241" w:y="6371" w:anchorLock="1"/>
        <w:jc w:val="center"/>
        <w:rPr>
          <w:rFonts w:hint="eastAsia" w:eastAsia="宋体"/>
          <w:color w:val="000000"/>
          <w:sz w:val="32"/>
          <w:szCs w:val="32"/>
          <w:lang w:eastAsia="zh-CN"/>
        </w:rPr>
      </w:pPr>
      <w:r>
        <w:rPr>
          <w:rFonts w:hint="eastAsia"/>
          <w:color w:val="000000"/>
          <w:sz w:val="32"/>
          <w:szCs w:val="32"/>
          <w:lang w:eastAsia="zh-CN"/>
        </w:rPr>
        <w:t>（报批稿）</w:t>
      </w:r>
    </w:p>
    <w:p w14:paraId="7E9B11F3">
      <w:pPr>
        <w:rPr>
          <w:szCs w:val="20"/>
        </w:rPr>
      </w:pP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tblGrid>
      <w:tr w14:paraId="5CF5C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14:paraId="5880368C">
            <w:pPr>
              <w:pStyle w:val="49"/>
              <w:framePr w:wrap="around" w:x="1601" w:y="4546"/>
              <w:ind w:left="420"/>
              <w:rPr>
                <w:rFonts w:hAnsi="黑体" w:cs="黑体"/>
                <w:bCs/>
              </w:rPr>
            </w:pPr>
            <w:bookmarkStart w:id="1" w:name="DT"/>
            <w:r>
              <w:rPr>
                <w:rFonts w:hAnsi="黑体" w:cs="黑体"/>
                <w:bCs/>
              </w:rPr>
              <mc:AlternateContent>
                <mc:Choice Requires="wps">
                  <w:drawing>
                    <wp:anchor distT="0" distB="0" distL="0" distR="0" simplePos="0" relativeHeight="251659264" behindDoc="0" locked="0" layoutInCell="1" allowOverlap="1">
                      <wp:simplePos x="0" y="0"/>
                      <wp:positionH relativeFrom="column">
                        <wp:posOffset>-172085</wp:posOffset>
                      </wp:positionH>
                      <wp:positionV relativeFrom="paragraph">
                        <wp:posOffset>519430</wp:posOffset>
                      </wp:positionV>
                      <wp:extent cx="6120130" cy="0"/>
                      <wp:effectExtent l="0" t="6350" r="0" b="6350"/>
                      <wp:wrapNone/>
                      <wp:docPr id="1028" name="直接连接符 4"/>
                      <wp:cNvGraphicFramePr/>
                      <a:graphic xmlns:a="http://schemas.openxmlformats.org/drawingml/2006/main">
                        <a:graphicData uri="http://schemas.microsoft.com/office/word/2010/wordprocessingShape">
                          <wps:wsp>
                            <wps:cNvCnPr/>
                            <wps:spPr>
                              <a:xfrm>
                                <a:off x="0" y="0"/>
                                <a:ext cx="6120130" cy="0"/>
                              </a:xfrm>
                              <a:prstGeom prst="line">
                                <a:avLst/>
                              </a:prstGeom>
                              <a:ln w="12700" cap="flat" cmpd="sng">
                                <a:solidFill>
                                  <a:srgbClr val="000000"/>
                                </a:solidFill>
                                <a:prstDash val="solid"/>
                                <a:round/>
                              </a:ln>
                            </wps:spPr>
                            <wps:bodyPr/>
                          </wps:wsp>
                        </a:graphicData>
                      </a:graphic>
                    </wp:anchor>
                  </w:drawing>
                </mc:Choice>
                <mc:Fallback>
                  <w:pict>
                    <v:line id="直接连接符 4" o:spid="_x0000_s1026" o:spt="20" style="position:absolute;left:0pt;margin-left:-13.55pt;margin-top:40.9pt;height:0pt;width:481.9pt;z-index:251659264;mso-width-relative:page;mso-height-relative:page;" filled="f" stroked="t" coordsize="21600,21600" o:gfxdata="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g1qDo9gAAAAJAQAADwAAAAAAAAABACAAAAAi&#10;AAAAZHJzL2Rvd25yZXYueG1sUEsBAhQAFAAAAAgAh07iQDqxeiTRAQAAkgMAAA4AAAAAAAAAAQAg&#10;AAAAJwEAAGRycy9lMm9Eb2MueG1sUEsFBgAAAAAGAAYAWQEAAGoFAAAAAA==&#10;">
                      <v:fill on="f" focussize="0,0"/>
                      <v:stroke weight="1pt" color="#000000" joinstyle="round"/>
                      <v:imagedata o:title=""/>
                      <o:lock v:ext="edit" aspectratio="f"/>
                    </v:line>
                  </w:pict>
                </mc:Fallback>
              </mc:AlternateContent>
            </w:r>
            <w:r>
              <w:rPr>
                <w:rFonts w:hAnsi="黑体" w:cs="黑体"/>
                <w:bCs/>
              </w:rPr>
              <w:t>T/CSF</w:t>
            </w:r>
            <w:r>
              <w:rPr>
                <w:rFonts w:hAnsi="黑体" w:cs="黑体"/>
                <w:bCs/>
              </w:rPr>
              <mc:AlternateContent>
                <mc:Choice Requires="wps">
                  <w:drawing>
                    <wp:anchor distT="0" distB="0" distL="0" distR="0" simplePos="0" relativeHeight="251659264" behindDoc="1" locked="0" layoutInCell="1" allowOverlap="1">
                      <wp:simplePos x="0" y="0"/>
                      <wp:positionH relativeFrom="column">
                        <wp:posOffset>4734560</wp:posOffset>
                      </wp:positionH>
                      <wp:positionV relativeFrom="paragraph">
                        <wp:posOffset>34290</wp:posOffset>
                      </wp:positionV>
                      <wp:extent cx="1143000" cy="228600"/>
                      <wp:effectExtent l="0" t="0" r="0" b="0"/>
                      <wp:wrapNone/>
                      <wp:docPr id="1029" name="矩形 3"/>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ps:wsp>
                        </a:graphicData>
                      </a:graphic>
                    </wp:anchor>
                  </w:drawing>
                </mc:Choice>
                <mc:Fallback>
                  <w:pict>
                    <v:rect id="矩形 3" o:spid="_x0000_s1026" o:spt="1" style="position:absolute;left:0pt;margin-left:372.8pt;margin-top:2.7pt;height:18pt;width:90pt;z-index:-251657216;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B5g8svWAAAACAEA&#10;AA8AAAAAAAAAAQAgAAAAIgAAAGRycy9kb3ducmV2LnhtbFBLAQIUABQAAAAIAIdO4kB5lrIlqgEA&#10;AFYDAAAOAAAAAAAAAAEAIAAAACUBAABkcnMvZTJvRG9jLnhtbFBLBQYAAAAABgAGAFkBAABBBQAA&#10;AAA=&#10;">
                      <v:fill on="t" focussize="0,0"/>
                      <v:stroke on="f"/>
                      <v:imagedata o:title=""/>
                      <o:lock v:ext="edit" aspectratio="f"/>
                    </v:rect>
                  </w:pict>
                </mc:Fallback>
              </mc:AlternateContent>
            </w:r>
            <w:bookmarkEnd w:id="1"/>
            <w:r>
              <w:rPr>
                <w:rFonts w:hint="eastAsia" w:hAnsi="黑体" w:cs="黑体"/>
                <w:bCs/>
              </w:rPr>
              <w:t xml:space="preserve"> </w:t>
            </w:r>
            <w:r>
              <w:rPr>
                <w:rFonts w:hAnsi="黑体" w:cs="黑体"/>
                <w:bCs/>
              </w:rPr>
              <w:t>×××</w:t>
            </w:r>
            <w:r>
              <w:rPr>
                <w:rFonts w:hint="eastAsia" w:hAnsi="黑体" w:cs="黑体"/>
                <w:bCs/>
              </w:rPr>
              <w:t>—</w:t>
            </w:r>
            <w:r>
              <w:rPr>
                <w:rFonts w:hAnsi="黑体" w:cs="黑体"/>
                <w:bCs/>
              </w:rPr>
              <w:t>××××</w:t>
            </w:r>
          </w:p>
        </w:tc>
      </w:tr>
    </w:tbl>
    <w:p w14:paraId="379669E2"/>
    <w:p w14:paraId="0E2506B7"/>
    <w:p w14:paraId="48B33742">
      <w:r>
        <mc:AlternateContent>
          <mc:Choice Requires="wps">
            <w:drawing>
              <wp:anchor distT="0" distB="0" distL="0" distR="0" simplePos="0" relativeHeight="251659264" behindDoc="0" locked="0" layoutInCell="1" allowOverlap="1">
                <wp:simplePos x="0" y="0"/>
                <wp:positionH relativeFrom="column">
                  <wp:posOffset>1548130</wp:posOffset>
                </wp:positionH>
                <wp:positionV relativeFrom="paragraph">
                  <wp:posOffset>7267575</wp:posOffset>
                </wp:positionV>
                <wp:extent cx="1983740" cy="446405"/>
                <wp:effectExtent l="0" t="0" r="12700" b="10795"/>
                <wp:wrapNone/>
                <wp:docPr id="1030" name="文本框 23"/>
                <wp:cNvGraphicFramePr/>
                <a:graphic xmlns:a="http://schemas.openxmlformats.org/drawingml/2006/main">
                  <a:graphicData uri="http://schemas.microsoft.com/office/word/2010/wordprocessingShape">
                    <wps:wsp>
                      <wps:cNvSpPr/>
                      <wps:spPr>
                        <a:xfrm>
                          <a:off x="0" y="0"/>
                          <a:ext cx="1983740" cy="446405"/>
                        </a:xfrm>
                        <a:prstGeom prst="rect">
                          <a:avLst/>
                        </a:prstGeom>
                        <a:solidFill>
                          <a:srgbClr val="FFFFFF"/>
                        </a:solidFill>
                        <a:ln>
                          <a:noFill/>
                        </a:ln>
                      </wps:spPr>
                      <wps:txbx>
                        <w:txbxContent>
                          <w:p w14:paraId="40B0BA99">
                            <w:pPr>
                              <w:rPr>
                                <w:rFonts w:ascii="黑体" w:hAnsi="黑体" w:eastAsia="黑体"/>
                                <w:sz w:val="28"/>
                              </w:rPr>
                            </w:pPr>
                            <w:r>
                              <w:rPr>
                                <w:rFonts w:hint="eastAsia" w:ascii="黑体" w:hAnsi="黑体" w:eastAsia="黑体"/>
                                <w:sz w:val="28"/>
                              </w:rPr>
                              <w:t>2018—xx-xx 发布</w:t>
                            </w:r>
                          </w:p>
                        </w:txbxContent>
                      </wps:txbx>
                      <wps:bodyPr vert="horz" wrap="square" lIns="91440" tIns="45720" rIns="91440" bIns="45720" anchor="t" upright="1">
                        <a:noAutofit/>
                      </wps:bodyPr>
                    </wps:wsp>
                  </a:graphicData>
                </a:graphic>
              </wp:anchor>
            </w:drawing>
          </mc:Choice>
          <mc:Fallback>
            <w:pict>
              <v:rect id="文本框 23" o:spid="_x0000_s1026" o:spt="1" style="position:absolute;left:0pt;margin-left:121.9pt;margin-top:572.25pt;height:35.15pt;width:156.2pt;z-index:251659264;mso-width-relative:page;mso-height-relative:page;" fillcolor="#FFFFFF" filled="t" stroked="f" coordsize="21600,21600" o:gfxdata="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6lzwC2gAAAA0BAAAPAAAAAAAAAAEAIAAAACIAAABkcnMvZG93bnJldi54&#10;bWxQSwECFAAUAAAACACHTuJAGh79wfgBAADkAwAADgAAAAAAAAABACAAAAApAQAAZHJzL2Uyb0Rv&#10;Yy54bWxQSwUGAAAAAAYABgBZAQAAkwUAAAAA&#10;">
                <v:fill on="t" focussize="0,0"/>
                <v:stroke on="f"/>
                <v:imagedata o:title=""/>
                <o:lock v:ext="edit" aspectratio="f"/>
                <v:textbox>
                  <w:txbxContent>
                    <w:p w14:paraId="40B0BA99">
                      <w:pPr>
                        <w:rPr>
                          <w:rFonts w:ascii="黑体" w:hAnsi="黑体" w:eastAsia="黑体"/>
                          <w:sz w:val="28"/>
                        </w:rPr>
                      </w:pPr>
                      <w:r>
                        <w:rPr>
                          <w:rFonts w:hint="eastAsia" w:ascii="黑体" w:hAnsi="黑体" w:eastAsia="黑体"/>
                          <w:sz w:val="28"/>
                        </w:rPr>
                        <w:t>2018—xx-xx 发布</w:t>
                      </w:r>
                    </w:p>
                  </w:txbxContent>
                </v:textbox>
              </v:rect>
            </w:pict>
          </mc:Fallback>
        </mc:AlternateContent>
      </w:r>
    </w:p>
    <w:p w14:paraId="20E1D3F2">
      <w:r>
        <mc:AlternateContent>
          <mc:Choice Requires="wps">
            <w:drawing>
              <wp:anchor distT="0" distB="0" distL="0" distR="0" simplePos="0" relativeHeight="251659264" behindDoc="0" locked="0" layoutInCell="1" allowOverlap="1">
                <wp:simplePos x="0" y="0"/>
                <wp:positionH relativeFrom="column">
                  <wp:posOffset>-42545</wp:posOffset>
                </wp:positionH>
                <wp:positionV relativeFrom="paragraph">
                  <wp:posOffset>4705985</wp:posOffset>
                </wp:positionV>
                <wp:extent cx="6120130" cy="0"/>
                <wp:effectExtent l="0" t="6350" r="0" b="6350"/>
                <wp:wrapNone/>
                <wp:docPr id="1031" name="直接箭头连接符 14"/>
                <wp:cNvGraphicFramePr/>
                <a:graphic xmlns:a="http://schemas.openxmlformats.org/drawingml/2006/main">
                  <a:graphicData uri="http://schemas.microsoft.com/office/word/2010/wordprocessingShape">
                    <wps:wsp>
                      <wps:cNvCnPr/>
                      <wps:spPr>
                        <a:xfrm>
                          <a:off x="0" y="0"/>
                          <a:ext cx="6120130" cy="0"/>
                        </a:xfrm>
                        <a:prstGeom prst="straightConnector1">
                          <a:avLst/>
                        </a:prstGeom>
                        <a:ln w="12700" cap="flat" cmpd="sng">
                          <a:solidFill>
                            <a:srgbClr val="000000"/>
                          </a:solidFill>
                          <a:prstDash val="solid"/>
                          <a:round/>
                        </a:ln>
                      </wps:spPr>
                      <wps:bodyPr/>
                    </wps:wsp>
                  </a:graphicData>
                </a:graphic>
              </wp:anchor>
            </w:drawing>
          </mc:Choice>
          <mc:Fallback>
            <w:pict>
              <v:shape id="直接箭头连接符 14" o:spid="_x0000_s1026" o:spt="32" type="#_x0000_t32" style="position:absolute;left:0pt;margin-left:-3.35pt;margin-top:370.55pt;height:0pt;width:481.9pt;z-index:251659264;mso-width-relative:page;mso-height-relative:page;" filled="f" stroked="t" coordsize="21600,21600" o:gfxdata="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0qUafUAAAACgEAAA8A&#10;AAAAAAAAAQAgAAAAIgAAAGRycy9kb3ducmV2LnhtbFBLAQIUABQAAAAIAIdO4kA+GbiM4gEAAKcD&#10;AAAOAAAAAAAAAAEAIAAAACMBAABkcnMvZTJvRG9jLnhtbFBLBQYAAAAABgAGAFkBAAB3BQAAAAA=&#10;">
                <v:fill on="f" focussize="0,0"/>
                <v:stroke weight="1pt" color="#000000" joinstyle="round"/>
                <v:imagedata o:title=""/>
                <o:lock v:ext="edit" aspectratio="f"/>
              </v:shape>
            </w:pict>
          </mc:Fallback>
        </mc:AlternateContent>
      </w:r>
    </w:p>
    <w:p w14:paraId="7994DDE8"/>
    <w:p w14:paraId="1F58EEEB">
      <w:r>
        <mc:AlternateContent>
          <mc:Choice Requires="wps">
            <w:drawing>
              <wp:anchor distT="0" distB="0" distL="0" distR="0" simplePos="0" relativeHeight="251659264" behindDoc="0" locked="0" layoutInCell="1" allowOverlap="1">
                <wp:simplePos x="0" y="0"/>
                <wp:positionH relativeFrom="column">
                  <wp:posOffset>4410075</wp:posOffset>
                </wp:positionH>
                <wp:positionV relativeFrom="paragraph">
                  <wp:posOffset>60325</wp:posOffset>
                </wp:positionV>
                <wp:extent cx="1840230" cy="401955"/>
                <wp:effectExtent l="0" t="0" r="3810" b="9525"/>
                <wp:wrapNone/>
                <wp:docPr id="1032" name="文本框 25"/>
                <wp:cNvGraphicFramePr/>
                <a:graphic xmlns:a="http://schemas.openxmlformats.org/drawingml/2006/main">
                  <a:graphicData uri="http://schemas.microsoft.com/office/word/2010/wordprocessingShape">
                    <wps:wsp>
                      <wps:cNvSpPr/>
                      <wps:spPr>
                        <a:xfrm>
                          <a:off x="0" y="0"/>
                          <a:ext cx="1840230" cy="401955"/>
                        </a:xfrm>
                        <a:prstGeom prst="rect">
                          <a:avLst/>
                        </a:prstGeom>
                        <a:solidFill>
                          <a:srgbClr val="FFFFFF"/>
                        </a:solidFill>
                        <a:ln>
                          <a:noFill/>
                        </a:ln>
                      </wps:spPr>
                      <wps:txbx>
                        <w:txbxContent>
                          <w:p w14:paraId="7C7B7648">
                            <w:pPr>
                              <w:rPr>
                                <w:rFonts w:ascii="黑体" w:hAnsi="黑体" w:eastAsia="黑体"/>
                                <w:b/>
                                <w:sz w:val="28"/>
                              </w:rPr>
                            </w:pPr>
                            <w:r>
                              <w:rPr>
                                <w:rFonts w:ascii="黑体" w:hAnsi="黑体" w:eastAsia="黑体" w:cs="Arial"/>
                                <w:sz w:val="28"/>
                              </w:rPr>
                              <w:t>xxxx -xx-xx</w:t>
                            </w:r>
                            <w:r>
                              <w:rPr>
                                <w:rFonts w:hint="eastAsia" w:ascii="黑体" w:hAnsi="黑体" w:eastAsia="黑体"/>
                                <w:sz w:val="28"/>
                              </w:rPr>
                              <w:t xml:space="preserve"> 实施</w:t>
                            </w:r>
                          </w:p>
                          <w:p w14:paraId="2BC367F5"/>
                        </w:txbxContent>
                      </wps:txbx>
                      <wps:bodyPr upright="1"/>
                    </wps:wsp>
                  </a:graphicData>
                </a:graphic>
              </wp:anchor>
            </w:drawing>
          </mc:Choice>
          <mc:Fallback>
            <w:pict>
              <v:rect id="文本框 25" o:spid="_x0000_s1026" o:spt="1" style="position:absolute;left:0pt;margin-left:347.25pt;margin-top:4.75pt;height:31.65pt;width:144.9pt;z-index:251659264;mso-width-relative:page;mso-height-relative:page;" fillcolor="#FFFFFF" filled="t" stroked="f" coordsize="21600,21600" o:gfxdata="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TAMx+1wAAAAgBAAAPAAAAAAAAAAEAIAAAACIAAABkcnMvZG93bnJldi54bWxQ&#10;SwECFAAUAAAACACHTuJAjuNNzL8BAABxAwAADgAAAAAAAAABACAAAAAmAQAAZHJzL2Uyb0RvYy54&#10;bWxQSwUGAAAAAAYABgBZAQAAVwUAAAAA&#10;">
                <v:fill on="t" focussize="0,0"/>
                <v:stroke on="f"/>
                <v:imagedata o:title=""/>
                <o:lock v:ext="edit" aspectratio="f"/>
                <v:textbox>
                  <w:txbxContent>
                    <w:p w14:paraId="7C7B7648">
                      <w:pPr>
                        <w:rPr>
                          <w:rFonts w:ascii="黑体" w:hAnsi="黑体" w:eastAsia="黑体"/>
                          <w:b/>
                          <w:sz w:val="28"/>
                        </w:rPr>
                      </w:pPr>
                      <w:r>
                        <w:rPr>
                          <w:rFonts w:ascii="黑体" w:hAnsi="黑体" w:eastAsia="黑体" w:cs="Arial"/>
                          <w:sz w:val="28"/>
                        </w:rPr>
                        <w:t>xxxx -xx-xx</w:t>
                      </w:r>
                      <w:r>
                        <w:rPr>
                          <w:rFonts w:hint="eastAsia" w:ascii="黑体" w:hAnsi="黑体" w:eastAsia="黑体"/>
                          <w:sz w:val="28"/>
                        </w:rPr>
                        <w:t xml:space="preserve"> 实施</w:t>
                      </w:r>
                    </w:p>
                    <w:p w14:paraId="2BC367F5"/>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-26035</wp:posOffset>
                </wp:positionH>
                <wp:positionV relativeFrom="paragraph">
                  <wp:posOffset>60325</wp:posOffset>
                </wp:positionV>
                <wp:extent cx="1840230" cy="492125"/>
                <wp:effectExtent l="0" t="0" r="3810" b="10795"/>
                <wp:wrapNone/>
                <wp:docPr id="1033" name="文本框 24"/>
                <wp:cNvGraphicFramePr/>
                <a:graphic xmlns:a="http://schemas.openxmlformats.org/drawingml/2006/main">
                  <a:graphicData uri="http://schemas.microsoft.com/office/word/2010/wordprocessingShape">
                    <wps:wsp>
                      <wps:cNvSpPr/>
                      <wps:spPr>
                        <a:xfrm>
                          <a:off x="0" y="0"/>
                          <a:ext cx="1840230" cy="492124"/>
                        </a:xfrm>
                        <a:prstGeom prst="rect">
                          <a:avLst/>
                        </a:prstGeom>
                        <a:solidFill>
                          <a:srgbClr val="FFFFFF"/>
                        </a:solidFill>
                        <a:ln>
                          <a:noFill/>
                        </a:ln>
                      </wps:spPr>
                      <wps:txbx>
                        <w:txbxContent>
                          <w:p w14:paraId="19F37BBE">
                            <w:pPr>
                              <w:rPr>
                                <w:rFonts w:ascii="黑体" w:hAnsi="黑体" w:eastAsia="黑体"/>
                                <w:sz w:val="28"/>
                              </w:rPr>
                            </w:pPr>
                            <w:r>
                              <w:rPr>
                                <w:rFonts w:ascii="黑体" w:hAnsi="黑体" w:eastAsia="黑体" w:cs="Arial"/>
                                <w:sz w:val="28"/>
                              </w:rPr>
                              <w:t>xxxx -xx-xx</w:t>
                            </w:r>
                            <w:r>
                              <w:rPr>
                                <w:rFonts w:hint="eastAsia" w:ascii="黑体" w:hAnsi="黑体" w:eastAsia="黑体"/>
                                <w:sz w:val="28"/>
                              </w:rPr>
                              <w:t xml:space="preserve"> 发布</w:t>
                            </w:r>
                          </w:p>
                          <w:p w14:paraId="4CFB25D4"/>
                        </w:txbxContent>
                      </wps:txbx>
                      <wps:bodyPr upright="1"/>
                    </wps:wsp>
                  </a:graphicData>
                </a:graphic>
              </wp:anchor>
            </w:drawing>
          </mc:Choice>
          <mc:Fallback>
            <w:pict>
              <v:rect id="文本框 24" o:spid="_x0000_s1026" o:spt="1" style="position:absolute;left:0pt;margin-left:-2.05pt;margin-top:4.75pt;height:38.75pt;width:144.9pt;z-index:251659264;mso-width-relative:page;mso-height-relative:page;" fillcolor="#FFFFFF" filled="t" stroked="f" coordsize="21600,21600" o:gfxdata="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UtQN9YAAAAHAQAADwAAAAAAAAABACAAAAAiAAAAZHJzL2Rvd25yZXYueG1sUEsB&#10;AhQAFAAAAAgAh07iQF0ZF8++AQAAcQMAAA4AAAAAAAAAAQAgAAAAJQEAAGRycy9lMm9Eb2MueG1s&#10;UEsFBgAAAAAGAAYAWQEAAFUFAAAAAA==&#10;">
                <v:fill on="t" focussize="0,0"/>
                <v:stroke on="f"/>
                <v:imagedata o:title=""/>
                <o:lock v:ext="edit" aspectratio="f"/>
                <v:textbox>
                  <w:txbxContent>
                    <w:p w14:paraId="19F37BBE">
                      <w:pPr>
                        <w:rPr>
                          <w:rFonts w:ascii="黑体" w:hAnsi="黑体" w:eastAsia="黑体"/>
                          <w:sz w:val="28"/>
                        </w:rPr>
                      </w:pPr>
                      <w:r>
                        <w:rPr>
                          <w:rFonts w:ascii="黑体" w:hAnsi="黑体" w:eastAsia="黑体" w:cs="Arial"/>
                          <w:sz w:val="28"/>
                        </w:rPr>
                        <w:t>xxxx -xx-xx</w:t>
                      </w:r>
                      <w:r>
                        <w:rPr>
                          <w:rFonts w:hint="eastAsia" w:ascii="黑体" w:hAnsi="黑体" w:eastAsia="黑体"/>
                          <w:sz w:val="28"/>
                        </w:rPr>
                        <w:t xml:space="preserve"> 发布</w:t>
                      </w:r>
                    </w:p>
                    <w:p w14:paraId="4CFB25D4"/>
                  </w:txbxContent>
                </v:textbox>
              </v:rect>
            </w:pict>
          </mc:Fallback>
        </mc:AlternateContent>
      </w:r>
    </w:p>
    <w:p w14:paraId="2667148E"/>
    <w:p w14:paraId="4141B865"/>
    <w:p w14:paraId="2A3B1F15">
      <w:r>
        <w:rPr>
          <w:rFonts w:ascii="Times New Roman" w:hAnsi="Times New Roman" w:cs="Times New Roman"/>
          <w:b/>
          <w:color w:val="000000"/>
          <w:sz w:val="48"/>
          <w:szCs w:val="48"/>
        </w:rPr>
        <mc:AlternateContent>
          <mc:Choice Requires="wps">
            <w:drawing>
              <wp:anchor distT="0" distB="0" distL="0" distR="0" simplePos="0" relativeHeight="251659264" behindDoc="0" locked="0" layoutInCell="1" allowOverlap="1">
                <wp:simplePos x="0" y="0"/>
                <wp:positionH relativeFrom="column">
                  <wp:posOffset>321945</wp:posOffset>
                </wp:positionH>
                <wp:positionV relativeFrom="paragraph">
                  <wp:posOffset>33020</wp:posOffset>
                </wp:positionV>
                <wp:extent cx="5509895" cy="515620"/>
                <wp:effectExtent l="0" t="0" r="6985" b="2540"/>
                <wp:wrapNone/>
                <wp:docPr id="1034" name="文本框 28"/>
                <wp:cNvGraphicFramePr/>
                <a:graphic xmlns:a="http://schemas.openxmlformats.org/drawingml/2006/main">
                  <a:graphicData uri="http://schemas.microsoft.com/office/word/2010/wordprocessingShape">
                    <wps:wsp>
                      <wps:cNvSpPr/>
                      <wps:spPr>
                        <a:xfrm>
                          <a:off x="0" y="0"/>
                          <a:ext cx="5509895" cy="515620"/>
                        </a:xfrm>
                        <a:prstGeom prst="rect">
                          <a:avLst/>
                        </a:prstGeom>
                        <a:solidFill>
                          <a:srgbClr val="FFFFFF"/>
                        </a:solidFill>
                        <a:ln>
                          <a:noFill/>
                        </a:ln>
                      </wps:spPr>
                      <wps:txbx>
                        <w:txbxContent>
                          <w:p w14:paraId="6B5AE6E5">
                            <w:pPr>
                              <w:jc w:val="cente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txbxContent>
                      </wps:txbx>
                      <wps:bodyPr upright="1"/>
                    </wps:wsp>
                  </a:graphicData>
                </a:graphic>
              </wp:anchor>
            </w:drawing>
          </mc:Choice>
          <mc:Fallback>
            <w:pict>
              <v:rect id="文本框 28" o:spid="_x0000_s1026" o:spt="1" style="position:absolute;left:0pt;margin-left:25.35pt;margin-top:2.6pt;height:40.6pt;width:433.85pt;z-index:251659264;mso-width-relative:page;mso-height-relative:page;" fillcolor="#FFFFFF" filled="t" stroked="f" coordsize="21600,21600" o:gfxdata="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Jt3JnVAAAABwEAAA8AAAAAAAAAAQAgAAAAIgAAAGRycy9kb3ducmV2LnhtbFBL&#10;AQIUABQAAAAIAIdO4kCd/vinwAEAAHEDAAAOAAAAAAAAAAEAIAAAACQBAABkcnMvZTJvRG9jLnht&#10;bFBLBQYAAAAABgAGAFkBAABWBQAAAAA=&#10;">
                <v:fill on="t" focussize="0,0"/>
                <v:stroke on="f"/>
                <v:imagedata o:title=""/>
                <o:lock v:ext="edit" aspectratio="f"/>
                <v:textbox>
                  <w:txbxContent>
                    <w:p w14:paraId="6B5AE6E5">
                      <w:pPr>
                        <w:jc w:val="cente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txbxContent>
                </v:textbox>
              </v:rect>
            </w:pict>
          </mc:Fallback>
        </mc:AlternateContent>
      </w:r>
    </w:p>
    <w:p w14:paraId="556E4A8B">
      <w:r>
        <mc:AlternateContent>
          <mc:Choice Requires="wps">
            <w:drawing>
              <wp:anchor distT="0" distB="0" distL="0" distR="0" simplePos="0" relativeHeight="251659264" behindDoc="0" locked="0" layoutInCell="1" allowOverlap="1">
                <wp:simplePos x="0" y="0"/>
                <wp:positionH relativeFrom="column">
                  <wp:posOffset>-26035</wp:posOffset>
                </wp:positionH>
                <wp:positionV relativeFrom="paragraph">
                  <wp:posOffset>-274955</wp:posOffset>
                </wp:positionV>
                <wp:extent cx="6120130" cy="0"/>
                <wp:effectExtent l="0" t="6350" r="0" b="6350"/>
                <wp:wrapNone/>
                <wp:docPr id="1035" name="自选图形 9"/>
                <wp:cNvGraphicFramePr/>
                <a:graphic xmlns:a="http://schemas.openxmlformats.org/drawingml/2006/main">
                  <a:graphicData uri="http://schemas.microsoft.com/office/word/2010/wordprocessingShape">
                    <wps:wsp>
                      <wps:cNvCnPr/>
                      <wps:spPr>
                        <a:xfrm>
                          <a:off x="0" y="0"/>
                          <a:ext cx="6120130" cy="0"/>
                        </a:xfrm>
                        <a:prstGeom prst="straightConnector1">
                          <a:avLst/>
                        </a:prstGeom>
                        <a:ln w="12700" cap="flat" cmpd="sng">
                          <a:solidFill>
                            <a:srgbClr val="000000"/>
                          </a:solidFill>
                          <a:prstDash val="solid"/>
                          <a:round/>
                          <a:headEnd type="none" w="med" len="med"/>
                          <a:tailEnd type="none" w="med" len="med"/>
                        </a:ln>
                      </wps:spPr>
                      <wps:bodyPr/>
                    </wps:wsp>
                  </a:graphicData>
                </a:graphic>
              </wp:anchor>
            </w:drawing>
          </mc:Choice>
          <mc:Fallback>
            <w:pict>
              <v:shape id="自选图形 9" o:spid="_x0000_s1026" o:spt="32" type="#_x0000_t32" style="position:absolute;left:0pt;margin-left:-2.05pt;margin-top:-21.65pt;height:0pt;width:481.9pt;z-index:251659264;mso-width-relative:page;mso-height-relative:page;" filled="f" stroked="t" coordsize="21600,21600" o:gfxdata="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R2GUF1QAAAAoBAAAPAAAAAAAAAAEAIAAAACIAAABkcnMvZG93bnJldi54bWxQ&#10;SwECFAAUAAAACACHTuJAAGHr9voBAADxAwAADgAAAAAAAAABACAAAAAkAQAAZHJzL2Uyb0RvYy54&#10;bWxQSwUGAAAAAAYABgBZAQAAkAUAAAAA&#10;">
                <v:fill on="f" focussize="0,0"/>
                <v:stroke weight="1pt" color="#000000" joinstyle="round"/>
                <v:imagedata o:title=""/>
                <o:lock v:ext="edit" aspectratio="f"/>
              </v:shape>
            </w:pict>
          </mc:Fallback>
        </mc:AlternateContent>
      </w:r>
    </w:p>
    <w:p w14:paraId="23681785">
      <w:pPr>
        <w:rPr>
          <w:rFonts w:ascii="Times New Roman" w:hAnsi="Times New Roman" w:cs="Times New Roman"/>
          <w:b/>
          <w:color w:val="000000"/>
          <w:sz w:val="48"/>
          <w:szCs w:val="48"/>
        </w:rPr>
        <w:sectPr>
          <w:headerReference r:id="rId5" w:type="first"/>
          <w:headerReference r:id="rId3" w:type="default"/>
          <w:footerReference r:id="rId6" w:type="default"/>
          <w:headerReference r:id="rId4" w:type="even"/>
          <w:footerReference r:id="rId7" w:type="even"/>
          <w:pgSz w:w="11906" w:h="16838"/>
          <w:pgMar w:top="567" w:right="1134" w:bottom="1134" w:left="1418" w:header="851" w:footer="992" w:gutter="0"/>
          <w:pgNumType w:start="1"/>
          <w:cols w:space="425" w:num="1"/>
          <w:titlePg/>
          <w:docGrid w:type="lines" w:linePitch="312" w:charSpace="0"/>
        </w:sectPr>
      </w:pPr>
    </w:p>
    <w:p w14:paraId="7D49189E">
      <w:pPr>
        <w:pStyle w:val="35"/>
        <w:tabs>
          <w:tab w:val="left" w:pos="323"/>
          <w:tab w:val="center" w:pos="4677"/>
        </w:tabs>
        <w:rPr>
          <w:rFonts w:hAnsi="黑体"/>
          <w:szCs w:val="32"/>
        </w:rPr>
      </w:pPr>
      <w:bookmarkStart w:id="2" w:name="_Toc6419"/>
      <w:bookmarkStart w:id="3" w:name="_Toc4046"/>
      <w:r>
        <w:rPr>
          <w:rFonts w:hint="eastAsia" w:hAnsi="黑体"/>
          <w:szCs w:val="32"/>
        </w:rPr>
        <w:t>目    次</w:t>
      </w:r>
      <w:bookmarkEnd w:id="2"/>
      <w:bookmarkEnd w:id="3"/>
    </w:p>
    <w:p w14:paraId="4BCD5F37">
      <w:pPr>
        <w:pStyle w:val="16"/>
        <w:tabs>
          <w:tab w:val="right" w:leader="dot" w:pos="9354"/>
        </w:tabs>
      </w:pPr>
      <w:r>
        <w:rPr>
          <w:rFonts w:ascii="宋体" w:hAnsi="宋体" w:eastAsia="宋体"/>
          <w:szCs w:val="21"/>
        </w:rPr>
        <w:fldChar w:fldCharType="begin"/>
      </w:r>
      <w:r>
        <w:rPr>
          <w:rFonts w:ascii="宋体" w:hAnsi="宋体" w:eastAsia="宋体"/>
          <w:szCs w:val="21"/>
        </w:rPr>
        <w:instrText xml:space="preserve">TOC \o "1-1" \h \u </w:instrText>
      </w:r>
      <w:r>
        <w:rPr>
          <w:rFonts w:ascii="宋体" w:hAnsi="宋体" w:eastAsia="宋体"/>
          <w:szCs w:val="21"/>
        </w:rPr>
        <w:fldChar w:fldCharType="separate"/>
      </w:r>
    </w:p>
    <w:p w14:paraId="6DCDC884">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_Toc5615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rPr>
        <w:t>前言</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_Toc5615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II</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445A9B19">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_Toc23225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rPr>
        <w:t>1</w:t>
      </w:r>
      <w:r>
        <w:rPr>
          <w:rFonts w:hint="eastAsia" w:asciiTheme="majorEastAsia" w:hAnsiTheme="majorEastAsia" w:eastAsiaTheme="majorEastAsia" w:cstheme="majorEastAsia"/>
          <w:b w:val="0"/>
          <w:bCs w:val="0"/>
          <w:kern w:val="0"/>
          <w:sz w:val="21"/>
          <w:szCs w:val="21"/>
          <w:lang w:val="en-US" w:eastAsia="zh-CN"/>
        </w:rPr>
        <w:t xml:space="preserve"> </w:t>
      </w:r>
      <w:r>
        <w:rPr>
          <w:rFonts w:hint="eastAsia" w:asciiTheme="majorEastAsia" w:hAnsiTheme="majorEastAsia" w:eastAsiaTheme="majorEastAsia" w:cstheme="majorEastAsia"/>
          <w:b w:val="0"/>
          <w:bCs w:val="0"/>
          <w:kern w:val="0"/>
          <w:sz w:val="21"/>
          <w:szCs w:val="21"/>
        </w:rPr>
        <w:t>范围</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_Toc23225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1</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24201E25">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_Toc31432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rPr>
        <w:t>2</w:t>
      </w:r>
      <w:r>
        <w:rPr>
          <w:rFonts w:hint="eastAsia" w:asciiTheme="majorEastAsia" w:hAnsiTheme="majorEastAsia" w:eastAsiaTheme="majorEastAsia" w:cstheme="majorEastAsia"/>
          <w:b w:val="0"/>
          <w:bCs w:val="0"/>
          <w:kern w:val="0"/>
          <w:sz w:val="21"/>
          <w:szCs w:val="21"/>
          <w:lang w:val="en-US" w:eastAsia="zh-CN"/>
        </w:rPr>
        <w:t xml:space="preserve"> </w:t>
      </w:r>
      <w:r>
        <w:rPr>
          <w:rFonts w:hint="eastAsia" w:asciiTheme="majorEastAsia" w:hAnsiTheme="majorEastAsia" w:eastAsiaTheme="majorEastAsia" w:cstheme="majorEastAsia"/>
          <w:b w:val="0"/>
          <w:bCs w:val="0"/>
          <w:kern w:val="0"/>
          <w:sz w:val="21"/>
          <w:szCs w:val="21"/>
        </w:rPr>
        <w:t>规范性引用文件</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_Toc31432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1</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049B0494">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_Toc13191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rPr>
        <w:t>3</w:t>
      </w:r>
      <w:r>
        <w:rPr>
          <w:rFonts w:hint="eastAsia" w:asciiTheme="majorEastAsia" w:hAnsiTheme="majorEastAsia" w:eastAsiaTheme="majorEastAsia" w:cstheme="majorEastAsia"/>
          <w:b w:val="0"/>
          <w:bCs w:val="0"/>
          <w:kern w:val="0"/>
          <w:sz w:val="21"/>
          <w:szCs w:val="21"/>
          <w:lang w:val="en-US" w:eastAsia="zh-CN"/>
        </w:rPr>
        <w:t xml:space="preserve"> </w:t>
      </w:r>
      <w:r>
        <w:rPr>
          <w:rFonts w:hint="eastAsia" w:asciiTheme="majorEastAsia" w:hAnsiTheme="majorEastAsia" w:eastAsiaTheme="majorEastAsia" w:cstheme="majorEastAsia"/>
          <w:b w:val="0"/>
          <w:bCs w:val="0"/>
          <w:kern w:val="0"/>
          <w:sz w:val="21"/>
          <w:szCs w:val="21"/>
        </w:rPr>
        <w:t>术语和定义</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_Toc13191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1</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21B10E99">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_Toc20977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4 指导思想</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_Toc20977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1</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0D4918E5">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_Toc8819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 xml:space="preserve">5 </w:t>
      </w:r>
      <w:r>
        <w:rPr>
          <w:rFonts w:hint="eastAsia" w:asciiTheme="majorEastAsia" w:hAnsiTheme="majorEastAsia" w:eastAsiaTheme="majorEastAsia" w:cstheme="majorEastAsia"/>
          <w:b w:val="0"/>
          <w:bCs w:val="0"/>
          <w:kern w:val="0"/>
          <w:sz w:val="21"/>
          <w:szCs w:val="21"/>
          <w:highlight w:val="none"/>
          <w:lang w:val="en-US" w:eastAsia="zh-CN"/>
        </w:rPr>
        <w:t>基本原则</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_Toc8819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2</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6EBD6B2C">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_Toc23711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6 技术流程</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_Toc23711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2</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61AD1190">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_Toc24114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7 林下种植</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_Toc24114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2</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13C38AB4">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_Toc28581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8 林下养殖</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_Toc28581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3</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157CD2E4">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_Toc17786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9 林下采集</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_Toc17786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3</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31312CB5">
      <w:pPr>
        <w:pStyle w:val="16"/>
        <w:tabs>
          <w:tab w:val="right" w:leader="dot" w:pos="9354"/>
        </w:tabs>
        <w:adjustRightInd w:val="0"/>
        <w:snapToGrid w:val="0"/>
        <w:spacing w:before="0" w:after="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_Toc32609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10 林下产品初加工</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_Toc32609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3</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26B17700">
      <w:pPr>
        <w:pStyle w:val="16"/>
        <w:tabs>
          <w:tab w:val="right" w:leader="dot" w:pos="9354"/>
        </w:tabs>
        <w:adjustRightInd w:val="0"/>
        <w:snapToGrid w:val="0"/>
        <w:spacing w:before="0" w:after="0"/>
        <w:rPr>
          <w:b w:val="0"/>
          <w:bCs w:val="0"/>
          <w:sz w:val="21"/>
          <w:szCs w:val="21"/>
        </w:rPr>
      </w:pP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HYPERLINK \l _Toc20903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kern w:val="0"/>
          <w:sz w:val="21"/>
          <w:szCs w:val="21"/>
          <w:lang w:val="en-US" w:eastAsia="zh-CN"/>
        </w:rPr>
        <w:t>11 森林景观利用</w:t>
      </w:r>
      <w:r>
        <w:rPr>
          <w:rFonts w:hint="eastAsia" w:asciiTheme="majorEastAsia" w:hAnsiTheme="majorEastAsia" w:eastAsiaTheme="majorEastAsia" w:cstheme="majorEastAsia"/>
          <w:b w:val="0"/>
          <w:bCs w:val="0"/>
          <w:sz w:val="21"/>
          <w:szCs w:val="21"/>
        </w:rPr>
        <w:tab/>
      </w:r>
      <w:r>
        <w:rPr>
          <w:rFonts w:hint="eastAsia" w:asciiTheme="majorEastAsia" w:hAnsiTheme="majorEastAsia" w:eastAsiaTheme="majorEastAsia" w:cstheme="majorEastAsia"/>
          <w:b w:val="0"/>
          <w:bCs w:val="0"/>
          <w:sz w:val="21"/>
          <w:szCs w:val="21"/>
        </w:rPr>
        <w:fldChar w:fldCharType="begin"/>
      </w:r>
      <w:r>
        <w:rPr>
          <w:rFonts w:hint="eastAsia" w:asciiTheme="majorEastAsia" w:hAnsiTheme="majorEastAsia" w:eastAsiaTheme="majorEastAsia" w:cstheme="majorEastAsia"/>
          <w:b w:val="0"/>
          <w:bCs w:val="0"/>
          <w:sz w:val="21"/>
          <w:szCs w:val="21"/>
        </w:rPr>
        <w:instrText xml:space="preserve"> PAGEREF _Toc20903 \h </w:instrText>
      </w:r>
      <w:r>
        <w:rPr>
          <w:rFonts w:hint="eastAsia" w:asciiTheme="majorEastAsia" w:hAnsiTheme="majorEastAsia" w:eastAsiaTheme="majorEastAsia" w:cstheme="majorEastAsia"/>
          <w:b w:val="0"/>
          <w:bCs w:val="0"/>
          <w:sz w:val="21"/>
          <w:szCs w:val="21"/>
        </w:rPr>
        <w:fldChar w:fldCharType="separate"/>
      </w:r>
      <w:r>
        <w:rPr>
          <w:rFonts w:hint="eastAsia" w:asciiTheme="majorEastAsia" w:hAnsiTheme="majorEastAsia" w:eastAsiaTheme="majorEastAsia" w:cstheme="majorEastAsia"/>
          <w:b w:val="0"/>
          <w:bCs w:val="0"/>
          <w:sz w:val="21"/>
          <w:szCs w:val="21"/>
        </w:rPr>
        <w:t>4</w:t>
      </w:r>
      <w:r>
        <w:rPr>
          <w:rFonts w:hint="eastAsia" w:asciiTheme="majorEastAsia" w:hAnsiTheme="majorEastAsia" w:eastAsiaTheme="majorEastAsia" w:cstheme="majorEastAsia"/>
          <w:b w:val="0"/>
          <w:bCs w:val="0"/>
          <w:sz w:val="21"/>
          <w:szCs w:val="21"/>
        </w:rPr>
        <w:fldChar w:fldCharType="end"/>
      </w:r>
      <w:r>
        <w:rPr>
          <w:rFonts w:hint="eastAsia" w:asciiTheme="majorEastAsia" w:hAnsiTheme="majorEastAsia" w:eastAsiaTheme="majorEastAsia" w:cstheme="majorEastAsia"/>
          <w:b w:val="0"/>
          <w:bCs w:val="0"/>
          <w:sz w:val="21"/>
          <w:szCs w:val="21"/>
        </w:rPr>
        <w:fldChar w:fldCharType="end"/>
      </w:r>
    </w:p>
    <w:p w14:paraId="2BFF8B3C">
      <w:pPr>
        <w:jc w:val="left"/>
        <w:rPr>
          <w:rFonts w:ascii="宋体" w:hAnsi="宋体" w:eastAsia="宋体" w:cs="宋体"/>
          <w:kern w:val="2"/>
          <w:sz w:val="21"/>
          <w:szCs w:val="21"/>
          <w:lang w:val="en-US" w:eastAsia="zh-CN" w:bidi="ar-SA"/>
        </w:rPr>
      </w:pPr>
      <w:r>
        <w:rPr>
          <w:rFonts w:ascii="宋体" w:hAnsi="宋体" w:eastAsia="宋体"/>
          <w:szCs w:val="21"/>
        </w:rPr>
        <w:fldChar w:fldCharType="end"/>
      </w:r>
    </w:p>
    <w:p w14:paraId="42C6EF73">
      <w:pPr>
        <w:jc w:val="left"/>
        <w:rPr>
          <w:rFonts w:ascii="宋体" w:hAnsi="宋体" w:eastAsia="宋体" w:cs="宋体"/>
          <w:kern w:val="2"/>
          <w:sz w:val="21"/>
          <w:szCs w:val="21"/>
          <w:lang w:val="en-US" w:eastAsia="zh-CN" w:bidi="ar-SA"/>
        </w:rPr>
      </w:pPr>
    </w:p>
    <w:p w14:paraId="2E8519E6">
      <w:pPr>
        <w:jc w:val="left"/>
        <w:rPr>
          <w:rFonts w:ascii="宋体" w:hAnsi="宋体" w:eastAsia="宋体"/>
          <w:szCs w:val="21"/>
        </w:rPr>
      </w:pPr>
    </w:p>
    <w:p w14:paraId="1629AD04">
      <w:pPr>
        <w:jc w:val="left"/>
        <w:rPr>
          <w:rFonts w:ascii="宋体" w:hAnsi="宋体" w:eastAsia="宋体"/>
          <w:szCs w:val="21"/>
        </w:rPr>
      </w:pPr>
    </w:p>
    <w:p w14:paraId="18F1CD03">
      <w:pPr>
        <w:bidi w:val="0"/>
        <w:rPr>
          <w:rFonts w:ascii="Calibri" w:hAnsi="Calibri" w:eastAsia="宋体" w:cs="宋体"/>
          <w:kern w:val="2"/>
          <w:sz w:val="21"/>
          <w:szCs w:val="22"/>
          <w:lang w:val="en-US" w:eastAsia="zh-CN" w:bidi="ar-SA"/>
        </w:rPr>
      </w:pPr>
    </w:p>
    <w:p w14:paraId="7C8CB463">
      <w:pPr>
        <w:bidi w:val="0"/>
        <w:rPr>
          <w:lang w:val="en-US" w:eastAsia="zh-CN"/>
        </w:rPr>
      </w:pPr>
    </w:p>
    <w:p w14:paraId="5DE4DEA2">
      <w:pPr>
        <w:bidi w:val="0"/>
        <w:rPr>
          <w:lang w:val="en-US" w:eastAsia="zh-CN"/>
        </w:rPr>
      </w:pPr>
    </w:p>
    <w:p w14:paraId="63F90824">
      <w:pPr>
        <w:bidi w:val="0"/>
        <w:rPr>
          <w:lang w:val="en-US" w:eastAsia="zh-CN"/>
        </w:rPr>
      </w:pPr>
    </w:p>
    <w:p w14:paraId="08BF3DFD">
      <w:pPr>
        <w:bidi w:val="0"/>
        <w:jc w:val="center"/>
        <w:rPr>
          <w:lang w:val="en-US" w:eastAsia="zh-CN"/>
        </w:rPr>
      </w:pPr>
    </w:p>
    <w:p w14:paraId="7B2B2768">
      <w:pPr>
        <w:keepNext/>
        <w:pageBreakBefore/>
        <w:widowControl/>
        <w:shd w:val="clear" w:color="FFFFFF" w:fill="FFFFFF"/>
        <w:spacing w:before="640" w:after="560"/>
        <w:jc w:val="center"/>
        <w:outlineLvl w:val="0"/>
        <w:rPr>
          <w:rFonts w:ascii="Times New Roman" w:hAnsi="Times New Roman" w:eastAsia="黑体" w:cs="Times New Roman"/>
          <w:kern w:val="0"/>
          <w:sz w:val="32"/>
        </w:rPr>
      </w:pPr>
      <w:bookmarkStart w:id="4" w:name="_Toc5615"/>
      <w:bookmarkStart w:id="5" w:name="_Toc123923793"/>
      <w:bookmarkStart w:id="6" w:name="_Toc5240"/>
      <w:r>
        <w:rPr>
          <w:rFonts w:hint="eastAsia" w:ascii="Times New Roman" w:hAnsi="Times New Roman" w:eastAsia="黑体" w:cs="Times New Roman"/>
          <w:kern w:val="0"/>
          <w:sz w:val="32"/>
        </w:rPr>
        <w:t>前</w:t>
      </w:r>
      <w:bookmarkStart w:id="7" w:name="BKQY"/>
      <w:r>
        <w:rPr>
          <w:rFonts w:hint="eastAsia" w:ascii="Times New Roman" w:hAnsi="Times New Roman" w:eastAsia="黑体" w:cs="Times New Roman"/>
          <w:kern w:val="0"/>
          <w:sz w:val="32"/>
        </w:rPr>
        <w:t xml:space="preserve">    言</w:t>
      </w:r>
      <w:bookmarkEnd w:id="4"/>
      <w:bookmarkEnd w:id="5"/>
      <w:bookmarkEnd w:id="6"/>
      <w:bookmarkEnd w:id="7"/>
    </w:p>
    <w:p w14:paraId="0766E4E8">
      <w:pPr>
        <w:widowControl/>
        <w:tabs>
          <w:tab w:val="center" w:pos="4201"/>
          <w:tab w:val="right" w:leader="dot" w:pos="9298"/>
        </w:tabs>
        <w:autoSpaceDE w:val="0"/>
        <w:autoSpaceDN w:val="0"/>
        <w:adjustRightInd w:val="0"/>
        <w:snapToGrid w:val="0"/>
        <w:ind w:firstLine="420" w:firstLineChars="200"/>
        <w:rPr>
          <w:rFonts w:ascii="宋体" w:hAnsi="Times New Roman" w:eastAsia="宋体" w:cs="Times New Roman"/>
          <w:kern w:val="0"/>
          <w:szCs w:val="24"/>
        </w:rPr>
      </w:pPr>
      <w:r>
        <w:rPr>
          <w:rFonts w:hint="eastAsia" w:ascii="宋体" w:hAnsi="Times New Roman" w:eastAsia="宋体" w:cs="Times New Roman"/>
          <w:kern w:val="0"/>
          <w:szCs w:val="24"/>
        </w:rPr>
        <w:t>本文件按照 GB/T 1.1-2020《标准化工作导则</w:t>
      </w:r>
      <w:r>
        <w:rPr>
          <w:rFonts w:hint="eastAsia" w:ascii="宋体" w:hAnsi="Times New Roman" w:eastAsia="宋体" w:cs="Times New Roman"/>
          <w:kern w:val="0"/>
          <w:szCs w:val="24"/>
        </w:rPr>
        <w:tab/>
      </w:r>
      <w:r>
        <w:rPr>
          <w:rFonts w:ascii="宋体" w:hAnsi="Times New Roman" w:eastAsia="宋体" w:cs="Times New Roman"/>
          <w:kern w:val="0"/>
          <w:szCs w:val="24"/>
        </w:rPr>
        <w:t xml:space="preserve"> </w:t>
      </w:r>
      <w:r>
        <w:rPr>
          <w:rFonts w:hint="eastAsia" w:ascii="宋体" w:hAnsi="Times New Roman" w:eastAsia="宋体" w:cs="Times New Roman"/>
          <w:kern w:val="0"/>
          <w:szCs w:val="24"/>
        </w:rPr>
        <w:t>第1部分：标准化文件的结构和起草规则》的规定起草。</w:t>
      </w:r>
    </w:p>
    <w:p w14:paraId="2D245E19">
      <w:pPr>
        <w:widowControl/>
        <w:tabs>
          <w:tab w:val="center" w:pos="4201"/>
          <w:tab w:val="right" w:leader="dot" w:pos="9298"/>
        </w:tabs>
        <w:autoSpaceDE w:val="0"/>
        <w:autoSpaceDN w:val="0"/>
        <w:adjustRightInd w:val="0"/>
        <w:snapToGrid w:val="0"/>
        <w:ind w:firstLine="420" w:firstLineChars="200"/>
        <w:rPr>
          <w:rFonts w:hint="eastAsia" w:ascii="宋体" w:hAnsi="宋体" w:eastAsia="宋体" w:cs="Times New Roman"/>
          <w:bCs/>
          <w:szCs w:val="21"/>
        </w:rPr>
      </w:pPr>
      <w:r>
        <w:rPr>
          <w:rFonts w:hint="eastAsia" w:ascii="宋体" w:hAnsi="宋体" w:eastAsia="宋体" w:cs="Times New Roman"/>
          <w:bCs/>
          <w:szCs w:val="21"/>
        </w:rPr>
        <w:t>请注意本文件的某些内容可能涉及专利。本文件的发布机构不承担识别专利的责任。</w:t>
      </w:r>
    </w:p>
    <w:p w14:paraId="15C2A18D">
      <w:pPr>
        <w:widowControl/>
        <w:tabs>
          <w:tab w:val="center" w:pos="4201"/>
          <w:tab w:val="right" w:leader="dot" w:pos="9298"/>
        </w:tabs>
        <w:autoSpaceDE w:val="0"/>
        <w:autoSpaceDN w:val="0"/>
        <w:adjustRightInd w:val="0"/>
        <w:snapToGrid w:val="0"/>
        <w:ind w:firstLine="420" w:firstLineChars="200"/>
        <w:rPr>
          <w:rFonts w:hint="eastAsia" w:ascii="宋体" w:hAnsi="宋体" w:eastAsia="宋体" w:cs="Times New Roman"/>
          <w:bCs/>
          <w:szCs w:val="21"/>
        </w:rPr>
      </w:pPr>
      <w:r>
        <w:rPr>
          <w:rFonts w:hint="eastAsia" w:ascii="宋体" w:hAnsi="宋体" w:eastAsia="宋体" w:cs="Times New Roman"/>
          <w:bCs/>
          <w:szCs w:val="21"/>
        </w:rPr>
        <w:t>本文件由</w:t>
      </w:r>
      <w:r>
        <w:rPr>
          <w:rFonts w:hint="eastAsia" w:ascii="宋体" w:hAnsi="宋体" w:eastAsia="宋体" w:cs="Times New Roman"/>
          <w:bCs/>
          <w:szCs w:val="21"/>
          <w:lang w:val="en-US" w:eastAsia="zh-CN"/>
        </w:rPr>
        <w:t>中国林学会</w:t>
      </w:r>
      <w:r>
        <w:rPr>
          <w:rFonts w:hint="eastAsia" w:ascii="宋体" w:hAnsi="宋体" w:cs="Times New Roman"/>
          <w:bCs/>
          <w:szCs w:val="21"/>
          <w:lang w:val="en-US" w:eastAsia="zh-CN"/>
        </w:rPr>
        <w:t>提出并</w:t>
      </w:r>
      <w:r>
        <w:rPr>
          <w:rFonts w:hint="eastAsia" w:ascii="宋体" w:hAnsi="宋体" w:eastAsia="宋体" w:cs="Times New Roman"/>
          <w:bCs/>
          <w:szCs w:val="21"/>
        </w:rPr>
        <w:t>归口。</w:t>
      </w:r>
    </w:p>
    <w:p w14:paraId="70848271">
      <w:pPr>
        <w:widowControl/>
        <w:tabs>
          <w:tab w:val="center" w:pos="4201"/>
          <w:tab w:val="right" w:leader="dot" w:pos="9298"/>
        </w:tabs>
        <w:autoSpaceDE w:val="0"/>
        <w:autoSpaceDN w:val="0"/>
        <w:adjustRightInd w:val="0"/>
        <w:snapToGrid w:val="0"/>
        <w:ind w:firstLine="420" w:firstLineChars="200"/>
        <w:rPr>
          <w:rFonts w:hint="eastAsia" w:ascii="宋体" w:hAnsi="宋体" w:eastAsia="宋体" w:cs="Times New Roman"/>
          <w:b w:val="0"/>
          <w:bCs/>
          <w:color w:val="auto"/>
          <w:szCs w:val="21"/>
        </w:rPr>
      </w:pPr>
      <w:r>
        <w:rPr>
          <w:rFonts w:hint="eastAsia" w:ascii="宋体" w:hAnsi="宋体" w:eastAsia="宋体" w:cs="Times New Roman"/>
          <w:b w:val="0"/>
          <w:bCs/>
          <w:color w:val="auto"/>
          <w:szCs w:val="21"/>
        </w:rPr>
        <w:t>本文件起草单位：</w:t>
      </w:r>
      <w:r>
        <w:rPr>
          <w:rFonts w:hint="eastAsia" w:ascii="宋体" w:hAnsi="宋体" w:eastAsia="宋体" w:cs="Times New Roman"/>
          <w:b w:val="0"/>
          <w:bCs/>
          <w:color w:val="auto"/>
          <w:szCs w:val="21"/>
          <w:lang w:val="en-US" w:eastAsia="zh-CN"/>
        </w:rPr>
        <w:t>中国林业科学研究院、西南林业大学、广西壮族自治区</w:t>
      </w:r>
      <w:r>
        <w:rPr>
          <w:rFonts w:hint="eastAsia" w:ascii="宋体" w:hAnsi="宋体" w:cs="Times New Roman"/>
          <w:b w:val="0"/>
          <w:bCs/>
          <w:color w:val="auto"/>
          <w:szCs w:val="21"/>
          <w:lang w:val="en-US" w:eastAsia="zh-CN"/>
        </w:rPr>
        <w:t>林业科学研究院</w:t>
      </w:r>
      <w:r>
        <w:rPr>
          <w:rFonts w:hint="eastAsia" w:ascii="宋体" w:hAnsi="宋体" w:eastAsia="宋体" w:cs="Times New Roman"/>
          <w:b w:val="0"/>
          <w:bCs/>
          <w:color w:val="auto"/>
          <w:szCs w:val="21"/>
          <w:lang w:val="en-US" w:eastAsia="zh-CN"/>
        </w:rPr>
        <w:t>、东北林业大学、中国林学会、浙江农林大学、</w:t>
      </w:r>
      <w:r>
        <w:rPr>
          <w:rFonts w:hint="eastAsia" w:ascii="宋体" w:hAnsi="宋体" w:cs="Times New Roman"/>
          <w:bCs/>
          <w:color w:val="auto"/>
          <w:szCs w:val="21"/>
        </w:rPr>
        <w:t>中国林业科学研究院</w:t>
      </w:r>
      <w:r>
        <w:rPr>
          <w:rFonts w:hint="eastAsia" w:ascii="宋体" w:hAnsi="宋体" w:cs="Times New Roman"/>
          <w:bCs/>
          <w:color w:val="auto"/>
          <w:szCs w:val="21"/>
          <w:lang w:val="en-US" w:eastAsia="zh-CN"/>
        </w:rPr>
        <w:t>森林生态环境与自然保护研究所、</w:t>
      </w:r>
      <w:r>
        <w:rPr>
          <w:rFonts w:hint="eastAsia" w:ascii="宋体" w:hAnsi="宋体" w:cs="Times New Roman"/>
          <w:bCs/>
          <w:color w:val="auto"/>
          <w:szCs w:val="21"/>
        </w:rPr>
        <w:t>国家林业和草原局生态建设工程管理中心</w:t>
      </w:r>
      <w:r>
        <w:rPr>
          <w:rFonts w:hint="eastAsia" w:ascii="宋体" w:hAnsi="宋体" w:cs="Times New Roman"/>
          <w:bCs/>
          <w:color w:val="auto"/>
          <w:szCs w:val="21"/>
          <w:lang w:val="en-US" w:eastAsia="zh-CN"/>
        </w:rPr>
        <w:t>、中国林业科学研究院经济林研究所、中国林业科学研究院亚热带实验中心、</w:t>
      </w:r>
      <w:r>
        <w:rPr>
          <w:rFonts w:hint="eastAsia" w:ascii="宋体" w:hAnsi="宋体" w:eastAsia="宋体" w:cs="Times New Roman"/>
          <w:b w:val="0"/>
          <w:bCs/>
          <w:color w:val="auto"/>
          <w:szCs w:val="21"/>
          <w:lang w:val="en-US" w:eastAsia="zh-CN"/>
        </w:rPr>
        <w:t>北京中医药大学</w:t>
      </w:r>
      <w:r>
        <w:rPr>
          <w:rFonts w:hint="eastAsia" w:ascii="宋体" w:hAnsi="宋体" w:cs="Times New Roman"/>
          <w:b w:val="0"/>
          <w:bCs/>
          <w:color w:val="auto"/>
          <w:szCs w:val="21"/>
          <w:lang w:val="en-US" w:eastAsia="zh-CN"/>
        </w:rPr>
        <w:t>、皖西学院、中国林业科学研究院林业科技信息研究所、</w:t>
      </w:r>
      <w:r>
        <w:rPr>
          <w:rFonts w:hint="eastAsia" w:ascii="宋体" w:hAnsi="宋体" w:eastAsia="宋体" w:cs="Times New Roman"/>
          <w:b w:val="0"/>
          <w:bCs/>
          <w:color w:val="auto"/>
          <w:szCs w:val="21"/>
          <w:lang w:val="en-US" w:eastAsia="zh-CN"/>
        </w:rPr>
        <w:t>国家</w:t>
      </w:r>
      <w:r>
        <w:rPr>
          <w:rFonts w:hint="eastAsia" w:ascii="宋体" w:hAnsi="宋体" w:cs="Times New Roman"/>
          <w:b w:val="0"/>
          <w:bCs/>
          <w:color w:val="auto"/>
          <w:szCs w:val="21"/>
          <w:lang w:val="en-US" w:eastAsia="zh-CN"/>
        </w:rPr>
        <w:t>林业和草原</w:t>
      </w:r>
      <w:r>
        <w:rPr>
          <w:rFonts w:hint="eastAsia" w:ascii="宋体" w:hAnsi="宋体" w:eastAsia="宋体" w:cs="Times New Roman"/>
          <w:b w:val="0"/>
          <w:bCs/>
          <w:color w:val="auto"/>
          <w:szCs w:val="21"/>
          <w:lang w:val="en-US" w:eastAsia="zh-CN"/>
        </w:rPr>
        <w:t>局管理干部学院、中林联</w:t>
      </w:r>
      <w:r>
        <w:rPr>
          <w:rFonts w:hint="eastAsia" w:ascii="宋体" w:hAnsi="宋体" w:cs="Times New Roman"/>
          <w:b w:val="0"/>
          <w:bCs/>
          <w:color w:val="auto"/>
          <w:szCs w:val="21"/>
          <w:lang w:val="en-US" w:eastAsia="zh-CN"/>
        </w:rPr>
        <w:t>林业</w:t>
      </w:r>
      <w:r>
        <w:rPr>
          <w:rFonts w:hint="eastAsia" w:ascii="宋体" w:hAnsi="宋体" w:eastAsia="宋体" w:cs="Times New Roman"/>
          <w:b w:val="0"/>
          <w:bCs/>
          <w:color w:val="auto"/>
          <w:szCs w:val="21"/>
          <w:lang w:val="en-US" w:eastAsia="zh-CN"/>
        </w:rPr>
        <w:t>规划设计</w:t>
      </w:r>
      <w:r>
        <w:rPr>
          <w:rFonts w:hint="eastAsia" w:ascii="宋体" w:hAnsi="宋体" w:cs="Times New Roman"/>
          <w:b w:val="0"/>
          <w:bCs/>
          <w:color w:val="auto"/>
          <w:szCs w:val="21"/>
          <w:lang w:val="en-US" w:eastAsia="zh-CN"/>
        </w:rPr>
        <w:t>研究</w:t>
      </w:r>
      <w:r>
        <w:rPr>
          <w:rFonts w:hint="eastAsia" w:ascii="宋体" w:hAnsi="宋体" w:eastAsia="宋体" w:cs="Times New Roman"/>
          <w:b w:val="0"/>
          <w:bCs/>
          <w:color w:val="auto"/>
          <w:szCs w:val="21"/>
          <w:lang w:val="en-US" w:eastAsia="zh-CN"/>
        </w:rPr>
        <w:t>院</w:t>
      </w:r>
      <w:r>
        <w:rPr>
          <w:rFonts w:hint="eastAsia" w:ascii="宋体" w:hAnsi="宋体" w:cs="Times New Roman"/>
          <w:b w:val="0"/>
          <w:bCs/>
          <w:color w:val="auto"/>
          <w:szCs w:val="21"/>
          <w:lang w:val="en-US" w:eastAsia="zh-CN"/>
        </w:rPr>
        <w:t>。</w:t>
      </w:r>
    </w:p>
    <w:p w14:paraId="5C864904">
      <w:pPr>
        <w:widowControl/>
        <w:tabs>
          <w:tab w:val="center" w:pos="4201"/>
          <w:tab w:val="right" w:leader="dot" w:pos="9298"/>
        </w:tabs>
        <w:autoSpaceDE w:val="0"/>
        <w:autoSpaceDN w:val="0"/>
        <w:adjustRightInd w:val="0"/>
        <w:snapToGrid w:val="0"/>
        <w:ind w:firstLine="420" w:firstLineChars="200"/>
        <w:rPr>
          <w:rFonts w:hint="eastAsia" w:ascii="宋体" w:hAnsi="宋体" w:eastAsia="宋体" w:cs="Times New Roman"/>
          <w:b/>
          <w:bCs w:val="0"/>
          <w:color w:val="FF0000"/>
          <w:szCs w:val="21"/>
        </w:rPr>
      </w:pPr>
      <w:r>
        <w:rPr>
          <w:rFonts w:hint="eastAsia" w:ascii="宋体" w:hAnsi="宋体" w:eastAsia="宋体" w:cs="Times New Roman"/>
          <w:b w:val="0"/>
          <w:bCs/>
          <w:color w:val="auto"/>
          <w:szCs w:val="21"/>
        </w:rPr>
        <w:t>本文件主要起草人：</w:t>
      </w:r>
      <w:r>
        <w:rPr>
          <w:rFonts w:hint="eastAsia" w:ascii="宋体" w:hAnsi="宋体" w:eastAsia="宋体" w:cs="Times New Roman"/>
          <w:b w:val="0"/>
          <w:bCs/>
          <w:color w:val="auto"/>
          <w:szCs w:val="21"/>
          <w:lang w:val="en-US" w:eastAsia="zh-CN"/>
        </w:rPr>
        <w:t>陈幸良、</w:t>
      </w:r>
      <w:r>
        <w:rPr>
          <w:rFonts w:hint="default" w:ascii="宋体" w:hAnsi="宋体" w:eastAsia="宋体" w:cs="Times New Roman"/>
          <w:b w:val="0"/>
          <w:bCs/>
          <w:color w:val="auto"/>
          <w:szCs w:val="21"/>
          <w:lang w:val="en-US" w:eastAsia="zh-CN"/>
        </w:rPr>
        <w:t>何霞红、杨开太、</w:t>
      </w:r>
      <w:r>
        <w:rPr>
          <w:rFonts w:hint="default" w:ascii="宋体" w:hAnsi="宋体" w:eastAsia="宋体" w:cs="Times New Roman"/>
          <w:b w:val="0"/>
          <w:bCs/>
          <w:color w:val="auto"/>
          <w:szCs w:val="21"/>
          <w:lang w:val="en-US"/>
        </w:rPr>
        <w:t>陈春霞、</w:t>
      </w:r>
      <w:r>
        <w:rPr>
          <w:rFonts w:hint="eastAsia" w:ascii="宋体" w:hAnsi="宋体" w:eastAsia="宋体" w:cs="Times New Roman"/>
          <w:b w:val="0"/>
          <w:bCs/>
          <w:color w:val="auto"/>
          <w:szCs w:val="21"/>
        </w:rPr>
        <w:t>曾祥谓</w:t>
      </w:r>
      <w:r>
        <w:rPr>
          <w:rFonts w:hint="eastAsia" w:ascii="宋体" w:hAnsi="宋体" w:cs="Times New Roman"/>
          <w:b w:val="0"/>
          <w:bCs/>
          <w:color w:val="auto"/>
          <w:szCs w:val="21"/>
          <w:lang w:eastAsia="zh-CN"/>
        </w:rPr>
        <w:t>、</w:t>
      </w:r>
      <w:r>
        <w:rPr>
          <w:rFonts w:hint="eastAsia" w:ascii="宋体" w:hAnsi="宋体" w:eastAsia="宋体" w:cs="Times New Roman"/>
          <w:b w:val="0"/>
          <w:bCs/>
          <w:color w:val="auto"/>
          <w:szCs w:val="21"/>
        </w:rPr>
        <w:t>王妍、</w:t>
      </w:r>
      <w:r>
        <w:rPr>
          <w:rFonts w:hint="eastAsia" w:ascii="宋体" w:hAnsi="宋体" w:cs="Times New Roman"/>
          <w:b w:val="0"/>
          <w:bCs/>
          <w:color w:val="auto"/>
          <w:szCs w:val="21"/>
          <w:lang w:val="en-US" w:eastAsia="zh-CN"/>
        </w:rPr>
        <w:t>刘京晶、</w:t>
      </w:r>
      <w:r>
        <w:rPr>
          <w:rFonts w:hint="default" w:ascii="宋体" w:hAnsi="宋体" w:eastAsia="宋体" w:cs="Times New Roman"/>
          <w:b w:val="0"/>
          <w:bCs/>
          <w:color w:val="auto"/>
          <w:szCs w:val="21"/>
          <w:lang w:val="en-US"/>
        </w:rPr>
        <w:t>王彦辉、</w:t>
      </w:r>
      <w:r>
        <w:rPr>
          <w:rFonts w:hint="eastAsia" w:ascii="宋体" w:hAnsi="宋体" w:cs="Times New Roman"/>
          <w:b w:val="0"/>
          <w:bCs/>
          <w:color w:val="auto"/>
          <w:szCs w:val="21"/>
          <w:lang w:val="en-US" w:eastAsia="zh-CN"/>
        </w:rPr>
        <w:t>施蕊、</w:t>
      </w:r>
      <w:r>
        <w:rPr>
          <w:rFonts w:hint="default" w:ascii="宋体" w:hAnsi="宋体" w:eastAsia="宋体" w:cs="Times New Roman"/>
          <w:b w:val="0"/>
          <w:bCs/>
          <w:color w:val="auto"/>
          <w:szCs w:val="21"/>
          <w:lang w:val="en-US"/>
        </w:rPr>
        <w:t>王枫、刁松峰、李峰卿、孙志蓉、</w:t>
      </w:r>
      <w:r>
        <w:rPr>
          <w:rFonts w:hint="eastAsia" w:ascii="宋体" w:hAnsi="宋体" w:cs="Times New Roman"/>
          <w:b w:val="0"/>
          <w:bCs/>
          <w:color w:val="auto"/>
          <w:szCs w:val="21"/>
          <w:lang w:val="en-US" w:eastAsia="zh-CN"/>
        </w:rPr>
        <w:t>陈乃东、</w:t>
      </w:r>
      <w:r>
        <w:rPr>
          <w:rFonts w:hint="default" w:ascii="宋体" w:hAnsi="宋体" w:eastAsia="宋体" w:cs="Times New Roman"/>
          <w:b w:val="0"/>
          <w:bCs/>
          <w:color w:val="auto"/>
          <w:szCs w:val="21"/>
          <w:lang w:val="en-US"/>
        </w:rPr>
        <w:t>窦亚权、边明明、</w:t>
      </w:r>
      <w:r>
        <w:rPr>
          <w:rFonts w:hint="default" w:ascii="宋体" w:hAnsi="宋体" w:eastAsia="宋体" w:cs="Times New Roman"/>
          <w:b w:val="0"/>
          <w:bCs/>
          <w:color w:val="auto"/>
          <w:szCs w:val="21"/>
          <w:lang w:val="en-US" w:eastAsia="zh-CN"/>
        </w:rPr>
        <w:t>芮飞燕</w:t>
      </w:r>
      <w:r>
        <w:rPr>
          <w:rFonts w:hint="eastAsia" w:ascii="宋体" w:hAnsi="宋体" w:cs="Times New Roman"/>
          <w:b w:val="0"/>
          <w:bCs/>
          <w:color w:val="auto"/>
          <w:szCs w:val="21"/>
          <w:lang w:val="en-US" w:eastAsia="zh-CN"/>
        </w:rPr>
        <w:t>。</w:t>
      </w:r>
    </w:p>
    <w:p w14:paraId="62E86123">
      <w:pPr>
        <w:widowControl/>
        <w:tabs>
          <w:tab w:val="center" w:pos="4201"/>
          <w:tab w:val="right" w:leader="dot" w:pos="9298"/>
        </w:tabs>
        <w:autoSpaceDE w:val="0"/>
        <w:autoSpaceDN w:val="0"/>
        <w:adjustRightInd w:val="0"/>
        <w:snapToGrid w:val="0"/>
        <w:ind w:firstLine="422" w:firstLineChars="200"/>
        <w:rPr>
          <w:rFonts w:hint="eastAsia" w:ascii="宋体" w:hAnsi="宋体" w:eastAsia="宋体" w:cs="Times New Roman"/>
          <w:b/>
          <w:bCs w:val="0"/>
          <w:color w:val="FF0000"/>
          <w:szCs w:val="21"/>
        </w:rPr>
      </w:pPr>
    </w:p>
    <w:p w14:paraId="102EC5C5">
      <w:pPr>
        <w:widowControl/>
        <w:tabs>
          <w:tab w:val="center" w:pos="4201"/>
          <w:tab w:val="right" w:leader="dot" w:pos="9298"/>
        </w:tabs>
        <w:autoSpaceDE w:val="0"/>
        <w:autoSpaceDN w:val="0"/>
        <w:adjustRightInd w:val="0"/>
        <w:snapToGrid w:val="0"/>
        <w:ind w:firstLine="422" w:firstLineChars="200"/>
        <w:rPr>
          <w:rFonts w:hint="eastAsia" w:ascii="宋体" w:hAnsi="宋体" w:eastAsia="宋体" w:cs="Times New Roman"/>
          <w:b/>
          <w:bCs w:val="0"/>
          <w:color w:val="FF0000"/>
          <w:szCs w:val="21"/>
        </w:rPr>
        <w:sectPr>
          <w:headerReference r:id="rId8" w:type="first"/>
          <w:footerReference r:id="rId9" w:type="first"/>
          <w:pgSz w:w="11906" w:h="16838"/>
          <w:pgMar w:top="567" w:right="1134" w:bottom="1134" w:left="1418" w:header="1417" w:footer="1134" w:gutter="0"/>
          <w:pgNumType w:fmt="upperRoman" w:start="1"/>
          <w:cols w:space="425" w:num="1"/>
          <w:titlePg/>
          <w:docGrid w:type="lines" w:linePitch="312" w:charSpace="0"/>
        </w:sectPr>
      </w:pPr>
    </w:p>
    <w:p w14:paraId="502868DC">
      <w:pPr>
        <w:pStyle w:val="32"/>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textAlignment w:val="auto"/>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6" name="文本框 21"/>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2BFA688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30F935B8">
                            <w:pPr>
                              <w:jc w:val="center"/>
                              <w:rPr>
                                <w:sz w:val="28"/>
                              </w:rPr>
                            </w:pPr>
                          </w:p>
                        </w:txbxContent>
                      </wps:txbx>
                      <wps:bodyPr vert="horz" wrap="square" lIns="91440" tIns="45720" rIns="91440" bIns="45720" anchor="t" upright="1">
                        <a:noAutofit/>
                      </wps:bodyPr>
                    </wps:wsp>
                  </a:graphicData>
                </a:graphic>
              </wp:anchor>
            </w:drawing>
          </mc:Choice>
          <mc:Fallback>
            <w:pict>
              <v:rect id="文本框 21"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szXkvaAAAADgEAAA8AAAAAAAAAAQAgAAAAIgAAAGRycy9kb3ducmV2&#10;LnhtbFBLAQIUABQAAAAIAIdO4kCpGp29+gEAAOQDAAAOAAAAAAAAAAEAIAAAACkBAABkcnMvZTJv&#10;RG9jLnhtbFBLBQYAAAAABgAGAFkBAACVBQAAAAA=&#10;">
                <v:fill on="t" focussize="0,0"/>
                <v:stroke on="f"/>
                <v:imagedata o:title=""/>
                <o:lock v:ext="edit" aspectratio="f"/>
                <v:textbox>
                  <w:txbxContent>
                    <w:p w14:paraId="2BFA688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30F935B8">
                      <w:pPr>
                        <w:jc w:val="center"/>
                        <w:rPr>
                          <w:sz w:val="28"/>
                        </w:rPr>
                      </w:pPr>
                    </w:p>
                  </w:txbxContent>
                </v:textbox>
              </v:rect>
            </w:pict>
          </mc:Fallback>
        </mc:AlternateContent>
      </w:r>
      <w:r>
        <w:rPr>
          <w:rFonts w:ascii="Times New Roman" w:hAnsi="Times New Roman" w:eastAsia="黑体" w:cs="Times New Roman"/>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7" name="文本框 20"/>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2BA548F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7F60909">
                            <w:pPr>
                              <w:jc w:val="center"/>
                              <w:rPr>
                                <w:sz w:val="28"/>
                              </w:rPr>
                            </w:pPr>
                          </w:p>
                        </w:txbxContent>
                      </wps:txbx>
                      <wps:bodyPr vert="horz" wrap="square" lIns="91440" tIns="45720" rIns="91440" bIns="45720" anchor="t" upright="1">
                        <a:noAutofit/>
                      </wps:bodyPr>
                    </wps:wsp>
                  </a:graphicData>
                </a:graphic>
              </wp:anchor>
            </w:drawing>
          </mc:Choice>
          <mc:Fallback>
            <w:pict>
              <v:rect id="文本框 20"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zNeS9oAAAAOAQAADwAAAAAAAAABACAAAAAiAAAAZHJzL2Rvd25yZXYu&#10;eG1sUEsBAhQAFAAAAAgAh07iQKvWumD5AQAA5AMAAA4AAAAAAAAAAQAgAAAAKQEAAGRycy9lMm9E&#10;b2MueG1sUEsFBgAAAAAGAAYAWQEAAJQFAAAAAA==&#10;">
                <v:fill on="t" focussize="0,0"/>
                <v:stroke on="f"/>
                <v:imagedata o:title=""/>
                <o:lock v:ext="edit" aspectratio="f"/>
                <v:textbox>
                  <w:txbxContent>
                    <w:p w14:paraId="2BA548F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7F60909">
                      <w:pPr>
                        <w:jc w:val="center"/>
                        <w:rPr>
                          <w:sz w:val="28"/>
                        </w:rPr>
                      </w:pPr>
                    </w:p>
                  </w:txbxContent>
                </v:textbox>
              </v:rect>
            </w:pict>
          </mc:Fallback>
        </mc:AlternateContent>
      </w:r>
      <w:r>
        <w:rPr>
          <w:rFonts w:ascii="Times New Roman" w:hAnsi="Times New Roman" w:eastAsia="黑体" w:cs="Times New Roman"/>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8" name="文本框 11"/>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343A8372">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7D1DE8D0">
                            <w:pPr>
                              <w:jc w:val="center"/>
                              <w:rPr>
                                <w:sz w:val="28"/>
                              </w:rPr>
                            </w:pPr>
                          </w:p>
                        </w:txbxContent>
                      </wps:txbx>
                      <wps:bodyPr vert="horz" wrap="square" lIns="91440" tIns="45720" rIns="91440" bIns="45720" anchor="t" upright="1">
                        <a:noAutofit/>
                      </wps:bodyPr>
                    </wps:wsp>
                  </a:graphicData>
                </a:graphic>
              </wp:anchor>
            </w:drawing>
          </mc:Choice>
          <mc:Fallback>
            <w:pict>
              <v:rect id="文本框 11"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M15L2gAAAA4BAAAPAAAAAAAAAAEAIAAAACIAAABkcnMvZG93bnJldi54&#10;bWxQSwECFAAUAAAACACHTuJAgFjjNvgBAADkAwAADgAAAAAAAAABACAAAAApAQAAZHJzL2Uyb0Rv&#10;Yy54bWxQSwUGAAAAAAYABgBZAQAAkwUAAAAA&#10;">
                <v:fill on="t" focussize="0,0"/>
                <v:stroke on="f"/>
                <v:imagedata o:title=""/>
                <o:lock v:ext="edit" aspectratio="f"/>
                <v:textbox>
                  <w:txbxContent>
                    <w:p w14:paraId="343A8372">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7D1DE8D0">
                      <w:pPr>
                        <w:jc w:val="center"/>
                        <w:rPr>
                          <w:sz w:val="28"/>
                        </w:rPr>
                      </w:pPr>
                    </w:p>
                  </w:txbxContent>
                </v:textbox>
              </v:rect>
            </w:pict>
          </mc:Fallback>
        </mc:AlternateContent>
      </w:r>
      <w:r>
        <w:rPr>
          <w:rFonts w:ascii="Times New Roman" w:hAnsi="Times New Roman" w:eastAsia="黑体" w:cs="Times New Roman"/>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9" name="文本框 10"/>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44E382E7">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F81B190">
                            <w:pPr>
                              <w:jc w:val="center"/>
                              <w:rPr>
                                <w:sz w:val="28"/>
                              </w:rPr>
                            </w:pPr>
                          </w:p>
                        </w:txbxContent>
                      </wps:txbx>
                      <wps:bodyPr vert="horz" wrap="square" lIns="91440" tIns="45720" rIns="91440" bIns="45720" anchor="t" upright="1">
                        <a:noAutofit/>
                      </wps:bodyPr>
                    </wps:wsp>
                  </a:graphicData>
                </a:graphic>
              </wp:anchor>
            </w:drawing>
          </mc:Choice>
          <mc:Fallback>
            <w:pict>
              <v:rect id="文本框 10"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M15L2gAAAA4BAAAPAAAAAAAAAAEAIAAAACIAAABkcnMvZG93bnJldi54&#10;bWxQSwECFAAUAAAACACHTuJAgpTE6/gBAADkAwAADgAAAAAAAAABACAAAAApAQAAZHJzL2Uyb0Rv&#10;Yy54bWxQSwUGAAAAAAYABgBZAQAAkwUAAAAA&#10;">
                <v:fill on="t" focussize="0,0"/>
                <v:stroke on="f"/>
                <v:imagedata o:title=""/>
                <o:lock v:ext="edit" aspectratio="f"/>
                <v:textbox>
                  <w:txbxContent>
                    <w:p w14:paraId="44E382E7">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F81B190">
                      <w:pPr>
                        <w:jc w:val="center"/>
                        <w:rPr>
                          <w:sz w:val="28"/>
                        </w:rPr>
                      </w:pPr>
                    </w:p>
                  </w:txbxContent>
                </v:textbox>
              </v:rect>
            </w:pict>
          </mc:Fallback>
        </mc:AlternateContent>
      </w:r>
      <w:bookmarkEnd w:id="0"/>
      <w:r>
        <w:rPr>
          <w:rFonts w:hint="eastAsia" w:ascii="Times New Roman" w:hAnsi="Times New Roman" w:eastAsia="黑体" w:cs="Times New Roman"/>
          <w:sz w:val="32"/>
          <w:szCs w:val="32"/>
        </w:rPr>
        <w:t>林下经济发展技术</w:t>
      </w:r>
      <w:r>
        <w:rPr>
          <w:rFonts w:hint="eastAsia" w:ascii="Times New Roman" w:hAnsi="Times New Roman" w:eastAsia="黑体" w:cs="Times New Roman"/>
          <w:sz w:val="32"/>
          <w:szCs w:val="32"/>
          <w:lang w:val="en-US" w:eastAsia="zh-CN"/>
        </w:rPr>
        <w:t>指南</w:t>
      </w:r>
    </w:p>
    <w:p w14:paraId="6052ED6D">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eastAsia="宋体" w:cs="Times New Roman"/>
          <w:kern w:val="0"/>
          <w:szCs w:val="20"/>
        </w:rPr>
      </w:pPr>
      <w:bookmarkStart w:id="8" w:name="_Toc25676336"/>
      <w:bookmarkStart w:id="9" w:name="_Toc26009"/>
      <w:bookmarkStart w:id="10" w:name="_Toc123923795"/>
      <w:bookmarkStart w:id="11" w:name="_Toc23225"/>
      <w:bookmarkStart w:id="12" w:name="_Toc28157015"/>
      <w:bookmarkStart w:id="13" w:name="_Toc27991496"/>
      <w:bookmarkStart w:id="14" w:name="_Toc27577306"/>
      <w:bookmarkStart w:id="15" w:name="_Toc27577375"/>
      <w:bookmarkStart w:id="16" w:name="_Toc27991564"/>
      <w:r>
        <w:rPr>
          <w:rFonts w:hint="eastAsia" w:ascii="黑体" w:hAnsi="Times New Roman" w:eastAsia="黑体" w:cs="Times New Roman"/>
          <w:kern w:val="0"/>
          <w:szCs w:val="20"/>
        </w:rPr>
        <w:t>1</w:t>
      </w:r>
      <w:r>
        <w:rPr>
          <w:rFonts w:hint="eastAsia"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rPr>
        <w:t>范围</w:t>
      </w:r>
      <w:bookmarkEnd w:id="8"/>
      <w:bookmarkEnd w:id="9"/>
      <w:bookmarkEnd w:id="10"/>
      <w:bookmarkEnd w:id="11"/>
      <w:bookmarkEnd w:id="12"/>
      <w:bookmarkEnd w:id="13"/>
      <w:bookmarkEnd w:id="14"/>
      <w:bookmarkEnd w:id="15"/>
      <w:bookmarkEnd w:id="16"/>
    </w:p>
    <w:p w14:paraId="3FE244FF">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rPr>
      </w:pPr>
      <w:r>
        <w:rPr>
          <w:rFonts w:hint="eastAsia" w:ascii="宋体" w:hAnsi="Times New Roman" w:eastAsia="宋体" w:cs="Times New Roman"/>
          <w:kern w:val="0"/>
          <w:szCs w:val="20"/>
        </w:rPr>
        <w:t>本</w:t>
      </w:r>
      <w:r>
        <w:rPr>
          <w:rFonts w:hint="eastAsia" w:ascii="宋体" w:hAnsi="Times New Roman" w:cs="Times New Roman"/>
          <w:kern w:val="0"/>
          <w:szCs w:val="20"/>
          <w:lang w:val="en-US" w:eastAsia="zh-CN"/>
        </w:rPr>
        <w:t>文件</w:t>
      </w:r>
      <w:r>
        <w:rPr>
          <w:rFonts w:hint="eastAsia" w:ascii="宋体" w:hAnsi="Times New Roman" w:cs="Times New Roman"/>
          <w:kern w:val="0"/>
          <w:szCs w:val="20"/>
          <w:lang w:eastAsia="zh-CN"/>
        </w:rPr>
        <w:t>给出</w:t>
      </w:r>
      <w:r>
        <w:rPr>
          <w:rFonts w:hint="eastAsia" w:ascii="宋体" w:hAnsi="Times New Roman" w:eastAsia="宋体" w:cs="Times New Roman"/>
          <w:kern w:val="0"/>
          <w:szCs w:val="20"/>
        </w:rPr>
        <w:t>了林下经济</w:t>
      </w:r>
      <w:r>
        <w:rPr>
          <w:rFonts w:hint="eastAsia" w:ascii="宋体" w:hAnsi="Times New Roman" w:cs="Times New Roman"/>
          <w:kern w:val="0"/>
          <w:szCs w:val="20"/>
          <w:lang w:eastAsia="zh-CN"/>
        </w:rPr>
        <w:t>发展</w:t>
      </w:r>
      <w:r>
        <w:rPr>
          <w:rFonts w:hint="eastAsia" w:ascii="宋体" w:hAnsi="Times New Roman" w:eastAsia="宋体" w:cs="Times New Roman"/>
          <w:kern w:val="0"/>
          <w:szCs w:val="20"/>
        </w:rPr>
        <w:t>的</w:t>
      </w:r>
      <w:r>
        <w:rPr>
          <w:rFonts w:hint="eastAsia" w:ascii="宋体" w:hAnsi="Times New Roman" w:cs="Times New Roman"/>
          <w:kern w:val="0"/>
          <w:szCs w:val="20"/>
          <w:lang w:eastAsia="zh-CN"/>
        </w:rPr>
        <w:t>指导思想、</w:t>
      </w:r>
      <w:r>
        <w:rPr>
          <w:rFonts w:hint="eastAsia" w:ascii="宋体" w:hAnsi="Times New Roman" w:eastAsia="宋体" w:cs="Times New Roman"/>
          <w:kern w:val="0"/>
          <w:szCs w:val="20"/>
        </w:rPr>
        <w:t>基本原则</w:t>
      </w:r>
      <w:r>
        <w:rPr>
          <w:rFonts w:hint="eastAsia" w:ascii="宋体" w:hAnsi="Times New Roman" w:cs="Times New Roman"/>
          <w:kern w:val="0"/>
          <w:szCs w:val="20"/>
          <w:lang w:eastAsia="zh-CN"/>
        </w:rPr>
        <w:t>和</w:t>
      </w:r>
      <w:r>
        <w:rPr>
          <w:rFonts w:hint="eastAsia" w:ascii="宋体" w:hAnsi="Times New Roman" w:eastAsia="宋体" w:cs="Times New Roman"/>
          <w:kern w:val="0"/>
          <w:szCs w:val="20"/>
        </w:rPr>
        <w:t>技术流程</w:t>
      </w:r>
      <w:r>
        <w:rPr>
          <w:rFonts w:hint="eastAsia" w:ascii="宋体" w:hAnsi="Times New Roman" w:cs="Times New Roman"/>
          <w:kern w:val="0"/>
          <w:szCs w:val="20"/>
          <w:lang w:eastAsia="zh-CN"/>
        </w:rPr>
        <w:t>，提供了</w:t>
      </w:r>
      <w:r>
        <w:rPr>
          <w:rFonts w:hint="eastAsia" w:ascii="宋体" w:hAnsi="Times New Roman" w:eastAsia="宋体" w:cs="Times New Roman"/>
          <w:kern w:val="0"/>
          <w:szCs w:val="20"/>
        </w:rPr>
        <w:t>林下种植、林下养殖、林下采集</w:t>
      </w:r>
      <w:r>
        <w:rPr>
          <w:rFonts w:hint="eastAsia" w:ascii="宋体" w:hAnsi="Times New Roman" w:cs="Times New Roman"/>
          <w:kern w:val="0"/>
          <w:szCs w:val="20"/>
          <w:lang w:eastAsia="zh-CN"/>
        </w:rPr>
        <w:t>、林下产品初</w:t>
      </w:r>
      <w:r>
        <w:rPr>
          <w:rFonts w:hint="eastAsia" w:ascii="宋体" w:hAnsi="Times New Roman" w:eastAsia="宋体" w:cs="Times New Roman"/>
          <w:kern w:val="0"/>
          <w:szCs w:val="20"/>
        </w:rPr>
        <w:t>加工</w:t>
      </w:r>
      <w:r>
        <w:rPr>
          <w:rFonts w:hint="eastAsia" w:ascii="宋体" w:hAnsi="Times New Roman" w:cs="Times New Roman"/>
          <w:kern w:val="0"/>
          <w:szCs w:val="20"/>
          <w:lang w:eastAsia="zh-CN"/>
        </w:rPr>
        <w:t>和</w:t>
      </w:r>
      <w:r>
        <w:rPr>
          <w:rFonts w:hint="eastAsia" w:ascii="宋体" w:hAnsi="Times New Roman" w:eastAsia="宋体" w:cs="Times New Roman"/>
          <w:kern w:val="0"/>
          <w:szCs w:val="20"/>
        </w:rPr>
        <w:t>森林景观利用等</w:t>
      </w:r>
      <w:r>
        <w:rPr>
          <w:rFonts w:hint="eastAsia" w:ascii="宋体" w:hAnsi="Times New Roman" w:cs="Times New Roman"/>
          <w:kern w:val="0"/>
          <w:szCs w:val="20"/>
          <w:lang w:eastAsia="zh-CN"/>
        </w:rPr>
        <w:t>方面的指导和建议</w:t>
      </w:r>
      <w:r>
        <w:rPr>
          <w:rFonts w:hint="eastAsia" w:ascii="宋体" w:hAnsi="Times New Roman" w:eastAsia="宋体" w:cs="Times New Roman"/>
          <w:kern w:val="0"/>
          <w:szCs w:val="20"/>
        </w:rPr>
        <w:t>。</w:t>
      </w:r>
    </w:p>
    <w:p w14:paraId="43FC6220">
      <w:pPr>
        <w:keepNext w:val="0"/>
        <w:keepLines w:val="0"/>
        <w:pageBreakBefore w:val="0"/>
        <w:kinsoku/>
        <w:wordWrap/>
        <w:overflowPunct/>
        <w:topLinePunct w:val="0"/>
        <w:bidi w:val="0"/>
        <w:adjustRightInd w:val="0"/>
        <w:snapToGrid w:val="0"/>
        <w:spacing w:line="300" w:lineRule="exact"/>
        <w:ind w:firstLine="420" w:firstLineChars="200"/>
        <w:textAlignment w:val="auto"/>
        <w:rPr>
          <w:rFonts w:ascii="宋体" w:hAnsi="Times New Roman" w:eastAsia="宋体" w:cs="Times New Roman"/>
          <w:kern w:val="0"/>
          <w:szCs w:val="20"/>
        </w:rPr>
      </w:pPr>
      <w:r>
        <w:rPr>
          <w:rFonts w:hint="eastAsia" w:ascii="宋体" w:hAnsi="Times New Roman" w:eastAsia="宋体" w:cs="Times New Roman"/>
          <w:kern w:val="0"/>
          <w:szCs w:val="20"/>
        </w:rPr>
        <w:t>本</w:t>
      </w:r>
      <w:r>
        <w:rPr>
          <w:rFonts w:hint="eastAsia" w:ascii="宋体" w:hAnsi="Times New Roman" w:cs="Times New Roman"/>
          <w:kern w:val="0"/>
          <w:szCs w:val="20"/>
          <w:lang w:val="en-US" w:eastAsia="zh-CN"/>
        </w:rPr>
        <w:t>文件</w:t>
      </w:r>
      <w:r>
        <w:rPr>
          <w:rFonts w:hint="eastAsia" w:ascii="宋体" w:hAnsi="Times New Roman" w:eastAsia="宋体" w:cs="Times New Roman"/>
          <w:kern w:val="0"/>
          <w:szCs w:val="20"/>
        </w:rPr>
        <w:t>适用于依托森林、林地及其生态环境开展</w:t>
      </w:r>
      <w:r>
        <w:rPr>
          <w:rFonts w:hint="eastAsia" w:ascii="宋体" w:hAnsi="Times New Roman" w:cs="Times New Roman"/>
          <w:kern w:val="0"/>
          <w:szCs w:val="20"/>
          <w:lang w:eastAsia="zh-CN"/>
        </w:rPr>
        <w:t>的</w:t>
      </w:r>
      <w:r>
        <w:rPr>
          <w:rFonts w:hint="eastAsia" w:ascii="宋体" w:hAnsi="Times New Roman" w:eastAsia="宋体" w:cs="Times New Roman"/>
          <w:kern w:val="0"/>
          <w:szCs w:val="20"/>
        </w:rPr>
        <w:t>林下种植、林下养殖、相关产品采集加工、森林景观利用等经营活动</w:t>
      </w:r>
      <w:r>
        <w:rPr>
          <w:rFonts w:hint="eastAsia" w:ascii="宋体" w:hAnsi="Times New Roman" w:cs="Times New Roman"/>
          <w:kern w:val="0"/>
          <w:szCs w:val="20"/>
          <w:lang w:eastAsia="zh-CN"/>
        </w:rPr>
        <w:t>，</w:t>
      </w:r>
      <w:r>
        <w:rPr>
          <w:rFonts w:hint="eastAsia" w:ascii="宋体" w:hAnsi="Times New Roman" w:eastAsia="宋体" w:cs="Times New Roman"/>
          <w:kern w:val="0"/>
          <w:szCs w:val="20"/>
        </w:rPr>
        <w:t>以及相应的</w:t>
      </w:r>
      <w:r>
        <w:rPr>
          <w:rFonts w:hint="eastAsia" w:ascii="宋体" w:hAnsi="Times New Roman" w:cs="Times New Roman"/>
          <w:kern w:val="0"/>
          <w:szCs w:val="20"/>
          <w:lang w:eastAsia="zh-CN"/>
        </w:rPr>
        <w:t>林下经济</w:t>
      </w:r>
      <w:r>
        <w:rPr>
          <w:rFonts w:hint="eastAsia" w:ascii="宋体" w:hAnsi="Times New Roman" w:eastAsia="宋体" w:cs="Times New Roman"/>
          <w:kern w:val="0"/>
          <w:szCs w:val="20"/>
        </w:rPr>
        <w:t>发展规划和行业管理。</w:t>
      </w:r>
    </w:p>
    <w:p w14:paraId="6AE4996B">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eastAsia="宋体" w:cs="Times New Roman"/>
          <w:kern w:val="0"/>
          <w:szCs w:val="24"/>
        </w:rPr>
      </w:pPr>
      <w:bookmarkStart w:id="17" w:name="_Toc27991497"/>
      <w:bookmarkStart w:id="18" w:name="_Toc27577307"/>
      <w:bookmarkStart w:id="19" w:name="_Toc27991565"/>
      <w:bookmarkStart w:id="20" w:name="_Toc123923796"/>
      <w:bookmarkStart w:id="21" w:name="_Toc17978"/>
      <w:bookmarkStart w:id="22" w:name="_Toc31432"/>
      <w:bookmarkStart w:id="23" w:name="_Toc27577376"/>
      <w:bookmarkStart w:id="24" w:name="_Toc28157016"/>
      <w:bookmarkStart w:id="25" w:name="_Toc25676337"/>
      <w:r>
        <w:rPr>
          <w:rFonts w:hint="eastAsia" w:ascii="黑体" w:hAnsi="Times New Roman" w:eastAsia="黑体" w:cs="Times New Roman"/>
          <w:kern w:val="0"/>
          <w:szCs w:val="20"/>
        </w:rPr>
        <w:t>2</w:t>
      </w:r>
      <w:r>
        <w:rPr>
          <w:rFonts w:hint="eastAsia"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rPr>
        <w:t>规范性引用文件</w:t>
      </w:r>
      <w:bookmarkEnd w:id="17"/>
      <w:bookmarkEnd w:id="18"/>
      <w:bookmarkEnd w:id="19"/>
      <w:bookmarkEnd w:id="20"/>
      <w:bookmarkEnd w:id="21"/>
      <w:bookmarkEnd w:id="22"/>
      <w:bookmarkEnd w:id="23"/>
      <w:bookmarkEnd w:id="24"/>
      <w:bookmarkEnd w:id="25"/>
    </w:p>
    <w:p w14:paraId="3B853E0D">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eastAsia="宋体" w:cs="Times New Roman"/>
          <w:kern w:val="0"/>
          <w:szCs w:val="24"/>
        </w:rPr>
      </w:pPr>
      <w:r>
        <w:rPr>
          <w:rFonts w:hint="eastAsia" w:ascii="宋体" w:hAnsi="Times New Roman" w:eastAsia="宋体" w:cs="Times New Roman"/>
          <w:kern w:val="0"/>
          <w:szCs w:val="24"/>
        </w:rPr>
        <w:t>下列文件中的内容通过文中的规范性引用而构成本文件必不可少的条款。其中，注日期的引用文件，仅该日期对应的版本适用于本文件</w:t>
      </w:r>
      <w:r>
        <w:rPr>
          <w:rFonts w:hint="eastAsia" w:ascii="宋体" w:hAnsi="Times New Roman" w:cs="Times New Roman"/>
          <w:kern w:val="0"/>
          <w:szCs w:val="24"/>
          <w:lang w:eastAsia="zh-CN"/>
        </w:rPr>
        <w:t>；</w:t>
      </w:r>
      <w:r>
        <w:rPr>
          <w:rFonts w:hint="eastAsia" w:ascii="宋体" w:hAnsi="Times New Roman" w:eastAsia="宋体" w:cs="Times New Roman"/>
          <w:kern w:val="0"/>
          <w:szCs w:val="24"/>
        </w:rPr>
        <w:t>不注日期的引用文件，其最新版本(包括所有修改单)适用于本文件。</w:t>
      </w:r>
    </w:p>
    <w:p w14:paraId="72FAFF40">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eastAsia="宋体" w:cs="Times New Roman"/>
          <w:kern w:val="0"/>
          <w:szCs w:val="24"/>
        </w:rPr>
      </w:pPr>
      <w:r>
        <w:rPr>
          <w:rFonts w:hint="eastAsia" w:ascii="宋体" w:hAnsi="Times New Roman" w:eastAsia="宋体" w:cs="Times New Roman"/>
          <w:kern w:val="0"/>
          <w:szCs w:val="24"/>
        </w:rPr>
        <w:t>GB 3095</w:t>
      </w:r>
      <w:r>
        <w:rPr>
          <w:rFonts w:hint="eastAsia" w:ascii="宋体" w:hAnsi="Times New Roman" w:cs="Times New Roman"/>
          <w:kern w:val="0"/>
          <w:szCs w:val="24"/>
          <w:lang w:val="en-US" w:eastAsia="zh-CN"/>
        </w:rPr>
        <w:t xml:space="preserve"> </w:t>
      </w:r>
      <w:r>
        <w:rPr>
          <w:rFonts w:hint="eastAsia" w:ascii="宋体" w:hAnsi="Times New Roman" w:eastAsia="宋体" w:cs="Times New Roman"/>
          <w:kern w:val="0"/>
          <w:szCs w:val="24"/>
        </w:rPr>
        <w:t xml:space="preserve"> 环境空气质量标准</w:t>
      </w:r>
    </w:p>
    <w:p w14:paraId="43308C1D">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eastAsia="宋体" w:cs="Times New Roman"/>
          <w:kern w:val="0"/>
          <w:szCs w:val="24"/>
        </w:rPr>
      </w:pPr>
      <w:r>
        <w:rPr>
          <w:rFonts w:hint="eastAsia" w:ascii="宋体" w:hAnsi="Times New Roman" w:eastAsia="宋体" w:cs="Times New Roman"/>
          <w:kern w:val="0"/>
          <w:szCs w:val="24"/>
        </w:rPr>
        <w:t>GB 5084</w:t>
      </w:r>
      <w:r>
        <w:rPr>
          <w:rFonts w:hint="eastAsia" w:ascii="宋体" w:hAnsi="Times New Roman" w:cs="Times New Roman"/>
          <w:kern w:val="0"/>
          <w:szCs w:val="24"/>
          <w:lang w:val="en-US" w:eastAsia="zh-CN"/>
        </w:rPr>
        <w:t xml:space="preserve">  </w:t>
      </w:r>
      <w:r>
        <w:rPr>
          <w:rFonts w:hint="eastAsia" w:ascii="宋体" w:hAnsi="Times New Roman" w:eastAsia="宋体" w:cs="Times New Roman"/>
          <w:kern w:val="0"/>
          <w:szCs w:val="24"/>
        </w:rPr>
        <w:t>农田灌溉水质标准</w:t>
      </w:r>
    </w:p>
    <w:p w14:paraId="665DDB58">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eastAsia="宋体" w:cs="Times New Roman"/>
          <w:kern w:val="0"/>
          <w:szCs w:val="24"/>
        </w:rPr>
      </w:pPr>
      <w:r>
        <w:rPr>
          <w:rFonts w:hint="eastAsia" w:ascii="宋体" w:hAnsi="Times New Roman" w:cs="Times New Roman"/>
          <w:kern w:val="0"/>
          <w:szCs w:val="24"/>
        </w:rPr>
        <w:t>GB 11607</w:t>
      </w:r>
      <w:r>
        <w:rPr>
          <w:rFonts w:hint="eastAsia" w:ascii="宋体" w:hAnsi="Times New Roman" w:cs="Times New Roman"/>
          <w:kern w:val="0"/>
          <w:szCs w:val="24"/>
          <w:lang w:val="en-US" w:eastAsia="zh-CN"/>
        </w:rPr>
        <w:t xml:space="preserve">  </w:t>
      </w:r>
      <w:r>
        <w:rPr>
          <w:rFonts w:hint="eastAsia" w:ascii="宋体" w:hAnsi="Times New Roman" w:cs="Times New Roman"/>
          <w:kern w:val="0"/>
          <w:szCs w:val="24"/>
        </w:rPr>
        <w:t>渔业水质标准</w:t>
      </w:r>
    </w:p>
    <w:p w14:paraId="00B0D7BA">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eastAsia="宋体" w:cs="Times New Roman"/>
          <w:kern w:val="0"/>
          <w:szCs w:val="24"/>
          <w:lang w:val="en-US" w:eastAsia="zh-CN"/>
        </w:rPr>
      </w:pPr>
      <w:r>
        <w:rPr>
          <w:rFonts w:hint="default" w:ascii="宋体" w:hAnsi="Times New Roman" w:cs="Times New Roman"/>
          <w:kern w:val="0"/>
          <w:szCs w:val="24"/>
        </w:rPr>
        <w:t>GB 15618</w:t>
      </w:r>
      <w:r>
        <w:rPr>
          <w:rFonts w:hint="eastAsia" w:ascii="宋体" w:hAnsi="Times New Roman" w:cs="Times New Roman"/>
          <w:kern w:val="0"/>
          <w:szCs w:val="24"/>
          <w:lang w:val="en-US" w:eastAsia="zh-CN"/>
        </w:rPr>
        <w:t xml:space="preserve">  </w:t>
      </w:r>
      <w:r>
        <w:rPr>
          <w:rFonts w:hint="eastAsia" w:ascii="宋体" w:hAnsi="Times New Roman" w:cs="Times New Roman"/>
          <w:kern w:val="0"/>
          <w:szCs w:val="24"/>
        </w:rPr>
        <w:t>土壤环境质量 农用地土壤污染风险管控标准（试行）</w:t>
      </w:r>
    </w:p>
    <w:p w14:paraId="1678DC9A">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cs="Times New Roman"/>
          <w:kern w:val="0"/>
          <w:szCs w:val="24"/>
          <w:lang w:val="en-US" w:eastAsia="zh-CN"/>
        </w:rPr>
      </w:pPr>
      <w:r>
        <w:rPr>
          <w:rFonts w:hint="eastAsia" w:ascii="宋体" w:hAnsi="Times New Roman" w:cs="Times New Roman"/>
          <w:kern w:val="0"/>
          <w:szCs w:val="24"/>
          <w:lang w:val="en-US" w:eastAsia="zh-CN"/>
        </w:rPr>
        <w:t>LY/T 2934  森林康养基地建设技术规程</w:t>
      </w:r>
    </w:p>
    <w:p w14:paraId="7219C230">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default" w:ascii="宋体" w:hAnsi="Times New Roman" w:cs="Times New Roman"/>
          <w:kern w:val="0"/>
          <w:szCs w:val="24"/>
          <w:lang w:val="en-US" w:eastAsia="zh-CN"/>
        </w:rPr>
      </w:pPr>
      <w:r>
        <w:rPr>
          <w:rFonts w:hint="eastAsia" w:ascii="宋体" w:hAnsi="Times New Roman" w:cs="Times New Roman"/>
          <w:kern w:val="0"/>
          <w:szCs w:val="24"/>
        </w:rPr>
        <w:t>LY/T 3329</w:t>
      </w:r>
      <w:r>
        <w:rPr>
          <w:rFonts w:hint="eastAsia" w:ascii="宋体" w:hAnsi="Times New Roman" w:cs="Times New Roman"/>
          <w:kern w:val="0"/>
          <w:szCs w:val="24"/>
          <w:lang w:val="en-US" w:eastAsia="zh-CN"/>
        </w:rPr>
        <w:t xml:space="preserve">  </w:t>
      </w:r>
      <w:r>
        <w:rPr>
          <w:rFonts w:hint="eastAsia" w:ascii="宋体" w:hAnsi="Times New Roman" w:cs="Times New Roman"/>
          <w:kern w:val="0"/>
          <w:szCs w:val="24"/>
        </w:rPr>
        <w:t>自然教育指南</w:t>
      </w:r>
    </w:p>
    <w:p w14:paraId="53CF855D">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cs="Times New Roman"/>
          <w:kern w:val="0"/>
          <w:szCs w:val="24"/>
          <w:lang w:val="en-US" w:eastAsia="zh-CN"/>
        </w:rPr>
      </w:pPr>
      <w:r>
        <w:rPr>
          <w:rFonts w:hint="eastAsia" w:ascii="宋体" w:hAnsi="Times New Roman" w:cs="Times New Roman"/>
          <w:kern w:val="0"/>
          <w:szCs w:val="24"/>
          <w:lang w:val="en-US" w:eastAsia="zh-CN"/>
        </w:rPr>
        <w:t>LY/T 3408-2024  林下经济术语</w:t>
      </w:r>
    </w:p>
    <w:p w14:paraId="7972CBC8">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cs="Times New Roman"/>
          <w:kern w:val="0"/>
          <w:szCs w:val="24"/>
          <w:lang w:val="en-US" w:eastAsia="zh-CN"/>
        </w:rPr>
      </w:pPr>
      <w:r>
        <w:rPr>
          <w:rFonts w:hint="eastAsia" w:ascii="宋体" w:hAnsi="Times New Roman" w:eastAsia="宋体" w:cs="Times New Roman"/>
          <w:kern w:val="0"/>
          <w:szCs w:val="24"/>
        </w:rPr>
        <w:t>NY/T 393</w:t>
      </w:r>
      <w:r>
        <w:rPr>
          <w:rFonts w:hint="eastAsia" w:ascii="宋体" w:hAnsi="Times New Roman" w:cs="Times New Roman"/>
          <w:kern w:val="0"/>
          <w:szCs w:val="24"/>
          <w:lang w:val="en-US" w:eastAsia="zh-CN"/>
        </w:rPr>
        <w:t xml:space="preserve"> </w:t>
      </w:r>
      <w:r>
        <w:rPr>
          <w:rFonts w:hint="eastAsia" w:ascii="宋体" w:hAnsi="Times New Roman" w:eastAsia="宋体" w:cs="Times New Roman"/>
          <w:kern w:val="0"/>
          <w:szCs w:val="24"/>
        </w:rPr>
        <w:t xml:space="preserve"> 绿色食品</w:t>
      </w:r>
      <w:r>
        <w:rPr>
          <w:rFonts w:hint="eastAsia" w:ascii="宋体" w:hAnsi="Times New Roman" w:cs="Times New Roman"/>
          <w:kern w:val="0"/>
          <w:szCs w:val="24"/>
          <w:lang w:val="en-US" w:eastAsia="zh-CN"/>
        </w:rPr>
        <w:t xml:space="preserve"> </w:t>
      </w:r>
      <w:r>
        <w:rPr>
          <w:rFonts w:hint="eastAsia" w:ascii="宋体" w:hAnsi="Times New Roman" w:eastAsia="宋体" w:cs="Times New Roman"/>
          <w:kern w:val="0"/>
          <w:szCs w:val="24"/>
        </w:rPr>
        <w:t>农药使用准则</w:t>
      </w:r>
    </w:p>
    <w:p w14:paraId="17DB385B">
      <w:pPr>
        <w:keepNext w:val="0"/>
        <w:keepLines w:val="0"/>
        <w:pageBreakBefore w:val="0"/>
        <w:widowControl/>
        <w:kinsoku/>
        <w:wordWrap/>
        <w:overflowPunct/>
        <w:topLinePunct w:val="0"/>
        <w:bidi w:val="0"/>
        <w:spacing w:beforeLines="100" w:afterLines="100" w:line="300" w:lineRule="exact"/>
        <w:textAlignment w:val="auto"/>
        <w:outlineLvl w:val="0"/>
        <w:rPr>
          <w:rFonts w:ascii="黑体" w:hAnsi="Times New Roman" w:eastAsia="黑体" w:cs="Times New Roman"/>
          <w:kern w:val="0"/>
          <w:szCs w:val="20"/>
        </w:rPr>
      </w:pPr>
      <w:bookmarkStart w:id="26" w:name="_Toc3706"/>
      <w:bookmarkStart w:id="27" w:name="_Toc13191"/>
      <w:bookmarkStart w:id="28" w:name="_Toc123923797"/>
      <w:r>
        <w:rPr>
          <w:rFonts w:hint="eastAsia" w:ascii="黑体" w:hAnsi="Times New Roman" w:eastAsia="黑体" w:cs="Times New Roman"/>
          <w:kern w:val="0"/>
          <w:szCs w:val="20"/>
        </w:rPr>
        <w:t>3</w:t>
      </w:r>
      <w:r>
        <w:rPr>
          <w:rFonts w:hint="eastAsia"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rPr>
        <w:t>术语和定义</w:t>
      </w:r>
      <w:bookmarkEnd w:id="26"/>
      <w:bookmarkEnd w:id="27"/>
      <w:bookmarkEnd w:id="28"/>
    </w:p>
    <w:p w14:paraId="54F2A2A9">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rPr>
      </w:pPr>
      <w:r>
        <w:rPr>
          <w:rFonts w:hint="eastAsia" w:ascii="宋体" w:hAnsi="Times New Roman" w:eastAsia="宋体" w:cs="Times New Roman"/>
          <w:b w:val="0"/>
          <w:bCs w:val="0"/>
          <w:kern w:val="0"/>
          <w:szCs w:val="20"/>
          <w:lang w:val="en-US" w:eastAsia="zh-CN"/>
        </w:rPr>
        <w:t>LY/T 3408-2024 界定的术语和定义适用于本文件。</w:t>
      </w:r>
    </w:p>
    <w:p w14:paraId="47B24E31">
      <w:pPr>
        <w:keepNext w:val="0"/>
        <w:keepLines w:val="0"/>
        <w:pageBreakBefore w:val="0"/>
        <w:widowControl/>
        <w:kinsoku/>
        <w:wordWrap/>
        <w:overflowPunct/>
        <w:topLinePunct w:val="0"/>
        <w:bidi w:val="0"/>
        <w:spacing w:beforeLines="100" w:afterLines="100" w:line="300" w:lineRule="exact"/>
        <w:textAlignment w:val="auto"/>
        <w:outlineLvl w:val="0"/>
        <w:rPr>
          <w:rFonts w:hint="default" w:ascii="宋体" w:hAnsi="Times New Roman" w:eastAsia="宋体" w:cs="Times New Roman"/>
          <w:kern w:val="0"/>
          <w:szCs w:val="20"/>
          <w:lang w:val="en-US" w:eastAsia="zh-CN"/>
        </w:rPr>
      </w:pPr>
      <w:bookmarkStart w:id="29" w:name="_Toc1213"/>
      <w:bookmarkStart w:id="30" w:name="_Toc20977"/>
      <w:r>
        <w:rPr>
          <w:rFonts w:hint="eastAsia" w:ascii="黑体" w:hAnsi="Times New Roman" w:eastAsia="黑体" w:cs="Times New Roman"/>
          <w:kern w:val="0"/>
          <w:szCs w:val="20"/>
          <w:lang w:val="en-US" w:eastAsia="zh-CN"/>
        </w:rPr>
        <w:t xml:space="preserve">4 </w:t>
      </w:r>
      <w:bookmarkEnd w:id="29"/>
      <w:r>
        <w:rPr>
          <w:rFonts w:hint="eastAsia" w:ascii="黑体" w:hAnsi="Times New Roman" w:eastAsia="黑体" w:cs="Times New Roman"/>
          <w:kern w:val="0"/>
          <w:szCs w:val="20"/>
          <w:lang w:val="en-US" w:eastAsia="zh-CN"/>
        </w:rPr>
        <w:t xml:space="preserve"> 指导思想</w:t>
      </w:r>
      <w:bookmarkEnd w:id="30"/>
    </w:p>
    <w:p w14:paraId="5F1974A5">
      <w:pPr>
        <w:keepNext w:val="0"/>
        <w:keepLines w:val="0"/>
        <w:pageBreakBefore w:val="0"/>
        <w:kinsoku/>
        <w:wordWrap/>
        <w:overflowPunct/>
        <w:topLinePunct w:val="0"/>
        <w:bidi w:val="0"/>
        <w:adjustRightInd w:val="0"/>
        <w:snapToGrid w:val="0"/>
        <w:spacing w:before="157" w:beforeLines="50" w:after="157" w:afterLines="50" w:line="240" w:lineRule="auto"/>
        <w:ind w:firstLine="0" w:firstLineChars="0"/>
        <w:textAlignment w:val="auto"/>
        <w:rPr>
          <w:rFonts w:hint="eastAsia" w:ascii="黑体" w:hAnsi="黑体" w:eastAsia="黑体" w:cs="黑体"/>
          <w:b w:val="0"/>
          <w:bCs w:val="0"/>
          <w:kern w:val="0"/>
          <w:szCs w:val="20"/>
          <w:lang w:val="en-US" w:eastAsia="zh-CN"/>
        </w:rPr>
      </w:pPr>
      <w:r>
        <w:rPr>
          <w:rFonts w:hint="eastAsia" w:ascii="黑体" w:hAnsi="黑体" w:eastAsia="黑体" w:cs="黑体"/>
          <w:b w:val="0"/>
          <w:bCs w:val="0"/>
          <w:kern w:val="0"/>
          <w:szCs w:val="20"/>
          <w:lang w:val="en-US" w:eastAsia="zh-CN"/>
        </w:rPr>
        <w:t xml:space="preserve">4.1 </w:t>
      </w:r>
      <w:r>
        <w:rPr>
          <w:rFonts w:hint="eastAsia" w:ascii="黑体" w:hAnsi="黑体" w:eastAsia="黑体" w:cs="黑体"/>
          <w:b w:val="0"/>
          <w:bCs w:val="0"/>
          <w:kern w:val="0"/>
          <w:szCs w:val="20"/>
          <w:lang w:val="en-US" w:eastAsia="zh-CN"/>
        </w:rPr>
        <w:t xml:space="preserve"> </w:t>
      </w:r>
      <w:r>
        <w:rPr>
          <w:rFonts w:hint="eastAsia" w:ascii="黑体" w:hAnsi="黑体" w:eastAsia="黑体" w:cs="黑体"/>
          <w:b w:val="0"/>
          <w:bCs w:val="0"/>
          <w:kern w:val="0"/>
          <w:szCs w:val="20"/>
          <w:lang w:val="en-US" w:eastAsia="zh-CN"/>
        </w:rPr>
        <w:t>生态优先、合理利用</w:t>
      </w:r>
    </w:p>
    <w:p w14:paraId="077C51BF">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在确保生态环境和森林资源安全的前提下，将林下经济发展与生态建设工程</w:t>
      </w:r>
      <w:r>
        <w:rPr>
          <w:rFonts w:hint="eastAsia" w:ascii="宋体" w:hAnsi="Times New Roman" w:cs="Times New Roman"/>
          <w:kern w:val="0"/>
          <w:szCs w:val="20"/>
          <w:lang w:val="en-US" w:eastAsia="zh-CN"/>
        </w:rPr>
        <w:t>相</w:t>
      </w:r>
      <w:r>
        <w:rPr>
          <w:rFonts w:hint="eastAsia" w:ascii="宋体" w:hAnsi="Times New Roman" w:eastAsia="宋体" w:cs="Times New Roman"/>
          <w:kern w:val="0"/>
          <w:szCs w:val="20"/>
          <w:lang w:val="en-US" w:eastAsia="zh-CN"/>
        </w:rPr>
        <w:t>结合，合理利用林地资源，合理规划布局，兼顾生态效益、经济效益和社会效益，</w:t>
      </w:r>
      <w:r>
        <w:rPr>
          <w:rFonts w:hint="eastAsia" w:ascii="宋体" w:hAnsi="Times New Roman" w:cs="Times New Roman"/>
          <w:kern w:val="0"/>
          <w:szCs w:val="20"/>
          <w:lang w:val="en-US" w:eastAsia="zh-CN"/>
        </w:rPr>
        <w:t>促进林下经济可持续发展</w:t>
      </w:r>
      <w:r>
        <w:rPr>
          <w:rFonts w:hint="eastAsia" w:ascii="宋体" w:hAnsi="Times New Roman" w:eastAsia="宋体" w:cs="Times New Roman"/>
          <w:kern w:val="0"/>
          <w:szCs w:val="20"/>
          <w:lang w:val="en-US" w:eastAsia="zh-CN"/>
        </w:rPr>
        <w:t>。</w:t>
      </w:r>
    </w:p>
    <w:p w14:paraId="68D56EDA">
      <w:pPr>
        <w:keepNext w:val="0"/>
        <w:keepLines w:val="0"/>
        <w:pageBreakBefore w:val="0"/>
        <w:kinsoku/>
        <w:wordWrap/>
        <w:overflowPunct/>
        <w:topLinePunct w:val="0"/>
        <w:bidi w:val="0"/>
        <w:adjustRightInd w:val="0"/>
        <w:snapToGrid w:val="0"/>
        <w:spacing w:before="157" w:beforeLines="50" w:after="157" w:afterLines="50" w:line="240" w:lineRule="auto"/>
        <w:ind w:firstLine="0" w:firstLineChars="0"/>
        <w:textAlignment w:val="auto"/>
        <w:rPr>
          <w:rFonts w:hint="eastAsia" w:ascii="黑体" w:hAnsi="黑体" w:eastAsia="黑体" w:cs="黑体"/>
          <w:b w:val="0"/>
          <w:bCs w:val="0"/>
          <w:kern w:val="0"/>
          <w:szCs w:val="20"/>
          <w:lang w:val="en-US" w:eastAsia="zh-CN"/>
        </w:rPr>
      </w:pPr>
      <w:r>
        <w:rPr>
          <w:rFonts w:hint="eastAsia" w:ascii="黑体" w:hAnsi="黑体" w:eastAsia="黑体" w:cs="黑体"/>
          <w:b w:val="0"/>
          <w:bCs w:val="0"/>
          <w:kern w:val="0"/>
          <w:szCs w:val="20"/>
          <w:lang w:val="en-US" w:eastAsia="zh-CN"/>
        </w:rPr>
        <w:t xml:space="preserve">4.2 </w:t>
      </w:r>
      <w:r>
        <w:rPr>
          <w:rFonts w:hint="eastAsia" w:ascii="黑体" w:hAnsi="黑体" w:eastAsia="黑体" w:cs="黑体"/>
          <w:b w:val="0"/>
          <w:bCs w:val="0"/>
          <w:kern w:val="0"/>
          <w:szCs w:val="20"/>
          <w:lang w:val="en-US" w:eastAsia="zh-CN"/>
        </w:rPr>
        <w:t xml:space="preserve"> </w:t>
      </w:r>
      <w:r>
        <w:rPr>
          <w:rFonts w:hint="eastAsia" w:ascii="黑体" w:hAnsi="黑体" w:eastAsia="黑体" w:cs="黑体"/>
          <w:b w:val="0"/>
          <w:bCs w:val="0"/>
          <w:kern w:val="0"/>
          <w:szCs w:val="20"/>
          <w:lang w:val="en-US" w:eastAsia="zh-CN"/>
        </w:rPr>
        <w:t>因地制宜、特色发展</w:t>
      </w:r>
    </w:p>
    <w:p w14:paraId="33F56A98">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分类指导、分区施策，发挥各地的资源禀赋优势，综合考虑自然资源条件和资金、市场、技术等因素，</w:t>
      </w:r>
      <w:r>
        <w:rPr>
          <w:rFonts w:hint="eastAsia" w:ascii="宋体" w:hAnsi="Times New Roman" w:cs="Times New Roman"/>
          <w:kern w:val="0"/>
          <w:szCs w:val="20"/>
          <w:lang w:val="en-US" w:eastAsia="zh-CN"/>
        </w:rPr>
        <w:t>依托经营主体</w:t>
      </w:r>
      <w:r>
        <w:rPr>
          <w:rFonts w:hint="eastAsia" w:ascii="宋体" w:hAnsi="Times New Roman" w:eastAsia="宋体" w:cs="Times New Roman"/>
          <w:kern w:val="0"/>
          <w:szCs w:val="20"/>
          <w:lang w:val="en-US" w:eastAsia="zh-CN"/>
        </w:rPr>
        <w:t>，优化产业布局，注重特色发展、规模化经营。</w:t>
      </w:r>
    </w:p>
    <w:p w14:paraId="1F1C0F42">
      <w:pPr>
        <w:keepNext w:val="0"/>
        <w:keepLines w:val="0"/>
        <w:pageBreakBefore w:val="0"/>
        <w:kinsoku/>
        <w:wordWrap/>
        <w:overflowPunct/>
        <w:topLinePunct w:val="0"/>
        <w:bidi w:val="0"/>
        <w:adjustRightInd w:val="0"/>
        <w:snapToGrid w:val="0"/>
        <w:spacing w:before="157" w:beforeLines="50" w:after="157" w:afterLines="50" w:line="240" w:lineRule="auto"/>
        <w:ind w:firstLine="0" w:firstLineChars="0"/>
        <w:textAlignment w:val="auto"/>
        <w:rPr>
          <w:rFonts w:hint="eastAsia" w:ascii="黑体" w:hAnsi="黑体" w:eastAsia="黑体" w:cs="黑体"/>
          <w:b w:val="0"/>
          <w:bCs w:val="0"/>
          <w:kern w:val="0"/>
          <w:szCs w:val="20"/>
          <w:lang w:val="en-US" w:eastAsia="zh-CN"/>
        </w:rPr>
      </w:pPr>
      <w:r>
        <w:rPr>
          <w:rFonts w:hint="eastAsia" w:ascii="黑体" w:hAnsi="黑体" w:eastAsia="黑体" w:cs="黑体"/>
          <w:b w:val="0"/>
          <w:bCs w:val="0"/>
          <w:kern w:val="0"/>
          <w:szCs w:val="20"/>
          <w:lang w:val="en-US" w:eastAsia="zh-CN"/>
        </w:rPr>
        <w:t xml:space="preserve">4.3 </w:t>
      </w:r>
      <w:r>
        <w:rPr>
          <w:rFonts w:hint="eastAsia" w:ascii="黑体" w:hAnsi="黑体" w:eastAsia="黑体" w:cs="黑体"/>
          <w:b w:val="0"/>
          <w:bCs w:val="0"/>
          <w:kern w:val="0"/>
          <w:szCs w:val="20"/>
          <w:lang w:val="en-US" w:eastAsia="zh-CN"/>
        </w:rPr>
        <w:t xml:space="preserve"> </w:t>
      </w:r>
      <w:r>
        <w:rPr>
          <w:rFonts w:hint="eastAsia" w:ascii="黑体" w:hAnsi="黑体" w:eastAsia="黑体" w:cs="黑体"/>
          <w:b w:val="0"/>
          <w:bCs w:val="0"/>
          <w:kern w:val="0"/>
          <w:szCs w:val="20"/>
          <w:lang w:val="en-US" w:eastAsia="zh-CN"/>
        </w:rPr>
        <w:t>产业融合、体系配套</w:t>
      </w:r>
    </w:p>
    <w:p w14:paraId="0818C746">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lang w:val="en-US" w:eastAsia="zh-CN"/>
        </w:rPr>
      </w:pPr>
      <w:r>
        <w:rPr>
          <w:rFonts w:hint="eastAsia" w:ascii="宋体" w:hAnsi="Times New Roman" w:cs="Times New Roman"/>
          <w:kern w:val="0"/>
          <w:szCs w:val="20"/>
          <w:lang w:val="en-US" w:eastAsia="zh-CN"/>
        </w:rPr>
        <w:t>推动</w:t>
      </w:r>
      <w:r>
        <w:rPr>
          <w:rFonts w:hint="eastAsia" w:ascii="宋体" w:hAnsi="Times New Roman" w:eastAsia="宋体" w:cs="Times New Roman"/>
          <w:kern w:val="0"/>
          <w:szCs w:val="20"/>
          <w:lang w:val="en-US" w:eastAsia="zh-CN"/>
        </w:rPr>
        <w:t>一二三产业融合发展，</w:t>
      </w:r>
      <w:r>
        <w:rPr>
          <w:rFonts w:hint="eastAsia" w:ascii="宋体" w:hAnsi="Times New Roman" w:cs="Times New Roman"/>
          <w:kern w:val="0"/>
          <w:szCs w:val="20"/>
          <w:lang w:val="en-US" w:eastAsia="zh-CN"/>
        </w:rPr>
        <w:t>提高</w:t>
      </w:r>
      <w:r>
        <w:rPr>
          <w:rFonts w:hint="eastAsia" w:ascii="宋体" w:hAnsi="Times New Roman" w:eastAsia="宋体" w:cs="Times New Roman"/>
          <w:kern w:val="0"/>
          <w:szCs w:val="20"/>
          <w:lang w:val="en-US" w:eastAsia="zh-CN"/>
        </w:rPr>
        <w:t>产业聚集度，延长产业链，提升价值链，完善供应链，加强仓储物流等配套体系建设，增加产品附加值，</w:t>
      </w:r>
      <w:r>
        <w:rPr>
          <w:rFonts w:hint="eastAsia" w:ascii="宋体" w:hAnsi="Times New Roman" w:cs="Times New Roman"/>
          <w:kern w:val="0"/>
          <w:szCs w:val="20"/>
          <w:lang w:val="en-US" w:eastAsia="zh-CN"/>
        </w:rPr>
        <w:t>推动</w:t>
      </w:r>
      <w:r>
        <w:rPr>
          <w:rFonts w:hint="eastAsia" w:ascii="宋体" w:hAnsi="Times New Roman" w:eastAsia="宋体" w:cs="Times New Roman"/>
          <w:kern w:val="0"/>
          <w:szCs w:val="20"/>
          <w:lang w:val="en-US" w:eastAsia="zh-CN"/>
        </w:rPr>
        <w:t>林下经济产业向纵深发展。</w:t>
      </w:r>
    </w:p>
    <w:p w14:paraId="60DB4087">
      <w:pPr>
        <w:keepNext w:val="0"/>
        <w:keepLines w:val="0"/>
        <w:pageBreakBefore w:val="0"/>
        <w:kinsoku/>
        <w:wordWrap/>
        <w:overflowPunct/>
        <w:topLinePunct w:val="0"/>
        <w:bidi w:val="0"/>
        <w:adjustRightInd w:val="0"/>
        <w:snapToGrid w:val="0"/>
        <w:spacing w:before="157" w:beforeLines="50" w:after="157" w:afterLines="50" w:line="240" w:lineRule="auto"/>
        <w:ind w:firstLine="0" w:firstLineChars="0"/>
        <w:textAlignment w:val="auto"/>
        <w:rPr>
          <w:rFonts w:hint="eastAsia" w:ascii="黑体" w:hAnsi="黑体" w:eastAsia="黑体" w:cs="黑体"/>
          <w:b w:val="0"/>
          <w:bCs w:val="0"/>
          <w:kern w:val="0"/>
          <w:szCs w:val="20"/>
          <w:lang w:val="en-US" w:eastAsia="zh-CN"/>
        </w:rPr>
      </w:pPr>
      <w:r>
        <w:rPr>
          <w:rFonts w:hint="eastAsia" w:ascii="黑体" w:hAnsi="黑体" w:eastAsia="黑体" w:cs="黑体"/>
          <w:b w:val="0"/>
          <w:bCs w:val="0"/>
          <w:kern w:val="0"/>
          <w:szCs w:val="20"/>
          <w:lang w:val="en-US" w:eastAsia="zh-CN"/>
        </w:rPr>
        <w:t>4.4</w:t>
      </w:r>
      <w:r>
        <w:rPr>
          <w:rFonts w:hint="eastAsia" w:ascii="黑体" w:hAnsi="黑体" w:eastAsia="黑体" w:cs="黑体"/>
          <w:b w:val="0"/>
          <w:bCs w:val="0"/>
          <w:kern w:val="0"/>
          <w:szCs w:val="20"/>
          <w:lang w:val="en-US" w:eastAsia="zh-CN"/>
        </w:rPr>
        <w:t xml:space="preserve"> </w:t>
      </w:r>
      <w:r>
        <w:rPr>
          <w:rFonts w:hint="eastAsia" w:ascii="黑体" w:hAnsi="黑体" w:eastAsia="黑体" w:cs="黑体"/>
          <w:b w:val="0"/>
          <w:bCs w:val="0"/>
          <w:kern w:val="0"/>
          <w:szCs w:val="20"/>
          <w:lang w:val="en-US" w:eastAsia="zh-CN"/>
        </w:rPr>
        <w:t xml:space="preserve"> 科技支撑、优质高效</w:t>
      </w:r>
    </w:p>
    <w:p w14:paraId="3A14F6AD">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加强科技支撑体系建设，推广新优特品种，开展科技培训和实用技术应用，加</w:t>
      </w:r>
      <w:r>
        <w:rPr>
          <w:rFonts w:hint="eastAsia" w:ascii="宋体" w:hAnsi="Times New Roman" w:cs="Times New Roman"/>
          <w:kern w:val="0"/>
          <w:szCs w:val="20"/>
          <w:lang w:val="en-US" w:eastAsia="zh-CN"/>
        </w:rPr>
        <w:t>强</w:t>
      </w:r>
      <w:r>
        <w:rPr>
          <w:rFonts w:hint="eastAsia" w:ascii="宋体" w:hAnsi="Times New Roman" w:eastAsia="宋体" w:cs="Times New Roman"/>
          <w:kern w:val="0"/>
          <w:szCs w:val="20"/>
          <w:lang w:val="en-US" w:eastAsia="zh-CN"/>
        </w:rPr>
        <w:t>科技示范基地和园区建设力度，</w:t>
      </w:r>
      <w:r>
        <w:rPr>
          <w:rFonts w:hint="eastAsia" w:ascii="宋体" w:hAnsi="Times New Roman" w:cs="Times New Roman"/>
          <w:kern w:val="0"/>
          <w:szCs w:val="20"/>
          <w:lang w:val="en-US" w:eastAsia="zh-CN"/>
        </w:rPr>
        <w:t>以科技支撑林下经济高质量发展。</w:t>
      </w:r>
    </w:p>
    <w:p w14:paraId="4A7B3F41">
      <w:pPr>
        <w:keepNext w:val="0"/>
        <w:keepLines w:val="0"/>
        <w:pageBreakBefore w:val="0"/>
        <w:kinsoku/>
        <w:wordWrap/>
        <w:overflowPunct/>
        <w:topLinePunct w:val="0"/>
        <w:bidi w:val="0"/>
        <w:adjustRightInd w:val="0"/>
        <w:snapToGrid w:val="0"/>
        <w:spacing w:before="157" w:beforeLines="50" w:after="157" w:afterLines="50" w:line="240" w:lineRule="auto"/>
        <w:ind w:firstLine="0" w:firstLineChars="0"/>
        <w:textAlignment w:val="auto"/>
        <w:rPr>
          <w:rFonts w:hint="eastAsia" w:ascii="黑体" w:hAnsi="黑体" w:eastAsia="黑体" w:cs="黑体"/>
          <w:b w:val="0"/>
          <w:bCs w:val="0"/>
          <w:kern w:val="0"/>
          <w:szCs w:val="20"/>
          <w:lang w:val="en-US" w:eastAsia="zh-CN"/>
        </w:rPr>
      </w:pPr>
      <w:r>
        <w:rPr>
          <w:rFonts w:hint="eastAsia" w:ascii="黑体" w:hAnsi="黑体" w:eastAsia="黑体" w:cs="黑体"/>
          <w:b w:val="0"/>
          <w:bCs w:val="0"/>
          <w:kern w:val="0"/>
          <w:szCs w:val="20"/>
          <w:lang w:val="en-US" w:eastAsia="zh-CN"/>
        </w:rPr>
        <w:t xml:space="preserve">4.5 </w:t>
      </w:r>
      <w:r>
        <w:rPr>
          <w:rFonts w:hint="eastAsia" w:ascii="黑体" w:hAnsi="黑体" w:eastAsia="黑体" w:cs="黑体"/>
          <w:b w:val="0"/>
          <w:bCs w:val="0"/>
          <w:kern w:val="0"/>
          <w:szCs w:val="20"/>
          <w:lang w:val="en-US" w:eastAsia="zh-CN"/>
        </w:rPr>
        <w:t xml:space="preserve"> </w:t>
      </w:r>
      <w:r>
        <w:rPr>
          <w:rFonts w:hint="eastAsia" w:ascii="黑体" w:hAnsi="黑体" w:eastAsia="黑体" w:cs="黑体"/>
          <w:b w:val="0"/>
          <w:bCs w:val="0"/>
          <w:kern w:val="0"/>
          <w:szCs w:val="20"/>
          <w:lang w:val="en-US" w:eastAsia="zh-CN"/>
        </w:rPr>
        <w:t>政策引导、社会参与</w:t>
      </w:r>
    </w:p>
    <w:p w14:paraId="1F9233E6">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根据市场供需</w:t>
      </w:r>
      <w:r>
        <w:rPr>
          <w:rFonts w:hint="eastAsia" w:ascii="宋体" w:hAnsi="Times New Roman" w:cs="Times New Roman"/>
          <w:kern w:val="0"/>
          <w:szCs w:val="20"/>
          <w:lang w:val="en-US" w:eastAsia="zh-CN"/>
        </w:rPr>
        <w:t>情况</w:t>
      </w:r>
      <w:r>
        <w:rPr>
          <w:rFonts w:hint="eastAsia" w:ascii="宋体" w:hAnsi="Times New Roman" w:eastAsia="宋体" w:cs="Times New Roman"/>
          <w:kern w:val="0"/>
          <w:szCs w:val="20"/>
          <w:lang w:val="en-US" w:eastAsia="zh-CN"/>
        </w:rPr>
        <w:t>，利用政策引导农民发展适宜的林下</w:t>
      </w:r>
      <w:r>
        <w:rPr>
          <w:rFonts w:hint="eastAsia" w:ascii="宋体" w:hAnsi="Times New Roman" w:cs="Times New Roman"/>
          <w:kern w:val="0"/>
          <w:szCs w:val="20"/>
          <w:lang w:val="en-US" w:eastAsia="zh-CN"/>
        </w:rPr>
        <w:t>经济</w:t>
      </w:r>
      <w:r>
        <w:rPr>
          <w:rFonts w:hint="eastAsia" w:ascii="宋体" w:hAnsi="Times New Roman" w:eastAsia="宋体" w:cs="Times New Roman"/>
          <w:kern w:val="0"/>
          <w:szCs w:val="20"/>
          <w:lang w:val="en-US" w:eastAsia="zh-CN"/>
        </w:rPr>
        <w:t>产业，</w:t>
      </w:r>
      <w:r>
        <w:rPr>
          <w:rFonts w:hint="eastAsia" w:ascii="宋体" w:hAnsi="Times New Roman" w:cs="Times New Roman"/>
          <w:kern w:val="0"/>
          <w:szCs w:val="20"/>
          <w:lang w:val="en-US" w:eastAsia="zh-CN"/>
        </w:rPr>
        <w:t>兼顾</w:t>
      </w:r>
      <w:r>
        <w:rPr>
          <w:rFonts w:hint="eastAsia" w:ascii="宋体" w:hAnsi="Times New Roman" w:eastAsia="宋体" w:cs="Times New Roman"/>
          <w:kern w:val="0"/>
          <w:szCs w:val="20"/>
          <w:lang w:val="en-US" w:eastAsia="zh-CN"/>
        </w:rPr>
        <w:t>经济效益</w:t>
      </w:r>
      <w:r>
        <w:rPr>
          <w:rFonts w:hint="eastAsia" w:ascii="宋体" w:hAnsi="Times New Roman" w:cs="Times New Roman"/>
          <w:kern w:val="0"/>
          <w:szCs w:val="20"/>
          <w:lang w:val="en-US" w:eastAsia="zh-CN"/>
        </w:rPr>
        <w:t>与生态效益</w:t>
      </w:r>
      <w:r>
        <w:rPr>
          <w:rFonts w:hint="eastAsia" w:ascii="宋体" w:hAnsi="Times New Roman" w:eastAsia="宋体" w:cs="Times New Roman"/>
          <w:kern w:val="0"/>
          <w:szCs w:val="20"/>
          <w:lang w:val="en-US" w:eastAsia="zh-CN"/>
        </w:rPr>
        <w:t>。联合相关部门，</w:t>
      </w:r>
      <w:r>
        <w:rPr>
          <w:rFonts w:hint="eastAsia" w:ascii="宋体" w:hAnsi="Times New Roman" w:cs="Times New Roman"/>
          <w:kern w:val="0"/>
          <w:szCs w:val="20"/>
          <w:lang w:val="en-US" w:eastAsia="zh-CN"/>
        </w:rPr>
        <w:t>加强</w:t>
      </w:r>
      <w:r>
        <w:rPr>
          <w:rFonts w:hint="eastAsia" w:ascii="宋体" w:hAnsi="Times New Roman" w:eastAsia="宋体" w:cs="Times New Roman"/>
          <w:kern w:val="0"/>
          <w:szCs w:val="20"/>
          <w:lang w:val="en-US" w:eastAsia="zh-CN"/>
        </w:rPr>
        <w:t>协调，</w:t>
      </w:r>
      <w:r>
        <w:rPr>
          <w:rFonts w:hint="eastAsia" w:ascii="宋体" w:hAnsi="Times New Roman" w:cs="Times New Roman"/>
          <w:kern w:val="0"/>
          <w:szCs w:val="20"/>
          <w:lang w:val="en-US" w:eastAsia="zh-CN"/>
        </w:rPr>
        <w:t>开展</w:t>
      </w:r>
      <w:r>
        <w:rPr>
          <w:rFonts w:hint="eastAsia" w:ascii="宋体" w:hAnsi="Times New Roman" w:eastAsia="宋体" w:cs="Times New Roman"/>
          <w:kern w:val="0"/>
          <w:szCs w:val="20"/>
          <w:lang w:val="en-US" w:eastAsia="zh-CN"/>
        </w:rPr>
        <w:t>宣传，鼓励社会资本和民营企业</w:t>
      </w:r>
      <w:r>
        <w:rPr>
          <w:rFonts w:hint="eastAsia" w:ascii="宋体" w:hAnsi="Times New Roman" w:cs="Times New Roman"/>
          <w:kern w:val="0"/>
          <w:szCs w:val="20"/>
          <w:lang w:val="en-US" w:eastAsia="zh-CN"/>
        </w:rPr>
        <w:t>参与</w:t>
      </w:r>
      <w:r>
        <w:rPr>
          <w:rFonts w:hint="eastAsia" w:ascii="宋体" w:hAnsi="Times New Roman" w:eastAsia="宋体" w:cs="Times New Roman"/>
          <w:kern w:val="0"/>
          <w:szCs w:val="20"/>
          <w:lang w:val="en-US" w:eastAsia="zh-CN"/>
        </w:rPr>
        <w:t>。</w:t>
      </w:r>
    </w:p>
    <w:p w14:paraId="3F94FAAF">
      <w:pPr>
        <w:keepNext w:val="0"/>
        <w:keepLines w:val="0"/>
        <w:pageBreakBefore w:val="0"/>
        <w:widowControl/>
        <w:kinsoku/>
        <w:wordWrap/>
        <w:overflowPunct/>
        <w:topLinePunct w:val="0"/>
        <w:bidi w:val="0"/>
        <w:spacing w:beforeLines="100" w:afterLines="100" w:line="300" w:lineRule="exact"/>
        <w:textAlignment w:val="auto"/>
        <w:outlineLvl w:val="0"/>
        <w:rPr>
          <w:rFonts w:hint="default" w:ascii="宋体" w:hAnsi="Times New Roman" w:eastAsia="宋体" w:cs="Times New Roman"/>
          <w:kern w:val="0"/>
          <w:szCs w:val="20"/>
          <w:lang w:val="en-US" w:eastAsia="zh-CN"/>
        </w:rPr>
      </w:pPr>
      <w:bookmarkStart w:id="31" w:name="_Toc19613"/>
      <w:bookmarkStart w:id="32" w:name="_Toc8819"/>
      <w:r>
        <w:rPr>
          <w:rFonts w:hint="eastAsia" w:ascii="黑体" w:hAnsi="Times New Roman" w:eastAsia="黑体" w:cs="Times New Roman"/>
          <w:kern w:val="0"/>
          <w:szCs w:val="20"/>
          <w:lang w:val="en-US" w:eastAsia="zh-CN"/>
        </w:rPr>
        <w:t xml:space="preserve">5 </w:t>
      </w:r>
      <w:bookmarkEnd w:id="31"/>
      <w:r>
        <w:rPr>
          <w:rFonts w:hint="default"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highlight w:val="none"/>
          <w:lang w:val="en-US" w:eastAsia="zh-CN"/>
        </w:rPr>
        <w:t>基本原则</w:t>
      </w:r>
      <w:bookmarkEnd w:id="32"/>
    </w:p>
    <w:p w14:paraId="75E6CD6C">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lang w:val="en-US" w:eastAsia="zh-CN"/>
        </w:rPr>
        <w:t>5.1</w:t>
      </w:r>
      <w:r>
        <w:rPr>
          <w:rFonts w:hint="eastAsia" w:ascii="宋体" w:hAnsi="Times New Roman" w:eastAsia="宋体" w:cs="Times New Roman"/>
          <w:kern w:val="0"/>
          <w:szCs w:val="20"/>
          <w:lang w:val="en-US" w:eastAsia="zh-CN"/>
        </w:rPr>
        <w:t xml:space="preserve"> </w:t>
      </w:r>
      <w:r>
        <w:rPr>
          <w:rFonts w:hint="eastAsia" w:ascii="宋体" w:hAnsi="Times New Roman" w:cs="Times New Roman"/>
          <w:kern w:val="0"/>
          <w:szCs w:val="20"/>
          <w:lang w:val="en-US" w:eastAsia="zh-CN"/>
        </w:rPr>
        <w:t xml:space="preserve"> 宜</w:t>
      </w:r>
      <w:r>
        <w:rPr>
          <w:rFonts w:hint="eastAsia" w:ascii="宋体" w:hAnsi="Times New Roman" w:eastAsia="宋体" w:cs="Times New Roman"/>
          <w:kern w:val="0"/>
          <w:szCs w:val="20"/>
          <w:lang w:val="en-US" w:eastAsia="zh-CN"/>
        </w:rPr>
        <w:t>在森林生态系统健康、立地条件好、交通便利的林地开展林下经济活动，</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优先发展生态风险小、技术成熟、综合效益突出的林下经济产业，促</w:t>
      </w:r>
      <w:r>
        <w:rPr>
          <w:rFonts w:hint="eastAsia" w:ascii="宋体" w:hAnsi="Times New Roman" w:cs="Times New Roman"/>
          <w:kern w:val="0"/>
          <w:szCs w:val="20"/>
          <w:lang w:val="en-US" w:eastAsia="zh-CN"/>
        </w:rPr>
        <w:t>进</w:t>
      </w:r>
      <w:r>
        <w:rPr>
          <w:rFonts w:hint="eastAsia" w:ascii="宋体" w:hAnsi="Times New Roman" w:eastAsia="宋体" w:cs="Times New Roman"/>
          <w:kern w:val="0"/>
          <w:szCs w:val="20"/>
          <w:lang w:val="en-US" w:eastAsia="zh-CN"/>
        </w:rPr>
        <w:t>自然教育、科学普及、生态旅游、森林康养等景观利用型林下经济。</w:t>
      </w:r>
    </w:p>
    <w:p w14:paraId="7F2FEBD5">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5.2</w:t>
      </w:r>
      <w:r>
        <w:rPr>
          <w:rFonts w:hint="eastAsia" w:ascii="黑体" w:hAnsi="黑体" w:eastAsia="黑体" w:cs="黑体"/>
          <w:b w:val="0"/>
          <w:bCs w:val="0"/>
          <w:kern w:val="0"/>
          <w:szCs w:val="20"/>
          <w:lang w:val="en-US" w:eastAsia="zh-CN"/>
        </w:rPr>
        <w:t xml:space="preserve"> </w:t>
      </w:r>
      <w:r>
        <w:rPr>
          <w:rFonts w:hint="eastAsia" w:ascii="黑体" w:hAnsi="黑体" w:eastAsia="黑体" w:cs="黑体"/>
          <w:b/>
          <w:bCs/>
          <w:kern w:val="0"/>
          <w:szCs w:val="20"/>
          <w:highlight w:val="none"/>
          <w:lang w:val="en-US" w:eastAsia="zh-CN"/>
        </w:rPr>
        <w:t xml:space="preserve"> </w:t>
      </w:r>
      <w:r>
        <w:rPr>
          <w:rFonts w:hint="eastAsia" w:ascii="宋体" w:hAnsi="Times New Roman" w:cs="Times New Roman"/>
          <w:kern w:val="0"/>
          <w:szCs w:val="20"/>
          <w:highlight w:val="none"/>
          <w:lang w:eastAsia="zh-CN"/>
        </w:rPr>
        <w:t>宜在</w:t>
      </w:r>
      <w:r>
        <w:rPr>
          <w:rFonts w:hint="eastAsia" w:ascii="宋体" w:hAnsi="Times New Roman" w:cs="Times New Roman"/>
          <w:kern w:val="0"/>
          <w:szCs w:val="20"/>
          <w:highlight w:val="none"/>
        </w:rPr>
        <w:t>有条件的地区根据林地资源禀赋、立地条件、森林资源保护要求和林下经济发展需求，探索林业标准地建设，完善林地调查评价、经营准入、基础设施和配套服务，为林下经济规范化、集约化发展提供条件。</w:t>
      </w:r>
    </w:p>
    <w:p w14:paraId="4E163622">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cs="Times New Roman"/>
          <w:kern w:val="0"/>
          <w:szCs w:val="20"/>
          <w:highlight w:val="none"/>
          <w:lang w:val="en-US" w:eastAsia="zh-CN"/>
        </w:rPr>
      </w:pPr>
      <w:r>
        <w:rPr>
          <w:rFonts w:hint="eastAsia" w:ascii="黑体" w:hAnsi="黑体" w:eastAsia="黑体" w:cs="黑体"/>
          <w:b w:val="0"/>
          <w:bCs w:val="0"/>
          <w:kern w:val="0"/>
          <w:szCs w:val="20"/>
          <w:highlight w:val="none"/>
          <w:lang w:val="en-US" w:eastAsia="zh-CN"/>
        </w:rPr>
        <w:t>5.3</w:t>
      </w:r>
      <w:r>
        <w:rPr>
          <w:rFonts w:hint="eastAsia" w:ascii="黑体" w:hAnsi="黑体" w:eastAsia="黑体" w:cs="黑体"/>
          <w:b/>
          <w:bCs/>
          <w:kern w:val="0"/>
          <w:szCs w:val="20"/>
          <w:highlight w:val="none"/>
          <w:lang w:val="en-US" w:eastAsia="zh-CN"/>
        </w:rPr>
        <w:t xml:space="preserve"> </w:t>
      </w:r>
      <w:r>
        <w:rPr>
          <w:rFonts w:hint="eastAsia" w:ascii="黑体" w:hAnsi="黑体" w:eastAsia="黑体" w:cs="黑体"/>
          <w:b/>
          <w:bCs/>
          <w:kern w:val="0"/>
          <w:szCs w:val="20"/>
          <w:lang w:val="en-US" w:eastAsia="zh-CN"/>
        </w:rPr>
        <w:t xml:space="preserve"> </w:t>
      </w:r>
      <w:r>
        <w:rPr>
          <w:rFonts w:hint="eastAsia" w:ascii="宋体" w:hAnsi="Times New Roman" w:eastAsia="宋体" w:cs="Times New Roman"/>
          <w:kern w:val="0"/>
          <w:szCs w:val="20"/>
          <w:highlight w:val="none"/>
          <w:lang w:val="en-US" w:eastAsia="zh-CN"/>
        </w:rPr>
        <w:t>在不影响其主体功能的前提下，</w:t>
      </w:r>
      <w:r>
        <w:rPr>
          <w:rFonts w:hint="eastAsia" w:ascii="宋体" w:hAnsi="Times New Roman" w:cs="Times New Roman"/>
          <w:kern w:val="0"/>
          <w:szCs w:val="20"/>
          <w:highlight w:val="none"/>
          <w:lang w:val="en-US" w:eastAsia="zh-CN"/>
        </w:rPr>
        <w:t>可</w:t>
      </w:r>
      <w:r>
        <w:rPr>
          <w:rFonts w:hint="eastAsia" w:ascii="宋体" w:hAnsi="Times New Roman" w:eastAsia="宋体" w:cs="Times New Roman"/>
          <w:kern w:val="0"/>
          <w:szCs w:val="20"/>
          <w:highlight w:val="none"/>
          <w:lang w:val="en-US" w:eastAsia="zh-CN"/>
        </w:rPr>
        <w:t>在各类防护林的林地</w:t>
      </w:r>
      <w:r>
        <w:rPr>
          <w:rFonts w:hint="eastAsia" w:ascii="宋体" w:hAnsi="Times New Roman" w:cs="Times New Roman"/>
          <w:kern w:val="0"/>
          <w:szCs w:val="20"/>
          <w:highlight w:val="none"/>
          <w:lang w:val="en-US" w:eastAsia="zh-CN"/>
        </w:rPr>
        <w:t>、</w:t>
      </w:r>
      <w:r>
        <w:rPr>
          <w:rFonts w:hint="eastAsia" w:ascii="宋体" w:hAnsi="Times New Roman" w:eastAsia="宋体" w:cs="Times New Roman"/>
          <w:kern w:val="0"/>
          <w:szCs w:val="20"/>
          <w:highlight w:val="none"/>
          <w:lang w:val="en-US" w:eastAsia="zh-CN"/>
        </w:rPr>
        <w:t>自然保护地一般控制区内的林地</w:t>
      </w:r>
      <w:r>
        <w:rPr>
          <w:rFonts w:hint="eastAsia" w:ascii="宋体" w:hAnsi="Times New Roman" w:cs="Times New Roman"/>
          <w:kern w:val="0"/>
          <w:szCs w:val="20"/>
          <w:highlight w:val="none"/>
          <w:lang w:val="en-US" w:eastAsia="zh-CN"/>
        </w:rPr>
        <w:t>、</w:t>
      </w:r>
      <w:r>
        <w:rPr>
          <w:rFonts w:hint="eastAsia" w:ascii="宋体" w:hAnsi="Times New Roman" w:eastAsia="宋体" w:cs="Times New Roman"/>
          <w:kern w:val="0"/>
          <w:szCs w:val="20"/>
          <w:highlight w:val="none"/>
          <w:lang w:val="en-US" w:eastAsia="zh-CN"/>
        </w:rPr>
        <w:t>国家一级公益林以外的其他公益林</w:t>
      </w:r>
      <w:r>
        <w:rPr>
          <w:rFonts w:hint="eastAsia" w:ascii="宋体" w:hAnsi="Times New Roman" w:cs="Times New Roman"/>
          <w:kern w:val="0"/>
          <w:szCs w:val="20"/>
          <w:highlight w:val="none"/>
          <w:lang w:val="en-US" w:eastAsia="zh-CN"/>
        </w:rPr>
        <w:t>、</w:t>
      </w:r>
      <w:r>
        <w:rPr>
          <w:rFonts w:hint="eastAsia" w:ascii="宋体" w:hAnsi="Times New Roman" w:eastAsia="宋体" w:cs="Times New Roman"/>
          <w:kern w:val="0"/>
          <w:szCs w:val="20"/>
          <w:highlight w:val="none"/>
          <w:lang w:val="en-US" w:eastAsia="zh-CN"/>
        </w:rPr>
        <w:t>划定为天然林重点保护区以外的其他天然林</w:t>
      </w:r>
      <w:r>
        <w:rPr>
          <w:rFonts w:hint="eastAsia" w:ascii="宋体" w:hAnsi="Times New Roman" w:cs="Times New Roman"/>
          <w:kern w:val="0"/>
          <w:szCs w:val="20"/>
          <w:highlight w:val="none"/>
          <w:lang w:val="en-US" w:eastAsia="zh-CN"/>
        </w:rPr>
        <w:t>、</w:t>
      </w:r>
      <w:r>
        <w:rPr>
          <w:rFonts w:hint="eastAsia" w:ascii="宋体" w:hAnsi="Times New Roman" w:eastAsia="宋体" w:cs="Times New Roman"/>
          <w:kern w:val="0"/>
          <w:szCs w:val="20"/>
          <w:highlight w:val="none"/>
          <w:lang w:val="en-US" w:eastAsia="zh-CN"/>
        </w:rPr>
        <w:t>一级和二级</w:t>
      </w:r>
      <w:r>
        <w:rPr>
          <w:rFonts w:hint="eastAsia" w:ascii="宋体" w:hAnsi="Times New Roman" w:cs="Times New Roman"/>
          <w:kern w:val="0"/>
          <w:szCs w:val="20"/>
          <w:highlight w:val="none"/>
          <w:lang w:val="en-US" w:eastAsia="zh-CN"/>
        </w:rPr>
        <w:t>饮用水</w:t>
      </w:r>
      <w:r>
        <w:rPr>
          <w:rFonts w:hint="eastAsia" w:ascii="宋体" w:hAnsi="Times New Roman" w:eastAsia="宋体" w:cs="Times New Roman"/>
          <w:kern w:val="0"/>
          <w:szCs w:val="20"/>
          <w:highlight w:val="none"/>
          <w:lang w:val="en-US" w:eastAsia="zh-CN"/>
        </w:rPr>
        <w:t>水源保护区以外的准保护区等林地发展林下经济。</w:t>
      </w:r>
    </w:p>
    <w:p w14:paraId="008CD317">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cs="Times New Roman"/>
          <w:kern w:val="0"/>
          <w:szCs w:val="20"/>
          <w:highlight w:val="none"/>
          <w:lang w:val="en-US" w:eastAsia="zh-CN"/>
        </w:rPr>
      </w:pPr>
      <w:r>
        <w:rPr>
          <w:rFonts w:hint="eastAsia" w:ascii="黑体" w:hAnsi="黑体" w:eastAsia="黑体" w:cs="黑体"/>
          <w:b w:val="0"/>
          <w:bCs w:val="0"/>
          <w:kern w:val="0"/>
          <w:szCs w:val="20"/>
          <w:highlight w:val="none"/>
          <w:lang w:val="en-US" w:eastAsia="zh-CN"/>
        </w:rPr>
        <w:t xml:space="preserve">5.4 </w:t>
      </w:r>
      <w:r>
        <w:rPr>
          <w:rFonts w:hint="eastAsia" w:ascii="黑体" w:hAnsi="黑体" w:eastAsia="黑体" w:cs="黑体"/>
          <w:b w:val="0"/>
          <w:bCs w:val="0"/>
          <w:kern w:val="0"/>
          <w:szCs w:val="20"/>
          <w:lang w:val="en-US" w:eastAsia="zh-CN"/>
        </w:rPr>
        <w:t xml:space="preserve"> </w:t>
      </w:r>
      <w:r>
        <w:rPr>
          <w:rFonts w:hint="eastAsia" w:ascii="宋体" w:hAnsi="Times New Roman" w:eastAsia="宋体" w:cs="Times New Roman"/>
          <w:kern w:val="0"/>
          <w:szCs w:val="20"/>
          <w:highlight w:val="none"/>
          <w:lang w:val="en-US" w:eastAsia="zh-CN"/>
        </w:rPr>
        <w:t>不应开展造成外来物种入侵、生物基因污染、植物病虫害及动物疫源疫病传播、生态资源和生态环境破坏、威胁人民生命健康安全的林下经济活动</w:t>
      </w:r>
      <w:r>
        <w:rPr>
          <w:rFonts w:hint="eastAsia" w:ascii="宋体" w:hAnsi="Times New Roman" w:cs="Times New Roman"/>
          <w:kern w:val="0"/>
          <w:szCs w:val="20"/>
          <w:highlight w:val="none"/>
          <w:lang w:val="en-US" w:eastAsia="zh-CN"/>
        </w:rPr>
        <w:t>。</w:t>
      </w:r>
      <w:r>
        <w:rPr>
          <w:rFonts w:hint="eastAsia" w:ascii="宋体" w:hAnsi="Times New Roman" w:eastAsia="宋体" w:cs="Times New Roman"/>
          <w:kern w:val="0"/>
          <w:szCs w:val="20"/>
          <w:highlight w:val="none"/>
          <w:lang w:val="en-US" w:eastAsia="zh-CN"/>
        </w:rPr>
        <w:t>不应在下列重要生态功能区和林地开展林下经济活动：</w:t>
      </w:r>
      <w:bookmarkStart w:id="44" w:name="_GoBack"/>
      <w:bookmarkEnd w:id="44"/>
    </w:p>
    <w:p w14:paraId="75A91EA3">
      <w:pPr>
        <w:keepNext w:val="0"/>
        <w:keepLines w:val="0"/>
        <w:pageBreakBefore w:val="0"/>
        <w:widowControl w:val="0"/>
        <w:kinsoku/>
        <w:wordWrap/>
        <w:overflowPunct/>
        <w:topLinePunct w:val="0"/>
        <w:autoSpaceDE/>
        <w:autoSpaceDN/>
        <w:bidi w:val="0"/>
        <w:adjustRightInd w:val="0"/>
        <w:snapToGrid w:val="0"/>
        <w:spacing w:line="300" w:lineRule="exact"/>
        <w:ind w:left="840" w:leftChars="200" w:hanging="420" w:hangingChars="200"/>
        <w:textAlignment w:val="auto"/>
        <w:rPr>
          <w:rFonts w:hint="eastAsia" w:ascii="宋体" w:hAnsi="Times New Roman" w:eastAsia="宋体" w:cs="Times New Roman"/>
          <w:kern w:val="0"/>
          <w:szCs w:val="20"/>
          <w:highlight w:val="none"/>
          <w:lang w:val="en-US" w:eastAsia="zh-CN"/>
        </w:rPr>
      </w:pPr>
      <w:r>
        <w:rPr>
          <w:rFonts w:hint="default" w:ascii="Times New Roman" w:hAnsi="Times New Roman" w:eastAsia="宋体" w:cs="Times New Roman"/>
          <w:kern w:val="0"/>
          <w:szCs w:val="20"/>
          <w:highlight w:val="none"/>
          <w:lang w:val="en-US" w:eastAsia="zh-CN"/>
        </w:rPr>
        <w:t>——</w:t>
      </w:r>
      <w:r>
        <w:rPr>
          <w:rFonts w:hint="eastAsia" w:ascii="宋体" w:hAnsi="Times New Roman" w:eastAsia="宋体" w:cs="Times New Roman"/>
          <w:kern w:val="0"/>
          <w:szCs w:val="20"/>
          <w:highlight w:val="none"/>
          <w:lang w:val="en-US" w:eastAsia="zh-CN"/>
        </w:rPr>
        <w:t>流程1</w:t>
      </w:r>
      <w:r>
        <w:rPr>
          <w:rFonts w:hint="eastAsia" w:ascii="宋体" w:hAnsi="Times New Roman" w:cs="Times New Roman"/>
          <w:kern w:val="0"/>
          <w:szCs w:val="20"/>
          <w:highlight w:val="none"/>
          <w:lang w:val="en-US" w:eastAsia="zh-CN"/>
        </w:rPr>
        <w:t xml:space="preserve"> </w:t>
      </w:r>
      <w:r>
        <w:rPr>
          <w:rFonts w:hint="eastAsia" w:ascii="宋体" w:hAnsi="Times New Roman" w:eastAsia="宋体" w:cs="Times New Roman"/>
          <w:kern w:val="0"/>
          <w:szCs w:val="20"/>
          <w:highlight w:val="none"/>
          <w:lang w:val="en-US" w:eastAsia="zh-CN"/>
        </w:rPr>
        <w:t>000</w:t>
      </w:r>
      <w:r>
        <w:rPr>
          <w:rFonts w:hint="eastAsia" w:ascii="宋体" w:hAnsi="Times New Roman" w:cs="Times New Roman"/>
          <w:kern w:val="0"/>
          <w:szCs w:val="20"/>
          <w:highlight w:val="none"/>
          <w:lang w:val="en-US" w:eastAsia="zh-CN"/>
        </w:rPr>
        <w:t xml:space="preserve"> km</w:t>
      </w:r>
      <w:r>
        <w:rPr>
          <w:rFonts w:hint="eastAsia" w:ascii="宋体" w:hAnsi="Times New Roman" w:eastAsia="宋体" w:cs="Times New Roman"/>
          <w:kern w:val="0"/>
          <w:szCs w:val="20"/>
          <w:highlight w:val="none"/>
          <w:lang w:val="en-US" w:eastAsia="zh-CN"/>
        </w:rPr>
        <w:t>以上江河干流及其一级支流的源头汇水区、国家公园和自然保护区的核心区、世界自然遗产地核心区、一级和二级饮用水水源保护区、森林分布上限与高山植被上限之间的过渡区等重要生态功能区；</w:t>
      </w:r>
    </w:p>
    <w:p w14:paraId="5B37FD22">
      <w:pPr>
        <w:keepNext w:val="0"/>
        <w:keepLines w:val="0"/>
        <w:pageBreakBefore w:val="0"/>
        <w:widowControl w:val="0"/>
        <w:kinsoku/>
        <w:wordWrap/>
        <w:overflowPunct/>
        <w:topLinePunct w:val="0"/>
        <w:autoSpaceDE/>
        <w:autoSpaceDN/>
        <w:bidi w:val="0"/>
        <w:adjustRightInd w:val="0"/>
        <w:snapToGrid w:val="0"/>
        <w:spacing w:line="300" w:lineRule="exact"/>
        <w:ind w:left="840" w:leftChars="200" w:hanging="420" w:hangingChars="200"/>
        <w:textAlignment w:val="auto"/>
        <w:rPr>
          <w:rFonts w:hint="eastAsia" w:ascii="宋体" w:hAnsi="Times New Roman" w:cs="Times New Roman"/>
          <w:kern w:val="0"/>
          <w:szCs w:val="20"/>
          <w:highlight w:val="none"/>
          <w:lang w:val="en-US" w:eastAsia="zh-CN"/>
        </w:rPr>
      </w:pPr>
      <w:r>
        <w:rPr>
          <w:rFonts w:hint="eastAsia" w:ascii="宋体" w:hAnsi="Times New Roman" w:eastAsia="宋体" w:cs="Times New Roman"/>
          <w:kern w:val="0"/>
          <w:szCs w:val="20"/>
          <w:highlight w:val="none"/>
          <w:lang w:val="en-US" w:eastAsia="zh-CN"/>
        </w:rPr>
        <w:t>——在国家一级公益林、林地保护等级为Ⅰ级的林地、重要水源涵养林、天然林重点保护区、珍稀濒危野生动植物重要栖息地的林地。</w:t>
      </w:r>
    </w:p>
    <w:p w14:paraId="2BF66FB2">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eastAsia="宋体" w:cs="Times New Roman"/>
          <w:kern w:val="0"/>
          <w:szCs w:val="20"/>
          <w:lang w:val="en-US" w:eastAsia="zh-CN"/>
        </w:rPr>
      </w:pPr>
      <w:bookmarkStart w:id="33" w:name="_Toc28145"/>
      <w:bookmarkStart w:id="34" w:name="_Toc23711"/>
      <w:r>
        <w:rPr>
          <w:rFonts w:hint="eastAsia" w:ascii="黑体" w:hAnsi="Times New Roman" w:eastAsia="黑体" w:cs="Times New Roman"/>
          <w:kern w:val="0"/>
          <w:szCs w:val="20"/>
          <w:lang w:val="en-US" w:eastAsia="zh-CN"/>
        </w:rPr>
        <w:t xml:space="preserve">6 </w:t>
      </w:r>
      <w:r>
        <w:rPr>
          <w:rFonts w:hint="default"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lang w:val="en-US" w:eastAsia="zh-CN"/>
        </w:rPr>
        <w:t>技术流程</w:t>
      </w:r>
      <w:bookmarkEnd w:id="33"/>
      <w:bookmarkEnd w:id="34"/>
    </w:p>
    <w:p w14:paraId="5782BF48">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发展林下经济</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开展现状调查、规划设计、工程实施和监测评估</w:t>
      </w:r>
      <w:r>
        <w:rPr>
          <w:rFonts w:hint="eastAsia" w:ascii="宋体" w:hAnsi="Times New Roman" w:cs="Times New Roman"/>
          <w:kern w:val="0"/>
          <w:szCs w:val="20"/>
          <w:lang w:val="en-US" w:eastAsia="zh-CN"/>
        </w:rPr>
        <w:t>等</w:t>
      </w:r>
      <w:r>
        <w:rPr>
          <w:rFonts w:hint="eastAsia" w:ascii="宋体" w:hAnsi="Times New Roman" w:eastAsia="宋体" w:cs="Times New Roman"/>
          <w:kern w:val="0"/>
          <w:szCs w:val="20"/>
          <w:lang w:val="en-US" w:eastAsia="zh-CN"/>
        </w:rPr>
        <w:t>。</w:t>
      </w:r>
      <w:r>
        <w:rPr>
          <w:rFonts w:hint="eastAsia" w:ascii="宋体" w:hAnsi="Times New Roman" w:cs="Times New Roman"/>
          <w:kern w:val="0"/>
          <w:szCs w:val="20"/>
          <w:lang w:val="en-US" w:eastAsia="zh-CN"/>
        </w:rPr>
        <w:t>主要流程包括以下内容：</w:t>
      </w:r>
    </w:p>
    <w:p w14:paraId="7E156959">
      <w:pPr>
        <w:keepNext w:val="0"/>
        <w:keepLines w:val="0"/>
        <w:pageBreakBefore w:val="0"/>
        <w:numPr>
          <w:ilvl w:val="0"/>
          <w:numId w:val="1"/>
        </w:numPr>
        <w:kinsoku/>
        <w:wordWrap/>
        <w:overflowPunct/>
        <w:topLinePunct w:val="0"/>
        <w:bidi w:val="0"/>
        <w:adjustRightInd w:val="0"/>
        <w:snapToGrid w:val="0"/>
        <w:spacing w:line="300" w:lineRule="exact"/>
        <w:ind w:left="840" w:leftChars="200" w:hanging="420" w:hanging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现状调查包括收集本底资料、确定调查内容、开展调查活动、撰写调查报告</w:t>
      </w:r>
      <w:r>
        <w:rPr>
          <w:rFonts w:hint="eastAsia" w:ascii="宋体" w:hAnsi="Times New Roman" w:cs="Times New Roman"/>
          <w:kern w:val="0"/>
          <w:szCs w:val="20"/>
          <w:lang w:val="en-US" w:eastAsia="zh-CN"/>
        </w:rPr>
        <w:t>等</w:t>
      </w:r>
      <w:r>
        <w:rPr>
          <w:rFonts w:hint="eastAsia" w:ascii="宋体" w:hAnsi="Times New Roman" w:eastAsia="宋体" w:cs="Times New Roman"/>
          <w:kern w:val="0"/>
          <w:szCs w:val="20"/>
          <w:lang w:val="en-US" w:eastAsia="zh-CN"/>
        </w:rPr>
        <w:t>。</w:t>
      </w:r>
    </w:p>
    <w:p w14:paraId="273056A3">
      <w:pPr>
        <w:keepNext w:val="0"/>
        <w:keepLines w:val="0"/>
        <w:pageBreakBefore w:val="0"/>
        <w:numPr>
          <w:ilvl w:val="0"/>
          <w:numId w:val="1"/>
        </w:numPr>
        <w:kinsoku/>
        <w:wordWrap/>
        <w:overflowPunct/>
        <w:topLinePunct w:val="0"/>
        <w:bidi w:val="0"/>
        <w:adjustRightInd w:val="0"/>
        <w:snapToGrid w:val="0"/>
        <w:spacing w:line="300" w:lineRule="exact"/>
        <w:ind w:left="840" w:leftChars="200" w:hanging="420" w:hanging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规划设计包括目标制定、任务布局、项目设计、环境评价、风险评估及方案编制</w:t>
      </w:r>
      <w:r>
        <w:rPr>
          <w:rFonts w:hint="eastAsia" w:ascii="宋体" w:hAnsi="Times New Roman" w:cs="Times New Roman"/>
          <w:kern w:val="0"/>
          <w:szCs w:val="20"/>
          <w:lang w:val="en-US" w:eastAsia="zh-CN"/>
        </w:rPr>
        <w:t>等</w:t>
      </w:r>
      <w:r>
        <w:rPr>
          <w:rFonts w:hint="eastAsia" w:ascii="宋体" w:hAnsi="Times New Roman" w:eastAsia="宋体" w:cs="Times New Roman"/>
          <w:kern w:val="0"/>
          <w:szCs w:val="20"/>
          <w:lang w:val="en-US" w:eastAsia="zh-CN"/>
        </w:rPr>
        <w:t>。</w:t>
      </w:r>
    </w:p>
    <w:p w14:paraId="7D333982">
      <w:pPr>
        <w:keepNext w:val="0"/>
        <w:keepLines w:val="0"/>
        <w:pageBreakBefore w:val="0"/>
        <w:numPr>
          <w:ilvl w:val="0"/>
          <w:numId w:val="1"/>
        </w:numPr>
        <w:kinsoku/>
        <w:wordWrap/>
        <w:overflowPunct/>
        <w:topLinePunct w:val="0"/>
        <w:bidi w:val="0"/>
        <w:adjustRightInd w:val="0"/>
        <w:snapToGrid w:val="0"/>
        <w:spacing w:line="300" w:lineRule="exact"/>
        <w:ind w:left="840" w:leftChars="200" w:hanging="420" w:hanging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工程实施包括</w:t>
      </w:r>
      <w:r>
        <w:rPr>
          <w:rFonts w:hint="eastAsia" w:ascii="宋体" w:hAnsi="Times New Roman" w:cs="Times New Roman"/>
          <w:kern w:val="0"/>
          <w:szCs w:val="20"/>
          <w:lang w:val="en-US" w:eastAsia="zh-CN"/>
        </w:rPr>
        <w:t>林下栽植、生态养殖、合理采集、景观利用及生产全流程管护等林下经济作业</w:t>
      </w:r>
      <w:r>
        <w:rPr>
          <w:rFonts w:hint="eastAsia" w:ascii="宋体" w:hAnsi="Times New Roman" w:eastAsia="宋体" w:cs="Times New Roman"/>
          <w:kern w:val="0"/>
          <w:szCs w:val="20"/>
          <w:lang w:val="en-US" w:eastAsia="zh-CN"/>
        </w:rPr>
        <w:t>。</w:t>
      </w:r>
    </w:p>
    <w:p w14:paraId="323C6219">
      <w:pPr>
        <w:keepNext w:val="0"/>
        <w:keepLines w:val="0"/>
        <w:pageBreakBefore w:val="0"/>
        <w:numPr>
          <w:ilvl w:val="0"/>
          <w:numId w:val="1"/>
        </w:numPr>
        <w:kinsoku/>
        <w:wordWrap/>
        <w:overflowPunct/>
        <w:topLinePunct w:val="0"/>
        <w:bidi w:val="0"/>
        <w:adjustRightInd w:val="0"/>
        <w:snapToGrid w:val="0"/>
        <w:spacing w:line="300" w:lineRule="exact"/>
        <w:ind w:left="840" w:leftChars="200" w:hanging="420" w:hangingChars="200"/>
        <w:textAlignment w:val="auto"/>
        <w:rPr>
          <w:rFonts w:hint="eastAsia" w:ascii="宋体" w:hAnsi="Times New Roman" w:eastAsia="宋体" w:cs="Times New Roman"/>
          <w:kern w:val="0"/>
          <w:szCs w:val="20"/>
          <w:lang w:val="en-US" w:eastAsia="zh-CN"/>
        </w:rPr>
      </w:pPr>
      <w:r>
        <w:rPr>
          <w:rFonts w:hint="eastAsia" w:ascii="宋体" w:hAnsi="Times New Roman" w:eastAsia="宋体" w:cs="Times New Roman"/>
          <w:kern w:val="0"/>
          <w:szCs w:val="20"/>
          <w:lang w:val="en-US" w:eastAsia="zh-CN"/>
        </w:rPr>
        <w:t>监测评估包括制订监测规范，开展林下经济发展动态及其经济、社会与生态影响的监测，建立档案和开发管理信息系统等。</w:t>
      </w:r>
    </w:p>
    <w:p w14:paraId="58DC5293">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eastAsia="宋体" w:cs="Times New Roman"/>
          <w:kern w:val="0"/>
          <w:szCs w:val="20"/>
          <w:highlight w:val="none"/>
          <w:lang w:val="en-US" w:eastAsia="zh-CN"/>
        </w:rPr>
      </w:pPr>
      <w:bookmarkStart w:id="35" w:name="_Toc24114"/>
      <w:bookmarkStart w:id="36" w:name="_Toc29769"/>
      <w:r>
        <w:rPr>
          <w:rFonts w:hint="eastAsia" w:ascii="黑体" w:hAnsi="Times New Roman" w:eastAsia="黑体" w:cs="Times New Roman"/>
          <w:kern w:val="0"/>
          <w:szCs w:val="20"/>
          <w:lang w:val="en-US" w:eastAsia="zh-CN"/>
        </w:rPr>
        <w:t xml:space="preserve">7 </w:t>
      </w:r>
      <w:r>
        <w:rPr>
          <w:rFonts w:hint="default"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lang w:val="en-US" w:eastAsia="zh-CN"/>
        </w:rPr>
        <w:t>林下种植</w:t>
      </w:r>
      <w:bookmarkEnd w:id="35"/>
      <w:bookmarkEnd w:id="36"/>
    </w:p>
    <w:p w14:paraId="174509F9">
      <w:pPr>
        <w:keepNext w:val="0"/>
        <w:keepLines w:val="0"/>
        <w:pageBreakBefore w:val="0"/>
        <w:kinsoku/>
        <w:wordWrap/>
        <w:overflowPunct/>
        <w:topLinePunct w:val="0"/>
        <w:bidi w:val="0"/>
        <w:adjustRightInd w:val="0"/>
        <w:snapToGrid w:val="0"/>
        <w:spacing w:line="300" w:lineRule="exact"/>
        <w:ind w:firstLine="0" w:firstLineChars="0"/>
        <w:textAlignment w:val="auto"/>
        <w:rPr>
          <w:rFonts w:hint="default" w:ascii="宋体" w:hAnsi="Times New Roman" w:eastAsia="宋体" w:cs="Times New Roman"/>
          <w:kern w:val="0"/>
          <w:szCs w:val="20"/>
          <w:highlight w:val="none"/>
          <w:lang w:val="en-US" w:eastAsia="zh-CN"/>
        </w:rPr>
      </w:pPr>
      <w:r>
        <w:rPr>
          <w:rFonts w:hint="eastAsia" w:ascii="黑体" w:hAnsi="黑体" w:eastAsia="黑体" w:cs="黑体"/>
          <w:b w:val="0"/>
          <w:bCs w:val="0"/>
          <w:kern w:val="0"/>
          <w:szCs w:val="20"/>
          <w:highlight w:val="none"/>
          <w:lang w:val="en-US" w:eastAsia="zh-CN"/>
        </w:rPr>
        <w:t xml:space="preserve">7.1 </w:t>
      </w:r>
      <w:r>
        <w:rPr>
          <w:rFonts w:hint="eastAsia" w:ascii="黑体" w:hAnsi="黑体" w:eastAsia="黑体" w:cs="黑体"/>
          <w:b w:val="0"/>
          <w:bCs w:val="0"/>
          <w:kern w:val="0"/>
          <w:szCs w:val="20"/>
          <w:highlight w:val="none"/>
          <w:lang w:val="en-US" w:eastAsia="zh-CN"/>
        </w:rPr>
        <w:t xml:space="preserve"> </w:t>
      </w:r>
      <w:r>
        <w:rPr>
          <w:rFonts w:hint="eastAsia" w:ascii="宋体" w:hAnsi="Times New Roman" w:eastAsia="宋体" w:cs="Times New Roman"/>
          <w:kern w:val="0"/>
          <w:szCs w:val="20"/>
          <w:highlight w:val="none"/>
          <w:lang w:val="en-US" w:eastAsia="zh-CN"/>
        </w:rPr>
        <w:t>林下种植</w:t>
      </w:r>
      <w:r>
        <w:rPr>
          <w:rFonts w:hint="eastAsia" w:ascii="宋体" w:hAnsi="Times New Roman" w:cs="Times New Roman"/>
          <w:kern w:val="0"/>
          <w:szCs w:val="20"/>
          <w:highlight w:val="none"/>
          <w:lang w:val="en-US" w:eastAsia="zh-CN"/>
        </w:rPr>
        <w:t>宜</w:t>
      </w:r>
      <w:r>
        <w:rPr>
          <w:rFonts w:hint="eastAsia" w:ascii="宋体" w:hAnsi="Times New Roman" w:eastAsia="宋体" w:cs="Times New Roman"/>
          <w:kern w:val="0"/>
          <w:szCs w:val="20"/>
          <w:highlight w:val="none"/>
          <w:lang w:val="en-US" w:eastAsia="zh-CN"/>
        </w:rPr>
        <w:t>以不破坏林地土壤</w:t>
      </w:r>
      <w:r>
        <w:rPr>
          <w:rFonts w:hint="eastAsia" w:ascii="宋体" w:hAnsi="Times New Roman" w:cs="Times New Roman"/>
          <w:kern w:val="0"/>
          <w:szCs w:val="20"/>
          <w:highlight w:val="none"/>
          <w:lang w:val="en-US" w:eastAsia="zh-CN"/>
        </w:rPr>
        <w:t>、森林景观</w:t>
      </w:r>
      <w:r>
        <w:rPr>
          <w:rFonts w:hint="eastAsia" w:ascii="宋体" w:hAnsi="Times New Roman" w:eastAsia="宋体" w:cs="Times New Roman"/>
          <w:kern w:val="0"/>
          <w:szCs w:val="20"/>
          <w:highlight w:val="none"/>
          <w:lang w:val="en-US" w:eastAsia="zh-CN"/>
        </w:rPr>
        <w:t>和毁坏林地为前提，</w:t>
      </w:r>
      <w:r>
        <w:rPr>
          <w:rFonts w:hint="eastAsia" w:ascii="宋体" w:hAnsi="Times New Roman" w:cs="Times New Roman"/>
          <w:kern w:val="0"/>
          <w:szCs w:val="20"/>
          <w:highlight w:val="none"/>
          <w:lang w:val="en-US" w:eastAsia="zh-CN"/>
        </w:rPr>
        <w:t>兼顾</w:t>
      </w:r>
      <w:r>
        <w:rPr>
          <w:rFonts w:hint="eastAsia" w:ascii="宋体" w:hAnsi="Times New Roman" w:eastAsia="宋体" w:cs="Times New Roman"/>
          <w:kern w:val="0"/>
          <w:szCs w:val="20"/>
          <w:highlight w:val="none"/>
          <w:lang w:val="en-US" w:eastAsia="zh-CN"/>
        </w:rPr>
        <w:t>生态系统的稳定性</w:t>
      </w:r>
      <w:r>
        <w:rPr>
          <w:rFonts w:hint="eastAsia" w:ascii="宋体" w:hAnsi="Times New Roman" w:cs="Times New Roman"/>
          <w:kern w:val="0"/>
          <w:szCs w:val="20"/>
          <w:highlight w:val="none"/>
          <w:lang w:val="en-US" w:eastAsia="zh-CN"/>
        </w:rPr>
        <w:t>与</w:t>
      </w:r>
      <w:r>
        <w:rPr>
          <w:rFonts w:hint="eastAsia" w:ascii="宋体" w:hAnsi="Times New Roman" w:eastAsia="宋体" w:cs="Times New Roman"/>
          <w:kern w:val="0"/>
          <w:szCs w:val="20"/>
          <w:highlight w:val="none"/>
          <w:lang w:val="en-US" w:eastAsia="zh-CN"/>
        </w:rPr>
        <w:t>种植作物的经济收益。</w:t>
      </w:r>
      <w:r>
        <w:rPr>
          <w:rFonts w:hint="eastAsia" w:ascii="宋体" w:hAnsi="Times New Roman" w:cs="Times New Roman"/>
          <w:kern w:val="0"/>
          <w:szCs w:val="20"/>
          <w:highlight w:val="none"/>
          <w:lang w:val="en-US" w:eastAsia="zh-CN"/>
        </w:rPr>
        <w:t>宜</w:t>
      </w:r>
      <w:r>
        <w:rPr>
          <w:rFonts w:hint="eastAsia" w:ascii="宋体" w:hAnsi="Times New Roman" w:eastAsia="宋体" w:cs="Times New Roman"/>
          <w:kern w:val="0"/>
          <w:szCs w:val="20"/>
          <w:highlight w:val="none"/>
          <w:lang w:val="en-US" w:eastAsia="zh-CN"/>
        </w:rPr>
        <w:t>选择有利于林地原有树种相互促进、林分植物组成与群落结构优化、林地水源涵养和水土保持等生态功能维持等关键技术。</w:t>
      </w:r>
    </w:p>
    <w:p w14:paraId="4B22F779">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7.2</w:t>
      </w:r>
      <w:r>
        <w:rPr>
          <w:rFonts w:hint="eastAsia" w:ascii="宋体" w:hAnsi="Times New Roman" w:eastAsia="宋体" w:cs="Times New Roman"/>
          <w:b/>
          <w:bCs/>
          <w:kern w:val="0"/>
          <w:szCs w:val="20"/>
          <w:highlight w:val="none"/>
          <w:lang w:val="en-US" w:eastAsia="zh-CN"/>
        </w:rPr>
        <w:t xml:space="preserve"> </w:t>
      </w:r>
      <w:r>
        <w:rPr>
          <w:rFonts w:hint="eastAsia" w:ascii="宋体" w:hAnsi="Times New Roman" w:cs="Times New Roman"/>
          <w:b/>
          <w:bCs/>
          <w:kern w:val="0"/>
          <w:szCs w:val="20"/>
          <w:highlight w:val="none"/>
          <w:lang w:val="en-US" w:eastAsia="zh-CN"/>
        </w:rPr>
        <w:t xml:space="preserve"> </w:t>
      </w:r>
      <w:r>
        <w:rPr>
          <w:rFonts w:hint="eastAsia" w:asciiTheme="majorEastAsia" w:hAnsiTheme="majorEastAsia" w:eastAsiaTheme="majorEastAsia" w:cstheme="majorEastAsia"/>
          <w:b w:val="0"/>
          <w:bCs w:val="0"/>
          <w:kern w:val="0"/>
          <w:szCs w:val="20"/>
          <w:highlight w:val="none"/>
          <w:lang w:val="en-US" w:eastAsia="zh-CN"/>
        </w:rPr>
        <w:t>宜</w:t>
      </w:r>
      <w:r>
        <w:rPr>
          <w:rFonts w:hint="eastAsia" w:ascii="宋体" w:hAnsi="Times New Roman" w:eastAsia="宋体" w:cs="Times New Roman"/>
          <w:kern w:val="0"/>
          <w:szCs w:val="20"/>
          <w:highlight w:val="none"/>
          <w:lang w:val="en-US" w:eastAsia="zh-CN"/>
        </w:rPr>
        <w:t>选择交通方便、自然环境适宜、森林生态系统健康的林地，适度开展复合经营。种植区域的土壤和空气质量、灌溉水质应分别符合</w:t>
      </w:r>
      <w:r>
        <w:rPr>
          <w:rFonts w:hint="eastAsia" w:ascii="宋体" w:hAnsi="Times New Roman" w:cs="Times New Roman"/>
          <w:kern w:val="0"/>
          <w:szCs w:val="20"/>
          <w:highlight w:val="none"/>
        </w:rPr>
        <w:t>GB 15618</w:t>
      </w:r>
      <w:r>
        <w:rPr>
          <w:rFonts w:hint="eastAsia" w:ascii="宋体" w:hAnsi="Times New Roman" w:cs="Times New Roman"/>
          <w:kern w:val="0"/>
          <w:szCs w:val="20"/>
          <w:highlight w:val="none"/>
          <w:lang w:val="en-US" w:eastAsia="zh-CN"/>
        </w:rPr>
        <w:t>、</w:t>
      </w:r>
      <w:r>
        <w:rPr>
          <w:rFonts w:hint="eastAsia" w:ascii="宋体" w:hAnsi="Times New Roman" w:eastAsia="宋体" w:cs="Times New Roman"/>
          <w:kern w:val="0"/>
          <w:szCs w:val="24"/>
          <w:highlight w:val="none"/>
        </w:rPr>
        <w:t>GB 3095</w:t>
      </w:r>
      <w:r>
        <w:rPr>
          <w:rFonts w:hint="eastAsia" w:ascii="宋体" w:hAnsi="Times New Roman" w:cs="Times New Roman"/>
          <w:kern w:val="0"/>
          <w:szCs w:val="24"/>
          <w:highlight w:val="none"/>
          <w:lang w:eastAsia="zh-CN"/>
        </w:rPr>
        <w:t>、</w:t>
      </w:r>
      <w:r>
        <w:rPr>
          <w:rFonts w:hint="eastAsia" w:ascii="宋体" w:hAnsi="Times New Roman" w:cs="Times New Roman"/>
          <w:kern w:val="0"/>
          <w:szCs w:val="24"/>
          <w:highlight w:val="none"/>
          <w:lang w:val="en-US" w:eastAsia="zh-CN"/>
        </w:rPr>
        <w:t xml:space="preserve">GB </w:t>
      </w:r>
      <w:r>
        <w:rPr>
          <w:rFonts w:hint="eastAsia" w:ascii="宋体" w:hAnsi="Times New Roman" w:cs="Times New Roman"/>
          <w:kern w:val="0"/>
          <w:szCs w:val="20"/>
          <w:highlight w:val="none"/>
          <w:lang w:val="en-US" w:eastAsia="zh-CN"/>
        </w:rPr>
        <w:t>5084</w:t>
      </w:r>
      <w:r>
        <w:rPr>
          <w:rFonts w:hint="eastAsia" w:ascii="宋体" w:hAnsi="Times New Roman" w:eastAsia="宋体" w:cs="Times New Roman"/>
          <w:kern w:val="0"/>
          <w:szCs w:val="20"/>
          <w:highlight w:val="none"/>
          <w:lang w:val="en-US" w:eastAsia="zh-CN"/>
        </w:rPr>
        <w:t>的</w:t>
      </w:r>
      <w:r>
        <w:rPr>
          <w:rFonts w:hint="eastAsia" w:ascii="宋体" w:hAnsi="Times New Roman" w:eastAsia="宋体" w:cs="Times New Roman"/>
          <w:kern w:val="0"/>
          <w:szCs w:val="20"/>
          <w:lang w:val="en-US" w:eastAsia="zh-CN"/>
        </w:rPr>
        <w:t>规定要求。</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避免在生态敏感区或重要饮用水</w:t>
      </w:r>
      <w:r>
        <w:rPr>
          <w:rFonts w:hint="eastAsia" w:ascii="宋体" w:hAnsi="Times New Roman" w:cs="Times New Roman"/>
          <w:kern w:val="0"/>
          <w:szCs w:val="20"/>
          <w:lang w:val="en-US" w:eastAsia="zh-CN"/>
        </w:rPr>
        <w:t>水</w:t>
      </w:r>
      <w:r>
        <w:rPr>
          <w:rFonts w:hint="eastAsia" w:ascii="宋体" w:hAnsi="Times New Roman" w:eastAsia="宋体" w:cs="Times New Roman"/>
          <w:kern w:val="0"/>
          <w:szCs w:val="20"/>
          <w:lang w:val="en-US" w:eastAsia="zh-CN"/>
        </w:rPr>
        <w:t>源区等</w:t>
      </w:r>
      <w:r>
        <w:rPr>
          <w:rFonts w:hint="eastAsia" w:ascii="宋体" w:hAnsi="Times New Roman" w:cs="Times New Roman"/>
          <w:kern w:val="0"/>
          <w:szCs w:val="20"/>
          <w:lang w:val="en-US" w:eastAsia="zh-CN"/>
        </w:rPr>
        <w:t>地</w:t>
      </w:r>
      <w:r>
        <w:rPr>
          <w:rFonts w:hint="eastAsia" w:ascii="宋体" w:hAnsi="Times New Roman" w:eastAsia="宋体" w:cs="Times New Roman"/>
          <w:kern w:val="0"/>
          <w:szCs w:val="20"/>
          <w:lang w:val="en-US" w:eastAsia="zh-CN"/>
        </w:rPr>
        <w:t>开展较高强度经营干扰的复合经营。</w:t>
      </w:r>
    </w:p>
    <w:p w14:paraId="610577A3">
      <w:pPr>
        <w:keepNext w:val="0"/>
        <w:keepLines w:val="0"/>
        <w:pageBreakBefore w:val="0"/>
        <w:kinsoku/>
        <w:wordWrap/>
        <w:overflowPunct/>
        <w:topLinePunct w:val="0"/>
        <w:bidi w:val="0"/>
        <w:adjustRightInd w:val="0"/>
        <w:snapToGrid w:val="0"/>
        <w:spacing w:line="300" w:lineRule="exact"/>
        <w:ind w:firstLine="0" w:firstLineChars="0"/>
        <w:textAlignment w:val="auto"/>
        <w:rPr>
          <w:rFonts w:hint="default"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7.3</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Theme="majorEastAsia" w:hAnsiTheme="majorEastAsia" w:eastAsiaTheme="majorEastAsia" w:cstheme="majorEastAsia"/>
          <w:kern w:val="0"/>
          <w:szCs w:val="20"/>
          <w:highlight w:val="none"/>
          <w:lang w:val="en-US" w:eastAsia="zh-CN"/>
        </w:rPr>
        <w:t>宜</w:t>
      </w:r>
      <w:r>
        <w:rPr>
          <w:rFonts w:hint="eastAsia" w:ascii="宋体" w:hAnsi="Times New Roman" w:eastAsia="宋体" w:cs="Times New Roman"/>
          <w:kern w:val="0"/>
          <w:szCs w:val="20"/>
          <w:lang w:val="en-US" w:eastAsia="zh-CN"/>
        </w:rPr>
        <w:t>选择生态适应性较强、</w:t>
      </w:r>
      <w:r>
        <w:rPr>
          <w:rFonts w:hint="eastAsia" w:ascii="宋体" w:hAnsi="Times New Roman" w:cs="Times New Roman"/>
          <w:kern w:val="0"/>
          <w:szCs w:val="20"/>
          <w:highlight w:val="none"/>
        </w:rPr>
        <w:t>具有一定耐阴性、</w:t>
      </w:r>
      <w:r>
        <w:rPr>
          <w:rFonts w:hint="eastAsia" w:ascii="宋体" w:hAnsi="Times New Roman" w:eastAsia="宋体" w:cs="Times New Roman"/>
          <w:kern w:val="0"/>
          <w:szCs w:val="20"/>
          <w:lang w:val="en-US" w:eastAsia="zh-CN"/>
        </w:rPr>
        <w:t>较易繁殖、</w:t>
      </w:r>
      <w:r>
        <w:rPr>
          <w:rFonts w:hint="eastAsia" w:ascii="宋体" w:hAnsi="Times New Roman" w:cs="Times New Roman"/>
          <w:kern w:val="0"/>
          <w:szCs w:val="20"/>
          <w:lang w:val="en-US" w:eastAsia="zh-CN"/>
        </w:rPr>
        <w:t>符合</w:t>
      </w:r>
      <w:r>
        <w:rPr>
          <w:rFonts w:hint="eastAsia" w:ascii="宋体" w:hAnsi="Times New Roman" w:eastAsia="宋体" w:cs="Times New Roman"/>
          <w:kern w:val="0"/>
          <w:szCs w:val="20"/>
          <w:lang w:val="en-US" w:eastAsia="zh-CN"/>
        </w:rPr>
        <w:t>市场需求</w:t>
      </w:r>
      <w:r>
        <w:rPr>
          <w:rFonts w:hint="eastAsia" w:ascii="宋体" w:hAnsi="Times New Roman" w:cs="Times New Roman"/>
          <w:kern w:val="0"/>
          <w:szCs w:val="20"/>
          <w:lang w:val="en-US" w:eastAsia="zh-CN"/>
        </w:rPr>
        <w:t>、</w:t>
      </w:r>
      <w:r>
        <w:rPr>
          <w:rFonts w:hint="eastAsia" w:ascii="宋体" w:hAnsi="Times New Roman" w:cs="Times New Roman"/>
          <w:kern w:val="0"/>
          <w:szCs w:val="20"/>
          <w:highlight w:val="none"/>
          <w:lang w:val="en-US" w:eastAsia="zh-CN"/>
        </w:rPr>
        <w:t>综合效益高</w:t>
      </w:r>
      <w:r>
        <w:rPr>
          <w:rFonts w:hint="eastAsia" w:ascii="宋体" w:hAnsi="Times New Roman" w:eastAsia="宋体" w:cs="Times New Roman"/>
          <w:kern w:val="0"/>
          <w:szCs w:val="20"/>
          <w:lang w:val="en-US" w:eastAsia="zh-CN"/>
        </w:rPr>
        <w:t>的植物，</w:t>
      </w:r>
      <w:r>
        <w:rPr>
          <w:rFonts w:hint="eastAsia" w:ascii="宋体" w:hAnsi="Times New Roman" w:cs="Times New Roman"/>
          <w:kern w:val="0"/>
          <w:szCs w:val="20"/>
          <w:lang w:val="en-US" w:eastAsia="zh-CN"/>
        </w:rPr>
        <w:t>建立基于郁闭度分级的品种推荐体系，宜</w:t>
      </w:r>
      <w:r>
        <w:rPr>
          <w:rFonts w:hint="eastAsia" w:ascii="宋体" w:hAnsi="Times New Roman" w:eastAsia="宋体" w:cs="Times New Roman"/>
          <w:kern w:val="0"/>
          <w:szCs w:val="20"/>
          <w:highlight w:val="none"/>
          <w:lang w:val="en-US" w:eastAsia="zh-CN"/>
        </w:rPr>
        <w:t>优先选择多用性或一次造林可持续经营植物</w:t>
      </w:r>
      <w:r>
        <w:rPr>
          <w:rFonts w:hint="eastAsia" w:ascii="宋体" w:hAnsi="Times New Roman" w:eastAsia="宋体" w:cs="Times New Roman"/>
          <w:kern w:val="0"/>
          <w:szCs w:val="20"/>
          <w:lang w:val="en-US" w:eastAsia="zh-CN"/>
        </w:rPr>
        <w:t>。可种植单一植物，也可利用植物生态位的互补性，实施两种或多种植物配置构建复合生态系统，充分利用林地资源，选择乔</w:t>
      </w:r>
      <w:r>
        <w:rPr>
          <w:rFonts w:hint="eastAsia" w:ascii="宋体" w:hAnsi="Times New Roman" w:cs="Times New Roman"/>
          <w:kern w:val="0"/>
          <w:szCs w:val="20"/>
          <w:lang w:val="en-US" w:eastAsia="zh-CN"/>
        </w:rPr>
        <w:t>木</w:t>
      </w:r>
      <w:r>
        <w:rPr>
          <w:rFonts w:hint="eastAsia" w:ascii="宋体" w:hAnsi="Times New Roman" w:eastAsia="宋体" w:cs="Times New Roman"/>
          <w:kern w:val="0"/>
          <w:szCs w:val="20"/>
          <w:lang w:val="en-US" w:eastAsia="zh-CN"/>
        </w:rPr>
        <w:t>+灌</w:t>
      </w:r>
      <w:r>
        <w:rPr>
          <w:rFonts w:hint="eastAsia" w:ascii="宋体" w:hAnsi="Times New Roman" w:cs="Times New Roman"/>
          <w:kern w:val="0"/>
          <w:szCs w:val="20"/>
          <w:lang w:val="en-US" w:eastAsia="zh-CN"/>
        </w:rPr>
        <w:t>木</w:t>
      </w:r>
      <w:r>
        <w:rPr>
          <w:rFonts w:hint="eastAsia" w:ascii="宋体" w:hAnsi="Times New Roman" w:eastAsia="宋体" w:cs="Times New Roman"/>
          <w:kern w:val="0"/>
          <w:szCs w:val="20"/>
          <w:lang w:val="en-US" w:eastAsia="zh-CN"/>
        </w:rPr>
        <w:t>+草</w:t>
      </w:r>
      <w:r>
        <w:rPr>
          <w:rFonts w:hint="eastAsia" w:ascii="宋体" w:hAnsi="Times New Roman" w:cs="Times New Roman"/>
          <w:kern w:val="0"/>
          <w:szCs w:val="20"/>
          <w:lang w:val="en-US" w:eastAsia="zh-CN"/>
        </w:rPr>
        <w:t>本</w:t>
      </w:r>
      <w:r>
        <w:rPr>
          <w:rFonts w:hint="eastAsia" w:ascii="宋体" w:hAnsi="Times New Roman" w:eastAsia="宋体" w:cs="Times New Roman"/>
          <w:kern w:val="0"/>
          <w:szCs w:val="20"/>
          <w:lang w:val="en-US" w:eastAsia="zh-CN"/>
        </w:rPr>
        <w:t>、乔</w:t>
      </w:r>
      <w:r>
        <w:rPr>
          <w:rFonts w:hint="eastAsia" w:ascii="宋体" w:hAnsi="Times New Roman" w:cs="Times New Roman"/>
          <w:kern w:val="0"/>
          <w:szCs w:val="20"/>
          <w:lang w:val="en-US" w:eastAsia="zh-CN"/>
        </w:rPr>
        <w:t>木</w:t>
      </w:r>
      <w:r>
        <w:rPr>
          <w:rFonts w:hint="eastAsia" w:ascii="宋体" w:hAnsi="Times New Roman" w:eastAsia="宋体" w:cs="Times New Roman"/>
          <w:kern w:val="0"/>
          <w:szCs w:val="20"/>
          <w:lang w:val="en-US" w:eastAsia="zh-CN"/>
        </w:rPr>
        <w:t>+藤</w:t>
      </w:r>
      <w:r>
        <w:rPr>
          <w:rFonts w:hint="eastAsia" w:ascii="宋体" w:hAnsi="Times New Roman" w:cs="Times New Roman"/>
          <w:kern w:val="0"/>
          <w:szCs w:val="20"/>
          <w:lang w:val="en-US" w:eastAsia="zh-CN"/>
        </w:rPr>
        <w:t>本</w:t>
      </w:r>
      <w:r>
        <w:rPr>
          <w:rFonts w:hint="eastAsia" w:ascii="宋体" w:hAnsi="Times New Roman" w:eastAsia="宋体" w:cs="Times New Roman"/>
          <w:kern w:val="0"/>
          <w:szCs w:val="20"/>
          <w:lang w:val="en-US" w:eastAsia="zh-CN"/>
        </w:rPr>
        <w:t>等</w:t>
      </w:r>
      <w:r>
        <w:rPr>
          <w:rFonts w:hint="eastAsia" w:ascii="宋体" w:hAnsi="Times New Roman" w:cs="Times New Roman"/>
          <w:kern w:val="0"/>
          <w:szCs w:val="20"/>
          <w:lang w:val="en-US" w:eastAsia="zh-CN"/>
        </w:rPr>
        <w:t>多元</w:t>
      </w:r>
      <w:r>
        <w:rPr>
          <w:rFonts w:hint="eastAsia" w:ascii="宋体" w:hAnsi="Times New Roman" w:eastAsia="宋体" w:cs="Times New Roman"/>
          <w:kern w:val="0"/>
          <w:szCs w:val="20"/>
          <w:lang w:val="en-US" w:eastAsia="zh-CN"/>
        </w:rPr>
        <w:t>配置模式。</w:t>
      </w:r>
    </w:p>
    <w:p w14:paraId="4661F74F">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7.4</w:t>
      </w:r>
      <w:r>
        <w:rPr>
          <w:rFonts w:hint="eastAsia" w:ascii="黑体" w:hAnsi="黑体" w:eastAsia="黑体" w:cs="黑体"/>
          <w:b w:val="0"/>
          <w:bCs w:val="0"/>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Theme="majorEastAsia" w:hAnsiTheme="majorEastAsia" w:eastAsiaTheme="majorEastAsia" w:cstheme="majorEastAsia"/>
          <w:kern w:val="0"/>
          <w:szCs w:val="20"/>
          <w:highlight w:val="none"/>
          <w:lang w:val="en-US" w:eastAsia="zh-CN"/>
        </w:rPr>
        <w:t>宜</w:t>
      </w:r>
      <w:r>
        <w:rPr>
          <w:rFonts w:hint="eastAsia" w:ascii="宋体" w:hAnsi="Times New Roman" w:eastAsia="宋体" w:cs="Times New Roman"/>
          <w:kern w:val="0"/>
          <w:szCs w:val="20"/>
          <w:lang w:val="en-US" w:eastAsia="zh-CN"/>
        </w:rPr>
        <w:t>适度开展土地整理，</w:t>
      </w:r>
      <w:r>
        <w:rPr>
          <w:rFonts w:hint="eastAsia" w:ascii="宋体" w:hAnsi="Times New Roman" w:cs="Times New Roman"/>
          <w:kern w:val="0"/>
          <w:szCs w:val="20"/>
          <w:lang w:val="en-US" w:eastAsia="zh-CN"/>
        </w:rPr>
        <w:t>注重</w:t>
      </w:r>
      <w:r>
        <w:rPr>
          <w:rFonts w:hint="eastAsia" w:ascii="宋体" w:hAnsi="Times New Roman" w:eastAsia="宋体" w:cs="Times New Roman"/>
          <w:kern w:val="0"/>
          <w:szCs w:val="20"/>
          <w:lang w:val="en-US" w:eastAsia="zh-CN"/>
        </w:rPr>
        <w:t>林分多功能效益协同发挥，</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实施带状、块状经营，平地或缓坡地可全林经营。</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科学选择种植方式，综合考虑林下</w:t>
      </w:r>
      <w:r>
        <w:rPr>
          <w:rFonts w:hint="eastAsia" w:ascii="宋体" w:hAnsi="Times New Roman" w:cs="Times New Roman"/>
          <w:kern w:val="0"/>
          <w:szCs w:val="20"/>
          <w:lang w:val="en-US" w:eastAsia="zh-CN"/>
        </w:rPr>
        <w:t>产品</w:t>
      </w:r>
      <w:r>
        <w:rPr>
          <w:rFonts w:hint="eastAsia" w:ascii="宋体" w:hAnsi="Times New Roman" w:eastAsia="宋体" w:cs="Times New Roman"/>
          <w:kern w:val="0"/>
          <w:szCs w:val="20"/>
          <w:lang w:val="en-US" w:eastAsia="zh-CN"/>
        </w:rPr>
        <w:t>成活率、保存率等因素，适时采取播种或种苗、块根营造等方法，控制种植密度，以植物个体不产生明显的种内或种间竞争及不影响人工作业</w:t>
      </w:r>
      <w:r>
        <w:rPr>
          <w:rFonts w:hint="eastAsia" w:ascii="宋体" w:hAnsi="Times New Roman" w:cs="Times New Roman"/>
          <w:kern w:val="0"/>
          <w:szCs w:val="20"/>
          <w:lang w:val="en-US" w:eastAsia="zh-CN"/>
        </w:rPr>
        <w:t>为原则</w:t>
      </w:r>
      <w:r>
        <w:rPr>
          <w:rFonts w:hint="eastAsia" w:ascii="宋体" w:hAnsi="Times New Roman" w:eastAsia="宋体" w:cs="Times New Roman"/>
          <w:kern w:val="0"/>
          <w:szCs w:val="20"/>
          <w:lang w:val="en-US" w:eastAsia="zh-CN"/>
        </w:rPr>
        <w:t>确定初植密度。</w:t>
      </w:r>
    </w:p>
    <w:p w14:paraId="5F69C794">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7.5</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Theme="majorEastAsia" w:hAnsiTheme="majorEastAsia" w:eastAsiaTheme="majorEastAsia" w:cstheme="majorEastAsia"/>
          <w:kern w:val="0"/>
          <w:szCs w:val="20"/>
          <w:highlight w:val="none"/>
          <w:lang w:val="en-US" w:eastAsia="zh-CN"/>
        </w:rPr>
        <w:t>宜</w:t>
      </w:r>
      <w:r>
        <w:rPr>
          <w:rFonts w:hint="eastAsia" w:asciiTheme="majorEastAsia" w:hAnsiTheme="majorEastAsia" w:eastAsiaTheme="majorEastAsia" w:cstheme="majorEastAsia"/>
          <w:kern w:val="0"/>
          <w:szCs w:val="20"/>
          <w:highlight w:val="none"/>
          <w:lang w:val="en-US" w:eastAsia="zh-CN"/>
        </w:rPr>
        <w:t>根</w:t>
      </w:r>
      <w:r>
        <w:rPr>
          <w:rFonts w:hint="eastAsia" w:ascii="宋体" w:hAnsi="Times New Roman" w:eastAsia="宋体" w:cs="Times New Roman"/>
          <w:kern w:val="0"/>
          <w:szCs w:val="20"/>
          <w:lang w:val="en-US" w:eastAsia="zh-CN"/>
        </w:rPr>
        <w:t>据植物生物学特性，特别是主要经济性状形成对环境的要求，通过间伐、择伐、修枝等措施调控林分结构，调</w:t>
      </w:r>
      <w:r>
        <w:rPr>
          <w:rFonts w:hint="eastAsia" w:ascii="宋体" w:hAnsi="Times New Roman" w:cs="Times New Roman"/>
          <w:kern w:val="0"/>
          <w:szCs w:val="20"/>
          <w:lang w:val="en-US" w:eastAsia="zh-CN"/>
        </w:rPr>
        <w:t>节</w:t>
      </w:r>
      <w:r>
        <w:rPr>
          <w:rFonts w:hint="eastAsia" w:ascii="宋体" w:hAnsi="Times New Roman" w:eastAsia="宋体" w:cs="Times New Roman"/>
          <w:kern w:val="0"/>
          <w:szCs w:val="20"/>
          <w:lang w:val="en-US" w:eastAsia="zh-CN"/>
        </w:rPr>
        <w:t>林分透光度。</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在生长发育关键期进行土壤生态管理，包括施肥、灌溉、中耕除草等措施。有害生物防控</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以营林、物理、生物防治为主，</w:t>
      </w:r>
      <w:r>
        <w:rPr>
          <w:rFonts w:hint="eastAsia" w:ascii="宋体" w:hAnsi="Times New Roman" w:eastAsia="宋体" w:cs="Times New Roman"/>
          <w:kern w:val="0"/>
          <w:szCs w:val="20"/>
          <w:highlight w:val="none"/>
          <w:lang w:val="en-US" w:eastAsia="zh-CN"/>
        </w:rPr>
        <w:t>慎重使用化学防治</w:t>
      </w:r>
      <w:r>
        <w:rPr>
          <w:rFonts w:hint="eastAsia" w:ascii="宋体" w:hAnsi="Times New Roman" w:eastAsia="宋体" w:cs="Times New Roman"/>
          <w:kern w:val="0"/>
          <w:szCs w:val="20"/>
          <w:lang w:val="en-US" w:eastAsia="zh-CN"/>
        </w:rPr>
        <w:t>，</w:t>
      </w:r>
      <w:r>
        <w:rPr>
          <w:rFonts w:hint="eastAsia" w:ascii="宋体" w:hAnsi="Times New Roman" w:cs="Times New Roman"/>
          <w:kern w:val="0"/>
          <w:szCs w:val="20"/>
          <w:lang w:val="en-US" w:eastAsia="zh-CN"/>
        </w:rPr>
        <w:t>不应</w:t>
      </w:r>
      <w:r>
        <w:rPr>
          <w:rFonts w:hint="eastAsia" w:ascii="宋体" w:hAnsi="Times New Roman" w:eastAsia="宋体" w:cs="Times New Roman"/>
          <w:kern w:val="0"/>
          <w:szCs w:val="20"/>
          <w:lang w:val="en-US" w:eastAsia="zh-CN"/>
        </w:rPr>
        <w:t>使用除草剂和有危害的化学农药</w:t>
      </w:r>
      <w:r>
        <w:rPr>
          <w:rFonts w:hint="eastAsia" w:ascii="宋体" w:hAnsi="Times New Roman" w:cs="Times New Roman"/>
          <w:kern w:val="0"/>
          <w:szCs w:val="20"/>
          <w:lang w:val="en-US" w:eastAsia="zh-CN"/>
        </w:rPr>
        <w:t>，具体按照</w:t>
      </w:r>
      <w:r>
        <w:rPr>
          <w:rFonts w:hint="eastAsia" w:ascii="宋体" w:hAnsi="Times New Roman" w:eastAsia="宋体" w:cs="Times New Roman"/>
          <w:kern w:val="0"/>
          <w:szCs w:val="24"/>
        </w:rPr>
        <w:t>NY/T 393</w:t>
      </w:r>
      <w:r>
        <w:rPr>
          <w:rFonts w:hint="eastAsia" w:ascii="宋体" w:hAnsi="Times New Roman" w:cs="Times New Roman"/>
          <w:kern w:val="0"/>
          <w:szCs w:val="24"/>
          <w:lang w:eastAsia="zh-CN"/>
        </w:rPr>
        <w:t>的</w:t>
      </w:r>
      <w:r>
        <w:rPr>
          <w:rFonts w:hint="eastAsia" w:ascii="宋体" w:hAnsi="Times New Roman" w:cs="Times New Roman"/>
          <w:kern w:val="0"/>
          <w:szCs w:val="24"/>
          <w:lang w:val="en-US" w:eastAsia="zh-CN"/>
        </w:rPr>
        <w:t>规定执行</w:t>
      </w:r>
      <w:r>
        <w:rPr>
          <w:rFonts w:hint="eastAsia" w:ascii="宋体" w:hAnsi="Times New Roman" w:eastAsia="宋体" w:cs="Times New Roman"/>
          <w:kern w:val="0"/>
          <w:szCs w:val="20"/>
          <w:lang w:val="en-US" w:eastAsia="zh-CN"/>
        </w:rPr>
        <w:t>。</w:t>
      </w:r>
      <w:r>
        <w:rPr>
          <w:rFonts w:hint="eastAsia" w:ascii="宋体" w:hAnsi="Times New Roman" w:cs="Times New Roman"/>
          <w:kern w:val="0"/>
          <w:szCs w:val="20"/>
          <w:lang w:val="en-US" w:eastAsia="zh-CN"/>
        </w:rPr>
        <w:t>宜开展</w:t>
      </w:r>
      <w:r>
        <w:rPr>
          <w:rFonts w:hint="eastAsia" w:ascii="宋体" w:hAnsi="Times New Roman" w:eastAsia="宋体" w:cs="Times New Roman"/>
          <w:kern w:val="0"/>
          <w:szCs w:val="20"/>
          <w:lang w:val="en-US" w:eastAsia="zh-CN"/>
        </w:rPr>
        <w:t>植物仿野生栽培和逆境栽培，</w:t>
      </w:r>
      <w:r>
        <w:rPr>
          <w:rFonts w:hint="eastAsia" w:ascii="宋体" w:hAnsi="Times New Roman" w:cs="Times New Roman"/>
          <w:kern w:val="0"/>
          <w:szCs w:val="20"/>
          <w:lang w:val="en-US" w:eastAsia="zh-CN"/>
        </w:rPr>
        <w:t>并采用</w:t>
      </w:r>
      <w:r>
        <w:rPr>
          <w:rFonts w:hint="eastAsia" w:ascii="宋体" w:hAnsi="Times New Roman" w:eastAsia="宋体" w:cs="Times New Roman"/>
          <w:kern w:val="0"/>
          <w:szCs w:val="20"/>
          <w:lang w:val="en-US" w:eastAsia="zh-CN"/>
        </w:rPr>
        <w:t>信息溯源等技术监控</w:t>
      </w:r>
      <w:r>
        <w:rPr>
          <w:rFonts w:hint="eastAsia" w:ascii="宋体" w:hAnsi="Times New Roman" w:cs="Times New Roman"/>
          <w:kern w:val="0"/>
          <w:szCs w:val="20"/>
          <w:lang w:val="en-US" w:eastAsia="zh-CN"/>
        </w:rPr>
        <w:t>手段</w:t>
      </w:r>
      <w:r>
        <w:rPr>
          <w:rFonts w:hint="eastAsia" w:ascii="宋体" w:hAnsi="Times New Roman" w:eastAsia="宋体" w:cs="Times New Roman"/>
          <w:kern w:val="0"/>
          <w:szCs w:val="20"/>
          <w:lang w:val="en-US" w:eastAsia="zh-CN"/>
        </w:rPr>
        <w:t>。</w:t>
      </w:r>
    </w:p>
    <w:p w14:paraId="765F68E8">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300" w:lineRule="exact"/>
        <w:textAlignment w:val="auto"/>
        <w:outlineLvl w:val="0"/>
        <w:rPr>
          <w:rFonts w:hint="eastAsia" w:ascii="宋体" w:hAnsi="Times New Roman" w:eastAsia="宋体" w:cs="Times New Roman"/>
          <w:kern w:val="0"/>
          <w:szCs w:val="20"/>
          <w:lang w:val="en-US" w:eastAsia="zh-CN"/>
        </w:rPr>
      </w:pPr>
      <w:bookmarkStart w:id="37" w:name="_Toc25266"/>
      <w:bookmarkStart w:id="38" w:name="_Toc28581"/>
      <w:r>
        <w:rPr>
          <w:rFonts w:hint="eastAsia" w:ascii="黑体" w:hAnsi="Times New Roman" w:eastAsia="黑体" w:cs="Times New Roman"/>
          <w:kern w:val="0"/>
          <w:szCs w:val="20"/>
          <w:lang w:val="en-US" w:eastAsia="zh-CN"/>
        </w:rPr>
        <w:t xml:space="preserve">8 </w:t>
      </w:r>
      <w:r>
        <w:rPr>
          <w:rFonts w:hint="default"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lang w:val="en-US" w:eastAsia="zh-CN"/>
        </w:rPr>
        <w:t>林下养殖</w:t>
      </w:r>
      <w:bookmarkEnd w:id="37"/>
      <w:bookmarkEnd w:id="38"/>
    </w:p>
    <w:p w14:paraId="1EA6F4B4">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8.1</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林下养殖</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选择有利于动植物群落科学配置，避免物种间过度竞争</w:t>
      </w:r>
      <w:r>
        <w:rPr>
          <w:rFonts w:hint="eastAsia" w:ascii="宋体" w:hAnsi="Times New Roman" w:cs="Times New Roman"/>
          <w:kern w:val="0"/>
          <w:szCs w:val="20"/>
          <w:lang w:val="en-US" w:eastAsia="zh-CN"/>
        </w:rPr>
        <w:t>的关键技术</w:t>
      </w:r>
      <w:r>
        <w:rPr>
          <w:rFonts w:hint="eastAsia" w:ascii="宋体" w:hAnsi="Times New Roman" w:eastAsia="宋体" w:cs="Times New Roman"/>
          <w:kern w:val="0"/>
          <w:szCs w:val="20"/>
          <w:lang w:val="en-US" w:eastAsia="zh-CN"/>
        </w:rPr>
        <w:t>，</w:t>
      </w:r>
      <w:r>
        <w:rPr>
          <w:rFonts w:hint="eastAsia" w:ascii="宋体" w:hAnsi="Times New Roman" w:cs="Times New Roman"/>
          <w:kern w:val="0"/>
          <w:szCs w:val="20"/>
          <w:lang w:val="en-US" w:eastAsia="zh-CN"/>
        </w:rPr>
        <w:t>并</w:t>
      </w:r>
      <w:r>
        <w:rPr>
          <w:rFonts w:hint="eastAsia" w:ascii="宋体" w:hAnsi="Times New Roman" w:eastAsia="宋体" w:cs="Times New Roman"/>
          <w:kern w:val="0"/>
          <w:szCs w:val="20"/>
          <w:lang w:val="en-US" w:eastAsia="zh-CN"/>
        </w:rPr>
        <w:t>避免养殖活动对地表植被维护、土壤结构、水土保持及水环境质量造成破坏。</w:t>
      </w:r>
    </w:p>
    <w:p w14:paraId="72A68D98">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8.2</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林地</w:t>
      </w:r>
      <w:r>
        <w:rPr>
          <w:rFonts w:hint="eastAsia" w:ascii="宋体" w:hAnsi="Times New Roman" w:cs="Times New Roman"/>
          <w:kern w:val="0"/>
          <w:szCs w:val="20"/>
          <w:lang w:val="en-US" w:eastAsia="zh-CN"/>
        </w:rPr>
        <w:t>宜具</w:t>
      </w:r>
      <w:r>
        <w:rPr>
          <w:rFonts w:hint="eastAsia" w:ascii="宋体" w:hAnsi="Times New Roman" w:eastAsia="宋体" w:cs="Times New Roman"/>
          <w:kern w:val="0"/>
          <w:szCs w:val="20"/>
          <w:lang w:val="en-US" w:eastAsia="zh-CN"/>
        </w:rPr>
        <w:t>有</w:t>
      </w:r>
      <w:r>
        <w:rPr>
          <w:rFonts w:hint="eastAsia" w:ascii="宋体" w:hAnsi="Times New Roman" w:cs="Times New Roman"/>
          <w:kern w:val="0"/>
          <w:szCs w:val="20"/>
          <w:lang w:val="en-US" w:eastAsia="zh-CN"/>
        </w:rPr>
        <w:t>适宜</w:t>
      </w:r>
      <w:r>
        <w:rPr>
          <w:rFonts w:hint="eastAsia" w:ascii="宋体" w:hAnsi="Times New Roman" w:eastAsia="宋体" w:cs="Times New Roman"/>
          <w:kern w:val="0"/>
          <w:szCs w:val="20"/>
          <w:lang w:val="en-US" w:eastAsia="zh-CN"/>
        </w:rPr>
        <w:t>的规模面积，能承载</w:t>
      </w:r>
      <w:r>
        <w:rPr>
          <w:rFonts w:hint="eastAsia" w:ascii="宋体" w:hAnsi="Times New Roman" w:cs="Times New Roman"/>
          <w:kern w:val="0"/>
          <w:szCs w:val="20"/>
          <w:lang w:val="en-US" w:eastAsia="zh-CN"/>
        </w:rPr>
        <w:t>适宜</w:t>
      </w:r>
      <w:r>
        <w:rPr>
          <w:rFonts w:hint="eastAsia" w:ascii="宋体" w:hAnsi="Times New Roman" w:eastAsia="宋体" w:cs="Times New Roman"/>
          <w:kern w:val="0"/>
          <w:szCs w:val="20"/>
          <w:lang w:val="en-US" w:eastAsia="zh-CN"/>
        </w:rPr>
        <w:t>的养殖密度，且地势较平缓，</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优选山坡中下部，地面平整、开阔地带。林分</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选择中龄林或成熟林，</w:t>
      </w:r>
      <w:r>
        <w:rPr>
          <w:rFonts w:hint="eastAsia" w:ascii="宋体" w:hAnsi="Times New Roman" w:cs="Times New Roman"/>
          <w:kern w:val="0"/>
          <w:szCs w:val="20"/>
          <w:lang w:val="en-US" w:eastAsia="zh-CN"/>
        </w:rPr>
        <w:t>满足</w:t>
      </w:r>
      <w:r>
        <w:rPr>
          <w:rFonts w:hint="eastAsia" w:ascii="宋体" w:hAnsi="Times New Roman" w:eastAsia="宋体" w:cs="Times New Roman"/>
          <w:kern w:val="0"/>
          <w:szCs w:val="20"/>
          <w:lang w:val="en-US" w:eastAsia="zh-CN"/>
        </w:rPr>
        <w:t>冠层高、郁闭度</w:t>
      </w:r>
      <w:r>
        <w:rPr>
          <w:rFonts w:hint="eastAsia" w:ascii="宋体" w:hAnsi="Times New Roman" w:cs="Times New Roman"/>
          <w:kern w:val="0"/>
          <w:szCs w:val="20"/>
          <w:lang w:val="en-US" w:eastAsia="zh-CN"/>
        </w:rPr>
        <w:t>不大于</w:t>
      </w:r>
      <w:r>
        <w:rPr>
          <w:rFonts w:hint="eastAsia" w:ascii="宋体" w:hAnsi="Times New Roman" w:eastAsia="宋体" w:cs="Times New Roman"/>
          <w:kern w:val="0"/>
          <w:szCs w:val="20"/>
          <w:lang w:val="en-US" w:eastAsia="zh-CN"/>
        </w:rPr>
        <w:t>0.7，通风透光性能</w:t>
      </w:r>
      <w:r>
        <w:rPr>
          <w:rFonts w:hint="eastAsia" w:ascii="宋体" w:hAnsi="Times New Roman" w:cs="Times New Roman"/>
          <w:kern w:val="0"/>
          <w:szCs w:val="20"/>
          <w:lang w:val="en-US" w:eastAsia="zh-CN"/>
        </w:rPr>
        <w:t>良</w:t>
      </w:r>
      <w:r>
        <w:rPr>
          <w:rFonts w:hint="eastAsia" w:ascii="宋体" w:hAnsi="Times New Roman" w:eastAsia="宋体" w:cs="Times New Roman"/>
          <w:kern w:val="0"/>
          <w:szCs w:val="20"/>
          <w:lang w:val="en-US" w:eastAsia="zh-CN"/>
        </w:rPr>
        <w:t>好，食物资源丰富</w:t>
      </w:r>
      <w:r>
        <w:rPr>
          <w:rFonts w:hint="eastAsia" w:ascii="宋体" w:hAnsi="Times New Roman" w:cs="Times New Roman"/>
          <w:kern w:val="0"/>
          <w:szCs w:val="20"/>
          <w:lang w:val="en-US" w:eastAsia="zh-CN"/>
        </w:rPr>
        <w:t>等条件</w:t>
      </w:r>
      <w:r>
        <w:rPr>
          <w:rFonts w:hint="eastAsia" w:ascii="宋体" w:hAnsi="Times New Roman" w:eastAsia="宋体" w:cs="Times New Roman"/>
          <w:kern w:val="0"/>
          <w:szCs w:val="20"/>
          <w:lang w:val="en-US" w:eastAsia="zh-CN"/>
        </w:rPr>
        <w:t>。林中</w:t>
      </w:r>
      <w:r>
        <w:rPr>
          <w:rFonts w:hint="eastAsia" w:ascii="宋体" w:hAnsi="Times New Roman" w:cs="Times New Roman"/>
          <w:kern w:val="0"/>
          <w:szCs w:val="20"/>
          <w:lang w:val="en-US" w:eastAsia="zh-CN"/>
        </w:rPr>
        <w:t>宜具</w:t>
      </w:r>
      <w:r>
        <w:rPr>
          <w:rFonts w:hint="eastAsia" w:ascii="宋体" w:hAnsi="Times New Roman" w:eastAsia="宋体" w:cs="Times New Roman"/>
          <w:kern w:val="0"/>
          <w:szCs w:val="20"/>
          <w:lang w:val="en-US" w:eastAsia="zh-CN"/>
        </w:rPr>
        <w:t>有地势高燥、利于排水的地块，便于搭建畜（禽）舍。</w:t>
      </w:r>
    </w:p>
    <w:p w14:paraId="7AC3E436">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8.3</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林下养殖</w:t>
      </w:r>
      <w:r>
        <w:rPr>
          <w:rFonts w:hint="eastAsia" w:ascii="宋体" w:hAnsi="Times New Roman" w:cs="Times New Roman"/>
          <w:kern w:val="0"/>
          <w:szCs w:val="20"/>
          <w:lang w:val="en-US" w:eastAsia="zh-CN"/>
        </w:rPr>
        <w:t>宜选择</w:t>
      </w:r>
      <w:r>
        <w:rPr>
          <w:rFonts w:hint="eastAsia" w:ascii="宋体" w:hAnsi="Times New Roman" w:eastAsia="宋体" w:cs="Times New Roman"/>
          <w:kern w:val="0"/>
          <w:szCs w:val="20"/>
          <w:lang w:val="en-US" w:eastAsia="zh-CN"/>
        </w:rPr>
        <w:t>乡土品种、地理标志品种、生态原产地保护品种，采取围网放养、圈养或棚养等方式，充分利用林下杂草、牧草、虫类等天然食物，开展种养复合经营。林下养殖活动应科学控制养殖密度，避免畜禽过度践踏破坏地表植被和土壤。</w:t>
      </w:r>
    </w:p>
    <w:p w14:paraId="0C2909B9">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8.4</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畜（禽）舍</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建在山地内背风向阳、地势高燥及排污排水条件</w:t>
      </w:r>
      <w:r>
        <w:rPr>
          <w:rFonts w:hint="eastAsia" w:ascii="宋体" w:hAnsi="Times New Roman" w:cs="Times New Roman"/>
          <w:kern w:val="0"/>
          <w:szCs w:val="20"/>
          <w:lang w:val="en-US" w:eastAsia="zh-CN"/>
        </w:rPr>
        <w:t>良</w:t>
      </w:r>
      <w:r>
        <w:rPr>
          <w:rFonts w:hint="eastAsia" w:ascii="宋体" w:hAnsi="Times New Roman" w:eastAsia="宋体" w:cs="Times New Roman"/>
          <w:kern w:val="0"/>
          <w:szCs w:val="20"/>
          <w:lang w:val="en-US" w:eastAsia="zh-CN"/>
        </w:rPr>
        <w:t>好的地方，场地四周</w:t>
      </w:r>
      <w:r>
        <w:rPr>
          <w:rFonts w:hint="eastAsia" w:ascii="宋体" w:hAnsi="Times New Roman" w:cs="Times New Roman"/>
          <w:kern w:val="0"/>
          <w:szCs w:val="20"/>
          <w:lang w:val="en-US" w:eastAsia="zh-CN"/>
        </w:rPr>
        <w:t>应</w:t>
      </w:r>
      <w:r>
        <w:rPr>
          <w:rFonts w:hint="eastAsia" w:ascii="宋体" w:hAnsi="Times New Roman" w:eastAsia="宋体" w:cs="Times New Roman"/>
          <w:kern w:val="0"/>
          <w:szCs w:val="20"/>
          <w:lang w:val="en-US" w:eastAsia="zh-CN"/>
        </w:rPr>
        <w:t>建好围栏。定期采取卫生消毒措施，加强畜禽疫病防治，及时轮换饲养场地。</w:t>
      </w:r>
    </w:p>
    <w:p w14:paraId="6C9ACAED">
      <w:pPr>
        <w:keepNext w:val="0"/>
        <w:keepLines w:val="0"/>
        <w:pageBreakBefore w:val="0"/>
        <w:kinsoku/>
        <w:wordWrap/>
        <w:overflowPunct/>
        <w:topLinePunct w:val="0"/>
        <w:bidi w:val="0"/>
        <w:adjustRightInd w:val="0"/>
        <w:snapToGrid w:val="0"/>
        <w:spacing w:line="300" w:lineRule="exact"/>
        <w:ind w:firstLine="0" w:firstLineChars="0"/>
        <w:textAlignment w:val="auto"/>
        <w:rPr>
          <w:rFonts w:hint="default" w:ascii="宋体" w:hAnsi="Times New Roman" w:eastAsia="宋体" w:cs="Times New Roman"/>
          <w:kern w:val="0"/>
          <w:szCs w:val="20"/>
          <w:lang w:val="en-US" w:eastAsia="zh-CN"/>
        </w:rPr>
      </w:pPr>
      <w:r>
        <w:rPr>
          <w:rFonts w:hint="eastAsia" w:ascii="黑体" w:hAnsi="黑体" w:eastAsia="黑体" w:cs="黑体"/>
          <w:kern w:val="0"/>
          <w:szCs w:val="20"/>
          <w:highlight w:val="none"/>
          <w:lang w:val="en-US" w:eastAsia="zh-CN"/>
        </w:rPr>
        <w:t xml:space="preserve">8.5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rPr>
        <w:t>水生动物养殖应根据水域资源条件合理确定养殖规模和密度，养殖用水应符合GB 11607</w:t>
      </w:r>
      <w:r>
        <w:rPr>
          <w:rFonts w:hint="eastAsia" w:ascii="宋体" w:hAnsi="Times New Roman" w:cs="Times New Roman"/>
          <w:kern w:val="0"/>
          <w:szCs w:val="20"/>
          <w:lang w:eastAsia="zh-CN"/>
        </w:rPr>
        <w:t>的</w:t>
      </w:r>
      <w:r>
        <w:rPr>
          <w:rFonts w:hint="eastAsia" w:ascii="宋体" w:hAnsi="Times New Roman" w:eastAsia="宋体" w:cs="Times New Roman"/>
          <w:kern w:val="0"/>
          <w:szCs w:val="20"/>
        </w:rPr>
        <w:t>要求。</w:t>
      </w:r>
      <w:r>
        <w:rPr>
          <w:rFonts w:hint="eastAsia" w:ascii="宋体" w:hAnsi="Times New Roman" w:cs="Times New Roman"/>
          <w:kern w:val="0"/>
          <w:szCs w:val="20"/>
          <w:lang w:eastAsia="zh-CN"/>
        </w:rPr>
        <w:t>应</w:t>
      </w:r>
      <w:r>
        <w:rPr>
          <w:rFonts w:hint="eastAsia" w:ascii="宋体" w:hAnsi="Times New Roman" w:eastAsia="宋体" w:cs="Times New Roman"/>
          <w:kern w:val="0"/>
          <w:szCs w:val="20"/>
        </w:rPr>
        <w:t>加强水质管理和养殖废弃物处理，避免对水环境造成污染。</w:t>
      </w:r>
    </w:p>
    <w:p w14:paraId="48A97478">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300" w:lineRule="exact"/>
        <w:textAlignment w:val="auto"/>
        <w:outlineLvl w:val="0"/>
        <w:rPr>
          <w:rFonts w:hint="eastAsia" w:ascii="宋体" w:hAnsi="Times New Roman" w:eastAsia="宋体" w:cs="Times New Roman"/>
          <w:kern w:val="0"/>
          <w:szCs w:val="20"/>
          <w:lang w:val="en-US" w:eastAsia="zh-CN"/>
        </w:rPr>
      </w:pPr>
      <w:bookmarkStart w:id="39" w:name="_Toc4569"/>
      <w:bookmarkStart w:id="40" w:name="_Toc17786"/>
      <w:r>
        <w:rPr>
          <w:rFonts w:hint="eastAsia" w:ascii="黑体" w:hAnsi="Times New Roman" w:eastAsia="黑体" w:cs="Times New Roman"/>
          <w:kern w:val="0"/>
          <w:szCs w:val="20"/>
          <w:lang w:val="en-US" w:eastAsia="zh-CN"/>
        </w:rPr>
        <w:t xml:space="preserve">9 </w:t>
      </w:r>
      <w:r>
        <w:rPr>
          <w:rFonts w:hint="default"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lang w:val="en-US" w:eastAsia="zh-CN"/>
        </w:rPr>
        <w:t>林下采集</w:t>
      </w:r>
      <w:bookmarkEnd w:id="39"/>
      <w:bookmarkEnd w:id="40"/>
    </w:p>
    <w:p w14:paraId="4E468F18">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9.1</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根据林木生长情况和采集物种的特点，</w:t>
      </w:r>
      <w:r>
        <w:rPr>
          <w:rFonts w:hint="eastAsia" w:ascii="宋体" w:hAnsi="Times New Roman" w:cs="Times New Roman"/>
          <w:kern w:val="0"/>
          <w:szCs w:val="20"/>
          <w:lang w:val="en-US" w:eastAsia="zh-CN"/>
        </w:rPr>
        <w:t>确定</w:t>
      </w:r>
      <w:r>
        <w:rPr>
          <w:rFonts w:hint="eastAsia" w:ascii="宋体" w:hAnsi="Times New Roman" w:eastAsia="宋体" w:cs="Times New Roman"/>
          <w:kern w:val="0"/>
          <w:szCs w:val="20"/>
          <w:lang w:val="en-US" w:eastAsia="zh-CN"/>
        </w:rPr>
        <w:t>最佳采集期、采集间隔周期和适宜的采集强度与方式等关键技术，确保可持续采集。</w:t>
      </w:r>
    </w:p>
    <w:p w14:paraId="5F90BD18">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9.2</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选择资源集中分布的原生境内、无污染</w:t>
      </w:r>
      <w:r>
        <w:rPr>
          <w:rFonts w:hint="eastAsia" w:ascii="宋体" w:hAnsi="Times New Roman" w:cs="Times New Roman"/>
          <w:kern w:val="0"/>
          <w:szCs w:val="20"/>
          <w:lang w:val="en-US" w:eastAsia="zh-CN"/>
        </w:rPr>
        <w:t>且</w:t>
      </w:r>
      <w:r>
        <w:rPr>
          <w:rFonts w:hint="eastAsia" w:ascii="宋体" w:hAnsi="Times New Roman" w:eastAsia="宋体" w:cs="Times New Roman"/>
          <w:kern w:val="0"/>
          <w:szCs w:val="20"/>
          <w:lang w:val="en-US" w:eastAsia="zh-CN"/>
        </w:rPr>
        <w:t>有经营潜力的区域开展采集。根据当地野生资源分布状况及利用传统，选择具有一定资源数量、抚育价值和生产潜力的林下资源作为采集对象，</w:t>
      </w:r>
      <w:r>
        <w:rPr>
          <w:rFonts w:hint="eastAsia" w:ascii="宋体" w:hAnsi="Times New Roman" w:cs="Times New Roman"/>
          <w:kern w:val="0"/>
          <w:szCs w:val="20"/>
          <w:lang w:val="en-US" w:eastAsia="zh-CN"/>
        </w:rPr>
        <w:t>并</w:t>
      </w:r>
      <w:r>
        <w:rPr>
          <w:rFonts w:hint="eastAsia" w:ascii="宋体" w:hAnsi="Times New Roman" w:eastAsia="宋体" w:cs="Times New Roman"/>
          <w:kern w:val="0"/>
          <w:szCs w:val="20"/>
          <w:lang w:val="en-US" w:eastAsia="zh-CN"/>
        </w:rPr>
        <w:t>优选生长健康、达到最佳成熟期和最佳采集期的成熟个体。</w:t>
      </w:r>
    </w:p>
    <w:p w14:paraId="531A13A0">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9.3</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cs="Times New Roman"/>
          <w:kern w:val="0"/>
          <w:szCs w:val="20"/>
          <w:lang w:val="en-US" w:eastAsia="zh-CN"/>
        </w:rPr>
        <w:t>遵循《中华人民共和国野生动物保护法》《中华人民共和国野生植物保护条例》等相关法规，对珍稀濒危物种实行严格的采集管控，对其余物种实行以持续利用为目标的限额采集制度。</w:t>
      </w:r>
      <w:r>
        <w:rPr>
          <w:rFonts w:hint="eastAsia" w:ascii="宋体" w:hAnsi="Times New Roman" w:eastAsia="宋体" w:cs="Times New Roman"/>
          <w:kern w:val="0"/>
          <w:szCs w:val="20"/>
          <w:lang w:val="en-US" w:eastAsia="zh-CN"/>
        </w:rPr>
        <w:t>根据品种成熟特性，结合采收经验，确定适宜的采收周期和采收时限</w:t>
      </w:r>
      <w:r>
        <w:rPr>
          <w:rFonts w:hint="eastAsia" w:ascii="宋体" w:hAnsi="Times New Roman" w:cs="Times New Roman"/>
          <w:kern w:val="0"/>
          <w:szCs w:val="20"/>
          <w:lang w:val="en-US" w:eastAsia="zh-CN"/>
        </w:rPr>
        <w:t>。</w:t>
      </w:r>
      <w:r>
        <w:rPr>
          <w:rFonts w:hint="eastAsia" w:ascii="宋体" w:hAnsi="Times New Roman" w:eastAsia="宋体" w:cs="Times New Roman"/>
          <w:kern w:val="0"/>
          <w:szCs w:val="20"/>
          <w:lang w:val="en-US" w:eastAsia="zh-CN"/>
        </w:rPr>
        <w:t>随采随贮随运，以人工采收为主，可借助采收工具和机械设备。</w:t>
      </w:r>
    </w:p>
    <w:p w14:paraId="1798BB12">
      <w:pPr>
        <w:keepNext w:val="0"/>
        <w:keepLines w:val="0"/>
        <w:pageBreakBefore w:val="0"/>
        <w:kinsoku/>
        <w:wordWrap/>
        <w:overflowPunct/>
        <w:topLinePunct w:val="0"/>
        <w:bidi w:val="0"/>
        <w:adjustRightInd w:val="0"/>
        <w:snapToGrid w:val="0"/>
        <w:spacing w:line="300" w:lineRule="exact"/>
        <w:textAlignment w:val="auto"/>
        <w:rPr>
          <w:rFonts w:hint="eastAsia" w:ascii="黑体" w:hAnsi="Times New Roman" w:eastAsia="黑体" w:cs="Times New Roman"/>
          <w:kern w:val="0"/>
          <w:szCs w:val="20"/>
          <w:lang w:val="en-US" w:eastAsia="zh-CN"/>
        </w:rPr>
      </w:pPr>
      <w:r>
        <w:rPr>
          <w:rFonts w:hint="eastAsia" w:ascii="黑体" w:hAnsi="黑体" w:eastAsia="黑体" w:cs="黑体"/>
          <w:b w:val="0"/>
          <w:bCs w:val="0"/>
          <w:kern w:val="0"/>
          <w:szCs w:val="20"/>
          <w:highlight w:val="none"/>
          <w:lang w:val="en-US" w:eastAsia="zh-CN"/>
        </w:rPr>
        <w:t>9.4</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野生资源的采集</w:t>
      </w:r>
      <w:r>
        <w:rPr>
          <w:rFonts w:hint="eastAsia" w:ascii="宋体" w:hAnsi="Times New Roman" w:cs="Times New Roman"/>
          <w:kern w:val="0"/>
          <w:szCs w:val="20"/>
          <w:lang w:val="en-US" w:eastAsia="zh-CN"/>
        </w:rPr>
        <w:t>应</w:t>
      </w:r>
      <w:r>
        <w:rPr>
          <w:rFonts w:hint="eastAsia" w:ascii="宋体" w:hAnsi="Times New Roman" w:eastAsia="宋体" w:cs="Times New Roman"/>
          <w:kern w:val="0"/>
          <w:szCs w:val="20"/>
          <w:lang w:val="en-US" w:eastAsia="zh-CN"/>
        </w:rPr>
        <w:t>确保产品品相完整、新鲜，质量</w:t>
      </w:r>
      <w:r>
        <w:rPr>
          <w:rFonts w:hint="eastAsia" w:ascii="宋体" w:hAnsi="Times New Roman" w:cs="Times New Roman"/>
          <w:kern w:val="0"/>
          <w:szCs w:val="20"/>
          <w:lang w:val="en-US" w:eastAsia="zh-CN"/>
        </w:rPr>
        <w:t>符合</w:t>
      </w:r>
      <w:r>
        <w:rPr>
          <w:rFonts w:hint="eastAsia" w:ascii="宋体" w:hAnsi="Times New Roman" w:eastAsia="宋体" w:cs="Times New Roman"/>
          <w:kern w:val="0"/>
          <w:szCs w:val="20"/>
          <w:lang w:val="en-US" w:eastAsia="zh-CN"/>
        </w:rPr>
        <w:t>绿色、有机</w:t>
      </w:r>
      <w:r>
        <w:rPr>
          <w:rFonts w:hint="eastAsia" w:ascii="宋体" w:hAnsi="Times New Roman" w:cs="Times New Roman"/>
          <w:kern w:val="0"/>
          <w:szCs w:val="20"/>
          <w:lang w:val="en-US" w:eastAsia="zh-CN"/>
        </w:rPr>
        <w:t>相关要求</w:t>
      </w:r>
      <w:r>
        <w:rPr>
          <w:rFonts w:hint="eastAsia" w:ascii="宋体" w:hAnsi="Times New Roman" w:eastAsia="宋体" w:cs="Times New Roman"/>
          <w:kern w:val="0"/>
          <w:szCs w:val="20"/>
          <w:lang w:val="en-US" w:eastAsia="zh-CN"/>
        </w:rPr>
        <w:t>。</w:t>
      </w:r>
    </w:p>
    <w:p w14:paraId="7F2CDA4A">
      <w:pPr>
        <w:keepNext w:val="0"/>
        <w:keepLines w:val="0"/>
        <w:pageBreakBefore w:val="0"/>
        <w:kinsoku/>
        <w:wordWrap/>
        <w:overflowPunct/>
        <w:topLinePunct w:val="0"/>
        <w:bidi w:val="0"/>
        <w:adjustRightInd w:val="0"/>
        <w:snapToGrid w:val="0"/>
        <w:spacing w:before="313" w:beforeLines="100" w:after="313" w:afterLines="100" w:line="300" w:lineRule="exact"/>
        <w:textAlignment w:val="auto"/>
        <w:outlineLvl w:val="0"/>
        <w:rPr>
          <w:rFonts w:hint="default" w:ascii="宋体" w:hAnsi="Times New Roman" w:eastAsia="宋体" w:cs="Times New Roman"/>
          <w:b/>
          <w:bCs/>
          <w:kern w:val="0"/>
          <w:szCs w:val="20"/>
          <w:lang w:val="en-US" w:eastAsia="zh-CN"/>
        </w:rPr>
      </w:pPr>
      <w:bookmarkStart w:id="41" w:name="_Toc32609"/>
      <w:r>
        <w:rPr>
          <w:rFonts w:hint="eastAsia" w:ascii="黑体" w:hAnsi="Times New Roman" w:eastAsia="黑体" w:cs="Times New Roman"/>
          <w:kern w:val="0"/>
          <w:szCs w:val="20"/>
          <w:lang w:val="en-US" w:eastAsia="zh-CN"/>
        </w:rPr>
        <w:t xml:space="preserve">10 </w:t>
      </w:r>
      <w:r>
        <w:rPr>
          <w:rFonts w:hint="default"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lang w:val="en-US" w:eastAsia="zh-CN"/>
        </w:rPr>
        <w:t>林下产品初加工</w:t>
      </w:r>
      <w:bookmarkEnd w:id="41"/>
    </w:p>
    <w:p w14:paraId="0599AEF9">
      <w:pPr>
        <w:keepNext w:val="0"/>
        <w:keepLines w:val="0"/>
        <w:pageBreakBefore w:val="0"/>
        <w:kinsoku/>
        <w:wordWrap/>
        <w:overflowPunct/>
        <w:topLinePunct w:val="0"/>
        <w:bidi w:val="0"/>
        <w:adjustRightInd w:val="0"/>
        <w:snapToGrid w:val="0"/>
        <w:spacing w:line="300" w:lineRule="exact"/>
        <w:textAlignment w:val="auto"/>
        <w:rPr>
          <w:rFonts w:hint="eastAsia" w:ascii="宋体" w:hAnsi="Times New Roman" w:cs="Times New Roman"/>
          <w:kern w:val="0"/>
          <w:szCs w:val="20"/>
        </w:rPr>
      </w:pPr>
      <w:r>
        <w:rPr>
          <w:rFonts w:hint="eastAsia" w:ascii="黑体" w:hAnsi="黑体" w:eastAsia="黑体" w:cs="黑体"/>
          <w:b w:val="0"/>
          <w:bCs w:val="0"/>
          <w:kern w:val="0"/>
          <w:szCs w:val="20"/>
          <w:highlight w:val="none"/>
          <w:lang w:val="en-US" w:eastAsia="zh-CN"/>
        </w:rPr>
        <w:t>1</w:t>
      </w:r>
      <w:r>
        <w:rPr>
          <w:rFonts w:hint="eastAsia" w:ascii="黑体" w:hAnsi="黑体" w:eastAsia="黑体" w:cs="黑体"/>
          <w:b w:val="0"/>
          <w:bCs w:val="0"/>
          <w:kern w:val="0"/>
          <w:szCs w:val="20"/>
          <w:highlight w:val="none"/>
        </w:rPr>
        <w:t>0.1</w:t>
      </w:r>
      <w:r>
        <w:rPr>
          <w:rFonts w:hint="eastAsia" w:ascii="黑体" w:hAnsi="黑体" w:eastAsia="黑体" w:cs="黑体"/>
          <w:b w:val="0"/>
          <w:bCs w:val="0"/>
          <w:kern w:val="0"/>
          <w:szCs w:val="20"/>
          <w:highlight w:val="none"/>
          <w:lang w:val="en-US" w:eastAsia="zh-CN"/>
        </w:rPr>
        <w:t xml:space="preserve"> </w:t>
      </w:r>
      <w:r>
        <w:rPr>
          <w:rFonts w:hint="eastAsia" w:ascii="黑体" w:hAnsi="黑体" w:eastAsia="黑体" w:cs="黑体"/>
          <w:kern w:val="0"/>
          <w:szCs w:val="20"/>
          <w:highlight w:val="none"/>
        </w:rPr>
        <w:t xml:space="preserve"> </w:t>
      </w:r>
      <w:r>
        <w:rPr>
          <w:rFonts w:hint="eastAsia" w:ascii="宋体" w:hAnsi="Times New Roman" w:cs="Times New Roman"/>
          <w:kern w:val="0"/>
          <w:szCs w:val="20"/>
        </w:rPr>
        <w:t>根据产品类型、用途和特性，合理选择清洗、整理、分级、切制、干燥、冷藏、冷冻、包装等初加工方式</w:t>
      </w:r>
      <w:r>
        <w:rPr>
          <w:rFonts w:hint="eastAsia" w:ascii="宋体" w:hAnsi="Times New Roman" w:cs="Times New Roman"/>
          <w:kern w:val="0"/>
          <w:szCs w:val="20"/>
          <w:lang w:eastAsia="zh-CN"/>
        </w:rPr>
        <w:t>；</w:t>
      </w:r>
      <w:r>
        <w:rPr>
          <w:rFonts w:hint="eastAsia" w:ascii="宋体" w:hAnsi="Times New Roman" w:cs="Times New Roman"/>
          <w:kern w:val="0"/>
          <w:szCs w:val="20"/>
        </w:rPr>
        <w:t>必要时</w:t>
      </w:r>
      <w:r>
        <w:rPr>
          <w:rFonts w:hint="eastAsia" w:ascii="宋体" w:hAnsi="Times New Roman" w:cs="Times New Roman"/>
          <w:kern w:val="0"/>
          <w:szCs w:val="20"/>
          <w:lang w:val="en-US" w:eastAsia="zh-CN"/>
        </w:rPr>
        <w:t>可</w:t>
      </w:r>
      <w:r>
        <w:rPr>
          <w:rFonts w:hint="eastAsia" w:ascii="宋体" w:hAnsi="Times New Roman" w:cs="Times New Roman"/>
          <w:kern w:val="0"/>
          <w:szCs w:val="20"/>
        </w:rPr>
        <w:t>采用杀青、蒸制、揉制等传统初制工艺</w:t>
      </w:r>
      <w:r>
        <w:rPr>
          <w:rFonts w:hint="eastAsia" w:ascii="宋体" w:hAnsi="Times New Roman" w:cs="Times New Roman"/>
          <w:kern w:val="0"/>
          <w:szCs w:val="20"/>
          <w:lang w:eastAsia="zh-CN"/>
        </w:rPr>
        <w:t>。初加工</w:t>
      </w:r>
      <w:r>
        <w:rPr>
          <w:rFonts w:hint="eastAsia" w:ascii="宋体" w:hAnsi="Times New Roman" w:cs="Times New Roman"/>
          <w:kern w:val="0"/>
          <w:szCs w:val="20"/>
        </w:rPr>
        <w:t>不应改变产品基本属性和主要用途。</w:t>
      </w:r>
    </w:p>
    <w:p w14:paraId="010B998D">
      <w:pPr>
        <w:keepNext w:val="0"/>
        <w:keepLines w:val="0"/>
        <w:pageBreakBefore w:val="0"/>
        <w:kinsoku/>
        <w:wordWrap/>
        <w:overflowPunct/>
        <w:topLinePunct w:val="0"/>
        <w:bidi w:val="0"/>
        <w:adjustRightInd w:val="0"/>
        <w:snapToGrid w:val="0"/>
        <w:spacing w:line="300" w:lineRule="exact"/>
        <w:textAlignment w:val="auto"/>
        <w:rPr>
          <w:rFonts w:hint="eastAsia" w:ascii="宋体" w:hAnsi="Times New Roman" w:cs="Times New Roman"/>
          <w:kern w:val="0"/>
          <w:szCs w:val="20"/>
        </w:rPr>
      </w:pPr>
      <w:r>
        <w:rPr>
          <w:rFonts w:hint="eastAsia" w:ascii="黑体" w:hAnsi="黑体" w:eastAsia="黑体" w:cs="黑体"/>
          <w:b w:val="0"/>
          <w:bCs w:val="0"/>
          <w:kern w:val="0"/>
          <w:szCs w:val="20"/>
          <w:highlight w:val="none"/>
        </w:rPr>
        <w:t>10.2</w:t>
      </w:r>
      <w:r>
        <w:rPr>
          <w:rFonts w:hint="eastAsia" w:ascii="黑体" w:hAnsi="黑体" w:eastAsia="黑体" w:cs="黑体"/>
          <w:kern w:val="0"/>
          <w:szCs w:val="20"/>
          <w:highlight w:val="none"/>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cs="Times New Roman"/>
          <w:kern w:val="0"/>
          <w:szCs w:val="20"/>
        </w:rPr>
        <w:t>根据产品特性采取适宜的加工方式</w:t>
      </w:r>
      <w:r>
        <w:rPr>
          <w:rFonts w:hint="eastAsia" w:ascii="宋体" w:hAnsi="Times New Roman" w:cs="Times New Roman"/>
          <w:kern w:val="0"/>
          <w:szCs w:val="20"/>
          <w:lang w:eastAsia="zh-CN"/>
        </w:rPr>
        <w:t>，</w:t>
      </w:r>
      <w:r>
        <w:rPr>
          <w:rFonts w:hint="eastAsia" w:ascii="宋体" w:hAnsi="Times New Roman" w:cs="Times New Roman"/>
          <w:kern w:val="0"/>
          <w:szCs w:val="20"/>
        </w:rPr>
        <w:t>宜采用清洗、分级、切制、干燥、脱水、保鲜、包装等方式进行处理，减少加工过程中的品质损失。</w:t>
      </w:r>
    </w:p>
    <w:p w14:paraId="22322375">
      <w:pPr>
        <w:keepNext w:val="0"/>
        <w:keepLines w:val="0"/>
        <w:pageBreakBefore w:val="0"/>
        <w:kinsoku/>
        <w:wordWrap/>
        <w:overflowPunct/>
        <w:topLinePunct w:val="0"/>
        <w:bidi w:val="0"/>
        <w:adjustRightInd w:val="0"/>
        <w:snapToGrid w:val="0"/>
        <w:spacing w:line="300" w:lineRule="exact"/>
        <w:textAlignment w:val="auto"/>
        <w:rPr>
          <w:rFonts w:hint="eastAsia" w:ascii="宋体" w:hAnsi="Times New Roman" w:cs="Times New Roman"/>
          <w:kern w:val="0"/>
          <w:szCs w:val="20"/>
        </w:rPr>
      </w:pPr>
      <w:r>
        <w:rPr>
          <w:rFonts w:hint="eastAsia" w:ascii="黑体" w:hAnsi="黑体" w:eastAsia="黑体" w:cs="黑体"/>
          <w:b w:val="0"/>
          <w:bCs w:val="0"/>
          <w:kern w:val="0"/>
          <w:szCs w:val="20"/>
          <w:highlight w:val="none"/>
        </w:rPr>
        <w:t>10.3</w:t>
      </w:r>
      <w:r>
        <w:rPr>
          <w:rFonts w:hint="eastAsia" w:ascii="黑体" w:hAnsi="黑体" w:eastAsia="黑体" w:cs="黑体"/>
          <w:kern w:val="0"/>
          <w:szCs w:val="20"/>
          <w:highlight w:val="none"/>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cs="Times New Roman"/>
          <w:kern w:val="0"/>
          <w:szCs w:val="20"/>
        </w:rPr>
        <w:t>林下养殖产品初加工符合动物防疫、食品安全和产品质量管理要求。畜禽产品宜采用清洁处理、分割、冷藏、冷冻、包装等方式进行初加工；水产品</w:t>
      </w:r>
      <w:r>
        <w:rPr>
          <w:rFonts w:hint="eastAsia" w:ascii="宋体" w:hAnsi="Times New Roman" w:cs="Times New Roman"/>
          <w:kern w:val="0"/>
          <w:szCs w:val="20"/>
          <w:lang w:eastAsia="zh-CN"/>
        </w:rPr>
        <w:t>宜</w:t>
      </w:r>
      <w:r>
        <w:rPr>
          <w:rFonts w:hint="eastAsia" w:ascii="宋体" w:hAnsi="Times New Roman" w:cs="Times New Roman"/>
          <w:kern w:val="0"/>
          <w:szCs w:val="20"/>
        </w:rPr>
        <w:t>根据产品特点采取过滤、分级、保鲜、冷藏等适宜处理方式，确保产品质量安全。</w:t>
      </w:r>
    </w:p>
    <w:p w14:paraId="37CE80A6">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rPr>
        <w:t>10.4</w:t>
      </w:r>
      <w:r>
        <w:rPr>
          <w:rFonts w:hint="eastAsia" w:ascii="黑体" w:hAnsi="黑体" w:eastAsia="黑体" w:cs="黑体"/>
          <w:kern w:val="0"/>
          <w:szCs w:val="20"/>
          <w:highlight w:val="none"/>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cs="Times New Roman"/>
          <w:kern w:val="0"/>
          <w:szCs w:val="20"/>
        </w:rPr>
        <w:t>林下采集产品初加工</w:t>
      </w:r>
      <w:r>
        <w:rPr>
          <w:rFonts w:hint="eastAsia" w:ascii="宋体" w:hAnsi="Times New Roman" w:cs="Times New Roman"/>
          <w:kern w:val="0"/>
          <w:szCs w:val="20"/>
          <w:lang w:eastAsia="zh-CN"/>
        </w:rPr>
        <w:t>宜</w:t>
      </w:r>
      <w:r>
        <w:rPr>
          <w:rFonts w:hint="eastAsia" w:ascii="宋体" w:hAnsi="Times New Roman" w:cs="Times New Roman"/>
          <w:kern w:val="0"/>
          <w:szCs w:val="20"/>
        </w:rPr>
        <w:t>根据产品类型采取适宜的保鲜和加工方式。可食用产品宜采用冷藏、气调贮藏、保鲜袋限气等方式进行贮藏，采用干制、罐藏等方式加工，并根据产品特性采用真空包装、充氮包装等方式。松脂、树漆、橡胶等工业原料应避免日光直晒和雨雪浸淋，不应与油类、润滑脂、酸、碱等影响产品质量的物质接触。</w:t>
      </w:r>
    </w:p>
    <w:p w14:paraId="4CE43F67">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300" w:lineRule="exact"/>
        <w:textAlignment w:val="auto"/>
        <w:outlineLvl w:val="0"/>
        <w:rPr>
          <w:rFonts w:hint="eastAsia" w:ascii="宋体" w:hAnsi="Times New Roman" w:eastAsia="宋体" w:cs="Times New Roman"/>
          <w:kern w:val="0"/>
          <w:szCs w:val="20"/>
          <w:lang w:val="en-US" w:eastAsia="zh-CN"/>
        </w:rPr>
      </w:pPr>
      <w:bookmarkStart w:id="42" w:name="_Toc20903"/>
      <w:bookmarkStart w:id="43" w:name="_Toc22834"/>
      <w:r>
        <w:rPr>
          <w:rFonts w:hint="eastAsia" w:ascii="黑体" w:hAnsi="Times New Roman" w:eastAsia="黑体" w:cs="Times New Roman"/>
          <w:kern w:val="0"/>
          <w:szCs w:val="20"/>
          <w:lang w:val="en-US" w:eastAsia="zh-CN"/>
        </w:rPr>
        <w:t xml:space="preserve">11 </w:t>
      </w:r>
      <w:r>
        <w:rPr>
          <w:rFonts w:hint="default" w:ascii="黑体" w:hAnsi="Times New Roman" w:eastAsia="黑体" w:cs="Times New Roman"/>
          <w:kern w:val="0"/>
          <w:szCs w:val="20"/>
          <w:lang w:val="en-US" w:eastAsia="zh-CN"/>
        </w:rPr>
        <w:t xml:space="preserve"> </w:t>
      </w:r>
      <w:r>
        <w:rPr>
          <w:rFonts w:hint="eastAsia" w:ascii="黑体" w:hAnsi="Times New Roman" w:eastAsia="黑体" w:cs="Times New Roman"/>
          <w:kern w:val="0"/>
          <w:szCs w:val="20"/>
          <w:lang w:val="en-US" w:eastAsia="zh-CN"/>
        </w:rPr>
        <w:t>森林景观利用</w:t>
      </w:r>
      <w:bookmarkEnd w:id="42"/>
      <w:bookmarkEnd w:id="43"/>
    </w:p>
    <w:p w14:paraId="70EB5523">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11.1</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重点选择有利于发挥森林景观的观赏和康养功能，优化景观层次感和季相色相变化，提升森林多功能服务价值，促进人与自然和谐共生的关键技术。</w:t>
      </w:r>
    </w:p>
    <w:p w14:paraId="34BEF1A5">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11.2</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根据原生植被现状的调查情况，结合旅游观光和森林康养的需要，在有效保存原生植被的基础上促进植被演替</w:t>
      </w:r>
      <w:r>
        <w:rPr>
          <w:rFonts w:hint="eastAsia" w:ascii="宋体" w:hAnsi="Times New Roman" w:cs="Times New Roman"/>
          <w:kern w:val="0"/>
          <w:szCs w:val="20"/>
          <w:lang w:val="en-US" w:eastAsia="zh-CN"/>
        </w:rPr>
        <w:t>，</w:t>
      </w:r>
      <w:r>
        <w:rPr>
          <w:rFonts w:hint="eastAsia" w:ascii="宋体" w:hAnsi="Times New Roman" w:eastAsia="宋体" w:cs="Times New Roman"/>
          <w:kern w:val="0"/>
          <w:szCs w:val="20"/>
          <w:lang w:val="en-US" w:eastAsia="zh-CN"/>
        </w:rPr>
        <w:t>构建物种丰富、群落稳定、地域特色鲜明、景观优美的生态景观</w:t>
      </w:r>
      <w:r>
        <w:rPr>
          <w:rFonts w:hint="eastAsia" w:ascii="宋体" w:hAnsi="Times New Roman" w:cs="Times New Roman"/>
          <w:kern w:val="0"/>
          <w:szCs w:val="20"/>
          <w:lang w:val="en-US" w:eastAsia="zh-CN"/>
        </w:rPr>
        <w:t>林</w:t>
      </w:r>
      <w:r>
        <w:rPr>
          <w:rFonts w:hint="eastAsia" w:ascii="宋体" w:hAnsi="Times New Roman" w:eastAsia="宋体" w:cs="Times New Roman"/>
          <w:kern w:val="0"/>
          <w:szCs w:val="20"/>
          <w:lang w:val="en-US" w:eastAsia="zh-CN"/>
        </w:rPr>
        <w:t>和康养林。</w:t>
      </w:r>
    </w:p>
    <w:p w14:paraId="7ED696E4">
      <w:pPr>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11.3</w:t>
      </w:r>
      <w:r>
        <w:rPr>
          <w:rFonts w:hint="eastAsia" w:ascii="黑体" w:hAnsi="黑体" w:eastAsia="黑体" w:cs="黑体"/>
          <w:b w:val="0"/>
          <w:bCs w:val="0"/>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森林景观利用技术主要包括块状、带状和点状改造法。块状改造面积</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控制在</w:t>
      </w:r>
      <w:r>
        <w:rPr>
          <w:rFonts w:hint="eastAsia" w:ascii="宋体" w:hAnsi="Times New Roman" w:eastAsia="宋体" w:cs="Times New Roman"/>
          <w:kern w:val="0"/>
          <w:szCs w:val="20"/>
          <w:highlight w:val="none"/>
          <w:lang w:val="en-US" w:eastAsia="zh-CN"/>
        </w:rPr>
        <w:t>1 hm</w:t>
      </w:r>
      <w:r>
        <w:rPr>
          <w:rFonts w:hint="eastAsia" w:ascii="宋体" w:hAnsi="Times New Roman" w:eastAsia="宋体" w:cs="Times New Roman"/>
          <w:kern w:val="0"/>
          <w:szCs w:val="20"/>
          <w:highlight w:val="none"/>
          <w:vertAlign w:val="superscript"/>
          <w:lang w:val="en-US" w:eastAsia="zh-CN"/>
        </w:rPr>
        <w:t>2</w:t>
      </w:r>
      <w:r>
        <w:rPr>
          <w:rFonts w:hint="eastAsia" w:ascii="宋体" w:hAnsi="Times New Roman" w:eastAsia="宋体" w:cs="Times New Roman"/>
          <w:kern w:val="0"/>
          <w:szCs w:val="20"/>
          <w:lang w:val="en-US" w:eastAsia="zh-CN"/>
        </w:rPr>
        <w:t>以下，改造树种包括经济林、观赏树种等。带状改造适宜</w:t>
      </w:r>
      <w:r>
        <w:rPr>
          <w:rFonts w:hint="eastAsia" w:ascii="宋体" w:hAnsi="Times New Roman" w:cs="Times New Roman"/>
          <w:kern w:val="0"/>
          <w:szCs w:val="20"/>
          <w:lang w:val="en-US" w:eastAsia="zh-CN"/>
        </w:rPr>
        <w:t>用</w:t>
      </w:r>
      <w:r>
        <w:rPr>
          <w:rFonts w:hint="eastAsia" w:ascii="宋体" w:hAnsi="Times New Roman" w:eastAsia="宋体" w:cs="Times New Roman"/>
          <w:kern w:val="0"/>
          <w:szCs w:val="20"/>
          <w:lang w:val="en-US" w:eastAsia="zh-CN"/>
        </w:rPr>
        <w:t>于坡度小、坡面大、原生植被生长均匀的植物景观，带宽</w:t>
      </w:r>
      <w:r>
        <w:rPr>
          <w:rFonts w:hint="eastAsia" w:ascii="宋体" w:hAnsi="Times New Roman" w:cs="Times New Roman"/>
          <w:kern w:val="0"/>
          <w:szCs w:val="20"/>
          <w:lang w:val="en-US" w:eastAsia="zh-CN"/>
        </w:rPr>
        <w:t>宜为</w:t>
      </w:r>
      <w:r>
        <w:rPr>
          <w:rFonts w:hint="eastAsia" w:ascii="宋体" w:hAnsi="Times New Roman" w:eastAsia="宋体" w:cs="Times New Roman"/>
          <w:kern w:val="0"/>
          <w:szCs w:val="20"/>
          <w:lang w:val="en-US" w:eastAsia="zh-CN"/>
        </w:rPr>
        <w:t>10</w:t>
      </w:r>
      <w:r>
        <w:rPr>
          <w:rFonts w:hint="eastAsia" w:ascii="宋体" w:hAnsi="Times New Roman" w:cs="Times New Roman"/>
          <w:kern w:val="0"/>
          <w:szCs w:val="20"/>
          <w:lang w:val="en-US" w:eastAsia="zh-CN"/>
        </w:rPr>
        <w:t xml:space="preserve"> m</w:t>
      </w:r>
      <w:r>
        <w:rPr>
          <w:rFonts w:hint="eastAsia" w:ascii="仿宋" w:hAnsi="仿宋" w:eastAsia="仿宋" w:cs="仿宋"/>
          <w:kern w:val="0"/>
          <w:szCs w:val="20"/>
          <w:lang w:val="en-US" w:eastAsia="zh-CN"/>
        </w:rPr>
        <w:t>～</w:t>
      </w:r>
      <w:r>
        <w:rPr>
          <w:rFonts w:hint="eastAsia" w:ascii="宋体" w:hAnsi="Times New Roman" w:eastAsia="宋体" w:cs="Times New Roman"/>
          <w:kern w:val="0"/>
          <w:szCs w:val="20"/>
          <w:lang w:val="en-US" w:eastAsia="zh-CN"/>
        </w:rPr>
        <w:t>20</w:t>
      </w:r>
      <w:r>
        <w:rPr>
          <w:rFonts w:hint="eastAsia" w:ascii="宋体" w:hAnsi="Times New Roman" w:cs="Times New Roman"/>
          <w:kern w:val="0"/>
          <w:szCs w:val="20"/>
          <w:lang w:val="en-US" w:eastAsia="zh-CN"/>
        </w:rPr>
        <w:t xml:space="preserve"> </w:t>
      </w:r>
      <w:r>
        <w:rPr>
          <w:rFonts w:hint="eastAsia" w:ascii="宋体" w:hAnsi="Times New Roman" w:eastAsia="宋体" w:cs="Times New Roman"/>
          <w:kern w:val="0"/>
          <w:szCs w:val="20"/>
          <w:lang w:val="en-US" w:eastAsia="zh-CN"/>
        </w:rPr>
        <w:t>m，排列方向视山体坡度而定，</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以观花、观叶、观果等观赏树种为主。点状改造</w:t>
      </w:r>
      <w:r>
        <w:rPr>
          <w:rFonts w:hint="eastAsia" w:ascii="宋体" w:hAnsi="Times New Roman" w:cs="Times New Roman"/>
          <w:kern w:val="0"/>
          <w:szCs w:val="20"/>
          <w:lang w:val="en-US" w:eastAsia="zh-CN"/>
        </w:rPr>
        <w:t>宜用</w:t>
      </w:r>
      <w:r>
        <w:rPr>
          <w:rFonts w:hint="eastAsia" w:ascii="宋体" w:hAnsi="Times New Roman" w:eastAsia="宋体" w:cs="Times New Roman"/>
          <w:kern w:val="0"/>
          <w:szCs w:val="20"/>
          <w:lang w:val="en-US" w:eastAsia="zh-CN"/>
        </w:rPr>
        <w:t>于旅游景点绿化改造和植被保护带内的补充栽植，</w:t>
      </w:r>
      <w:r>
        <w:rPr>
          <w:rFonts w:hint="eastAsia" w:ascii="宋体" w:hAnsi="Times New Roman" w:cs="Times New Roman"/>
          <w:kern w:val="0"/>
          <w:szCs w:val="20"/>
          <w:lang w:val="en-US" w:eastAsia="zh-CN"/>
        </w:rPr>
        <w:t>宜选用</w:t>
      </w:r>
      <w:r>
        <w:rPr>
          <w:rFonts w:hint="eastAsia" w:ascii="宋体" w:hAnsi="Times New Roman" w:eastAsia="宋体" w:cs="Times New Roman"/>
          <w:kern w:val="0"/>
          <w:szCs w:val="20"/>
          <w:lang w:val="en-US" w:eastAsia="zh-CN"/>
        </w:rPr>
        <w:t>彩叶树种、观花树种或珍贵树种。</w:t>
      </w:r>
    </w:p>
    <w:p w14:paraId="09589319">
      <w:pPr>
        <w:keepNext w:val="0"/>
        <w:keepLines w:val="0"/>
        <w:pageBreakBefore w:val="0"/>
        <w:kinsoku/>
        <w:wordWrap/>
        <w:overflowPunct/>
        <w:topLinePunct w:val="0"/>
        <w:bidi w:val="0"/>
        <w:adjustRightInd w:val="0"/>
        <w:snapToGrid w:val="0"/>
        <w:spacing w:line="300" w:lineRule="exact"/>
        <w:ind w:firstLine="0" w:firstLineChars="0"/>
        <w:textAlignment w:val="auto"/>
        <w:rPr>
          <w:rFonts w:hint="default"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lang w:val="en-US" w:eastAsia="zh-CN"/>
        </w:rPr>
        <w:t>11.4</w:t>
      </w:r>
      <w:r>
        <w:rPr>
          <w:rFonts w:hint="eastAsia" w:ascii="黑体" w:hAnsi="黑体" w:eastAsia="黑体" w:cs="黑体"/>
          <w:kern w:val="0"/>
          <w:szCs w:val="20"/>
          <w:highlight w:val="none"/>
          <w:lang w:val="en-US" w:eastAsia="zh-CN"/>
        </w:rPr>
        <w:t xml:space="preserve"> </w:t>
      </w:r>
      <w:r>
        <w:rPr>
          <w:rFonts w:hint="eastAsia" w:ascii="黑体" w:hAnsi="黑体" w:eastAsia="黑体" w:cs="黑体"/>
          <w:kern w:val="0"/>
          <w:szCs w:val="20"/>
          <w:highlight w:val="none"/>
          <w:lang w:val="en-US" w:eastAsia="zh-CN"/>
        </w:rPr>
        <w:t xml:space="preserve"> </w:t>
      </w:r>
      <w:r>
        <w:rPr>
          <w:rFonts w:hint="eastAsia" w:ascii="宋体" w:hAnsi="Times New Roman" w:eastAsia="宋体" w:cs="Times New Roman"/>
          <w:kern w:val="0"/>
          <w:szCs w:val="20"/>
          <w:lang w:val="en-US" w:eastAsia="zh-CN"/>
        </w:rPr>
        <w:t>森林康养技术主要包括林分选择、康养步道、林下整理、树种配置和基地建设。</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选择林相较好、生物多样性丰富的林分开展森林康养。</w:t>
      </w:r>
      <w:r>
        <w:rPr>
          <w:rFonts w:hint="eastAsia" w:ascii="宋体" w:hAnsi="Times New Roman" w:cs="Times New Roman"/>
          <w:kern w:val="0"/>
          <w:szCs w:val="20"/>
          <w:lang w:val="en-US" w:eastAsia="zh-CN"/>
        </w:rPr>
        <w:t>宜</w:t>
      </w:r>
      <w:r>
        <w:rPr>
          <w:rFonts w:hint="eastAsia" w:ascii="宋体" w:hAnsi="Times New Roman" w:eastAsia="宋体" w:cs="Times New Roman"/>
          <w:kern w:val="0"/>
          <w:szCs w:val="20"/>
          <w:lang w:val="en-US" w:eastAsia="zh-CN"/>
        </w:rPr>
        <w:t>在林木高大、植物精气浓郁的林中修建康养步道。科学开展林下整理和树种配置，补植具有释放精气和杀菌功能的植物。优选交通便利、森林覆盖率高、拥有丰富的空气负离子和优质地表水资源的区域建设康养基地</w:t>
      </w:r>
      <w:r>
        <w:rPr>
          <w:rFonts w:hint="eastAsia" w:ascii="宋体" w:hAnsi="Times New Roman" w:cs="Times New Roman"/>
          <w:kern w:val="0"/>
          <w:szCs w:val="20"/>
          <w:lang w:val="en-US" w:eastAsia="zh-CN"/>
        </w:rPr>
        <w:t>，具体按照</w:t>
      </w:r>
      <w:r>
        <w:rPr>
          <w:rFonts w:hint="eastAsia" w:ascii="宋体" w:hAnsi="Times New Roman" w:cs="Times New Roman"/>
          <w:kern w:val="0"/>
          <w:szCs w:val="24"/>
          <w:lang w:val="en-US" w:eastAsia="zh-CN"/>
        </w:rPr>
        <w:t>LY/T 2934 的规定执行。</w:t>
      </w:r>
    </w:p>
    <w:p w14:paraId="580CA6BD">
      <w:pPr>
        <w:adjustRightInd w:val="0"/>
        <w:snapToGrid w:val="0"/>
        <w:ind w:firstLine="0" w:firstLineChars="0"/>
        <w:rPr>
          <w:rFonts w:hint="default" w:ascii="宋体" w:hAnsi="Times New Roman" w:cs="Times New Roman"/>
          <w:kern w:val="0"/>
          <w:szCs w:val="20"/>
        </w:rPr>
      </w:pPr>
      <w:r>
        <w:rPr>
          <w:rFonts w:hint="eastAsia" w:ascii="黑体" w:hAnsi="黑体" w:eastAsia="黑体" w:cs="黑体"/>
          <w:b w:val="0"/>
          <w:bCs w:val="0"/>
          <w:kern w:val="0"/>
          <w:szCs w:val="20"/>
          <w:highlight w:val="none"/>
        </w:rPr>
        <w:t>11.</w:t>
      </w:r>
      <w:r>
        <w:rPr>
          <w:rFonts w:hint="eastAsia" w:ascii="黑体" w:hAnsi="黑体" w:eastAsia="黑体" w:cs="黑体"/>
          <w:b w:val="0"/>
          <w:bCs w:val="0"/>
          <w:kern w:val="0"/>
          <w:szCs w:val="20"/>
          <w:highlight w:val="none"/>
          <w:lang w:eastAsia="zh-CN"/>
        </w:rPr>
        <w:t>5</w:t>
      </w:r>
      <w:r>
        <w:rPr>
          <w:rFonts w:hint="eastAsia" w:ascii="黑体" w:hAnsi="黑体" w:eastAsia="黑体" w:cs="黑体"/>
          <w:kern w:val="0"/>
          <w:szCs w:val="20"/>
          <w:highlight w:val="none"/>
        </w:rPr>
        <w:t xml:space="preserve"> </w:t>
      </w:r>
      <w:r>
        <w:rPr>
          <w:rFonts w:hint="eastAsia" w:ascii="黑体" w:hAnsi="黑体" w:eastAsia="黑体" w:cs="黑体"/>
          <w:kern w:val="0"/>
          <w:szCs w:val="20"/>
          <w:highlight w:val="none"/>
          <w:lang w:val="en-US" w:eastAsia="zh-CN"/>
        </w:rPr>
        <w:t xml:space="preserve"> </w:t>
      </w:r>
      <w:r>
        <w:rPr>
          <w:rFonts w:hint="default" w:ascii="宋体" w:hAnsi="Times New Roman" w:cs="Times New Roman"/>
          <w:kern w:val="0"/>
          <w:szCs w:val="20"/>
        </w:rPr>
        <w:t>森林旅游</w:t>
      </w:r>
      <w:r>
        <w:rPr>
          <w:rFonts w:hint="eastAsia" w:ascii="宋体" w:hAnsi="Times New Roman" w:cs="Times New Roman"/>
          <w:kern w:val="0"/>
          <w:szCs w:val="20"/>
          <w:lang w:eastAsia="zh-CN"/>
        </w:rPr>
        <w:t>宜</w:t>
      </w:r>
      <w:r>
        <w:rPr>
          <w:rFonts w:hint="default" w:ascii="宋体" w:hAnsi="Times New Roman" w:cs="Times New Roman"/>
          <w:kern w:val="0"/>
          <w:szCs w:val="20"/>
        </w:rPr>
        <w:t>根据森林资源特点和环境承载能力，合理布局游憩设施、服务设施和生态体验空间。步道建设</w:t>
      </w:r>
      <w:r>
        <w:rPr>
          <w:rFonts w:hint="eastAsia" w:ascii="宋体" w:hAnsi="Times New Roman" w:cs="Times New Roman"/>
          <w:kern w:val="0"/>
          <w:szCs w:val="20"/>
          <w:lang w:eastAsia="zh-CN"/>
        </w:rPr>
        <w:t>宜</w:t>
      </w:r>
      <w:r>
        <w:rPr>
          <w:rFonts w:hint="default" w:ascii="宋体" w:hAnsi="Times New Roman" w:cs="Times New Roman"/>
          <w:kern w:val="0"/>
          <w:szCs w:val="20"/>
        </w:rPr>
        <w:t>充分利用现有地形条件，采用生态化、低扰动建设方式，合理设置游览线路、休憩节点、安全防护和环境保护设施，减少对森林植被和生态环境的影响。</w:t>
      </w:r>
    </w:p>
    <w:p w14:paraId="0C8AA99F">
      <w:pPr>
        <w:adjustRightInd w:val="0"/>
        <w:snapToGrid w:val="0"/>
        <w:ind w:firstLine="0" w:firstLineChars="0"/>
        <w:rPr>
          <w:rFonts w:hint="default" w:ascii="宋体" w:hAnsi="Times New Roman" w:eastAsia="宋体" w:cs="Times New Roman"/>
          <w:kern w:val="0"/>
          <w:szCs w:val="20"/>
          <w:lang w:val="en-US" w:eastAsia="zh-CN"/>
        </w:rPr>
      </w:pPr>
      <w:r>
        <w:rPr>
          <w:rFonts w:hint="eastAsia" w:ascii="黑体" w:hAnsi="黑体" w:eastAsia="黑体" w:cs="黑体"/>
          <w:b w:val="0"/>
          <w:bCs w:val="0"/>
          <w:kern w:val="0"/>
          <w:szCs w:val="20"/>
          <w:highlight w:val="none"/>
        </w:rPr>
        <w:t>11.</w:t>
      </w:r>
      <w:r>
        <w:rPr>
          <w:rFonts w:hint="eastAsia" w:ascii="黑体" w:hAnsi="黑体" w:eastAsia="黑体" w:cs="黑体"/>
          <w:b w:val="0"/>
          <w:bCs w:val="0"/>
          <w:kern w:val="0"/>
          <w:szCs w:val="20"/>
          <w:highlight w:val="none"/>
          <w:lang w:eastAsia="zh-CN"/>
        </w:rPr>
        <w:t>6</w:t>
      </w:r>
      <w:r>
        <w:rPr>
          <w:rFonts w:hint="eastAsia" w:ascii="黑体" w:hAnsi="黑体" w:eastAsia="黑体" w:cs="黑体"/>
          <w:kern w:val="0"/>
          <w:szCs w:val="20"/>
          <w:highlight w:val="none"/>
        </w:rPr>
        <w:t xml:space="preserve"> </w:t>
      </w:r>
      <w:r>
        <w:rPr>
          <w:rFonts w:hint="eastAsia" w:ascii="黑体" w:hAnsi="黑体" w:eastAsia="黑体" w:cs="黑体"/>
          <w:kern w:val="0"/>
          <w:szCs w:val="20"/>
          <w:highlight w:val="none"/>
          <w:lang w:val="en-US" w:eastAsia="zh-CN"/>
        </w:rPr>
        <w:t xml:space="preserve"> </w:t>
      </w:r>
      <w:r>
        <w:rPr>
          <w:rFonts w:hint="default" w:ascii="宋体" w:hAnsi="Times New Roman" w:cs="Times New Roman"/>
          <w:kern w:val="0"/>
          <w:szCs w:val="20"/>
        </w:rPr>
        <w:t>自然教育</w:t>
      </w:r>
      <w:r>
        <w:rPr>
          <w:rFonts w:hint="eastAsia" w:ascii="宋体" w:hAnsi="Times New Roman" w:cs="Times New Roman"/>
          <w:kern w:val="0"/>
          <w:szCs w:val="20"/>
          <w:lang w:eastAsia="zh-CN"/>
        </w:rPr>
        <w:t>宜</w:t>
      </w:r>
      <w:r>
        <w:rPr>
          <w:rFonts w:hint="default" w:ascii="宋体" w:hAnsi="Times New Roman" w:cs="Times New Roman"/>
          <w:kern w:val="0"/>
          <w:szCs w:val="20"/>
        </w:rPr>
        <w:t>依托森林生态系统、生物多样性和地域文化资源，建设自然观察、科普展示、研学体验等设施，开发森林生态课程和体验活动。设施建设</w:t>
      </w:r>
      <w:r>
        <w:rPr>
          <w:rFonts w:hint="eastAsia" w:ascii="宋体" w:hAnsi="Times New Roman" w:cs="Times New Roman"/>
          <w:kern w:val="0"/>
          <w:szCs w:val="20"/>
          <w:lang w:eastAsia="zh-CN"/>
        </w:rPr>
        <w:t>宜</w:t>
      </w:r>
      <w:r>
        <w:rPr>
          <w:rFonts w:hint="default" w:ascii="宋体" w:hAnsi="Times New Roman" w:cs="Times New Roman"/>
          <w:kern w:val="0"/>
          <w:szCs w:val="20"/>
        </w:rPr>
        <w:t>遵循生态优先原则，</w:t>
      </w:r>
      <w:r>
        <w:rPr>
          <w:rFonts w:hint="eastAsia" w:ascii="宋体" w:hAnsi="Times New Roman" w:cs="Times New Roman"/>
          <w:kern w:val="0"/>
          <w:szCs w:val="20"/>
          <w:lang w:eastAsia="zh-CN"/>
        </w:rPr>
        <w:t>不应</w:t>
      </w:r>
      <w:r>
        <w:rPr>
          <w:rFonts w:hint="default" w:ascii="宋体" w:hAnsi="Times New Roman" w:cs="Times New Roman"/>
          <w:kern w:val="0"/>
          <w:szCs w:val="20"/>
        </w:rPr>
        <w:t>对野生动植物栖息环境造成干扰</w:t>
      </w:r>
      <w:r>
        <w:rPr>
          <w:rFonts w:hint="eastAsia" w:ascii="宋体" w:hAnsi="Times New Roman" w:cs="Times New Roman"/>
          <w:kern w:val="0"/>
          <w:szCs w:val="20"/>
          <w:lang w:eastAsia="zh-CN"/>
        </w:rPr>
        <w:t>，具体</w:t>
      </w:r>
      <w:r>
        <w:rPr>
          <w:rFonts w:hint="eastAsia" w:ascii="宋体" w:hAnsi="Times New Roman" w:cs="Times New Roman"/>
          <w:kern w:val="0"/>
          <w:szCs w:val="20"/>
          <w:lang w:val="en-US" w:eastAsia="zh-CN"/>
        </w:rPr>
        <w:t>按照</w:t>
      </w:r>
      <w:r>
        <w:rPr>
          <w:rFonts w:hint="eastAsia" w:ascii="宋体" w:hAnsi="Times New Roman" w:cs="Times New Roman"/>
          <w:kern w:val="0"/>
          <w:szCs w:val="24"/>
        </w:rPr>
        <w:t>LY/T 3329</w:t>
      </w:r>
      <w:r>
        <w:rPr>
          <w:rFonts w:hint="eastAsia" w:ascii="宋体" w:hAnsi="Times New Roman" w:cs="Times New Roman"/>
          <w:kern w:val="0"/>
          <w:szCs w:val="24"/>
          <w:lang w:eastAsia="zh-CN"/>
        </w:rPr>
        <w:t>的</w:t>
      </w:r>
      <w:r>
        <w:rPr>
          <w:rFonts w:hint="eastAsia" w:ascii="宋体" w:hAnsi="Times New Roman" w:cs="Times New Roman"/>
          <w:kern w:val="0"/>
          <w:szCs w:val="24"/>
          <w:lang w:val="en-US" w:eastAsia="zh-CN"/>
        </w:rPr>
        <w:t>规定执行</w:t>
      </w:r>
      <w:r>
        <w:rPr>
          <w:rFonts w:hint="default" w:ascii="宋体" w:hAnsi="Times New Roman" w:cs="Times New Roman"/>
          <w:kern w:val="0"/>
          <w:szCs w:val="20"/>
        </w:rPr>
        <w:t>。</w:t>
      </w:r>
    </w:p>
    <w:p w14:paraId="753DDEEA">
      <w:pPr>
        <w:adjustRightInd w:val="0"/>
        <w:snapToGrid w:val="0"/>
        <w:ind w:firstLine="0" w:firstLineChars="0"/>
        <w:rPr>
          <w:rFonts w:hint="default" w:ascii="宋体" w:hAnsi="Times New Roman" w:eastAsia="宋体" w:cs="Times New Roman"/>
          <w:kern w:val="0"/>
          <w:szCs w:val="20"/>
          <w:lang w:val="en-US" w:eastAsia="zh-CN"/>
        </w:rPr>
      </w:pPr>
    </w:p>
    <w:p w14:paraId="60959AC4">
      <w:pPr>
        <w:adjustRightInd w:val="0"/>
        <w:snapToGrid w:val="0"/>
        <w:ind w:firstLine="0" w:firstLineChars="0"/>
        <w:rPr>
          <w:rFonts w:hint="default" w:ascii="宋体" w:hAnsi="Times New Roman" w:eastAsia="宋体" w:cs="Times New Roman"/>
          <w:kern w:val="0"/>
          <w:szCs w:val="20"/>
          <w:lang w:val="en-US" w:eastAsia="zh-CN"/>
        </w:rPr>
      </w:pPr>
    </w:p>
    <w:p w14:paraId="05E92D33">
      <w:pPr>
        <w:adjustRightInd w:val="0"/>
        <w:snapToGrid w:val="0"/>
        <w:ind w:firstLine="0" w:firstLineChars="0"/>
        <w:rPr>
          <w:rFonts w:hint="default" w:ascii="宋体" w:hAnsi="Times New Roman" w:eastAsia="宋体" w:cs="Times New Roman"/>
          <w:kern w:val="0"/>
          <w:szCs w:val="20"/>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2146300</wp:posOffset>
                </wp:positionH>
                <wp:positionV relativeFrom="paragraph">
                  <wp:posOffset>140970</wp:posOffset>
                </wp:positionV>
                <wp:extent cx="144018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1440180" cy="635"/>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9pt;margin-top:11.1pt;height:0.05pt;width:113.4pt;z-index:251660288;mso-width-relative:page;mso-height-relative:page;" filled="f" stroked="t" coordsize="21600,21600" o:gfxdata="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oFdMDYAAAACQEAAA8AAAAAAAAA&#10;AQAgAAAAIgAAAGRycy9kb3ducmV2LnhtbFBLAQIUABQAAAAIAIdO4kBTH/Be2AEAAJ0DAAAOAAAA&#10;AAAAAAEAIAAAACcBAABkcnMvZTJvRG9jLnhtbFBLBQYAAAAABgAGAFkBAABxBQAAAAA=&#10;">
                <v:fill on="f" focussize="0,0"/>
                <v:stroke weight="1pt" color="#000000 [3213]" joinstyle="round"/>
                <v:imagedata o:title=""/>
                <o:lock v:ext="edit" aspectratio="f"/>
              </v:line>
            </w:pict>
          </mc:Fallback>
        </mc:AlternateContent>
      </w:r>
    </w:p>
    <w:sectPr>
      <w:pgSz w:w="11906" w:h="16838"/>
      <w:pgMar w:top="567" w:right="1134" w:bottom="1134" w:left="1418" w:header="1417" w:footer="1134"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EFF" w:usb1="C000785B"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Calibri Light">
    <w:altName w:val="Arial"/>
    <w:panose1 w:val="020F0302020204030204"/>
    <w:charset w:val="00"/>
    <w:family w:val="swiss"/>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00BA">
    <w:pPr>
      <w:pStyle w:val="14"/>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11</w:t>
    </w:r>
    <w:r>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7E429">
    <w:pPr>
      <w:pStyle w:val="14"/>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II</w:t>
    </w:r>
    <w:r>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7F6D5">
    <w:pPr>
      <w:pStyle w:val="14"/>
      <w:jc w:val="right"/>
    </w:pPr>
    <w:r>
      <w:rPr>
        <w:rFonts w:ascii="宋体" w:hAnsi="宋体" w:eastAsia="宋体"/>
      </w:rPr>
      <w:fldChar w:fldCharType="begin"/>
    </w:r>
    <w:r>
      <w:rPr>
        <w:rFonts w:ascii="宋体" w:hAnsi="宋体" w:eastAsia="宋体"/>
      </w:rPr>
      <w:instrText xml:space="preserve"> PAGE   \* MERGEFORMAT </w:instrText>
    </w:r>
    <w:r>
      <w:rPr>
        <w:rFonts w:ascii="宋体" w:hAnsi="宋体" w:eastAsia="宋体"/>
      </w:rPr>
      <w:fldChar w:fldCharType="separate"/>
    </w:r>
    <w:r>
      <w:rPr>
        <w:rFonts w:ascii="宋体" w:hAnsi="宋体" w:eastAsia="宋体"/>
        <w:lang w:val="zh-CN"/>
      </w:rPr>
      <w:t>1</w:t>
    </w:r>
    <w:r>
      <w:rPr>
        <w:rFonts w:ascii="宋体" w:hAnsi="宋体" w:eastAsia="宋体"/>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F1B84">
    <w:pPr>
      <w:pStyle w:val="15"/>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0517C">
    <w:pPr>
      <w:pStyle w:val="15"/>
      <w:pBdr>
        <w:bottom w:val="none" w:color="auto" w:sz="0" w:space="0"/>
      </w:pBdr>
      <w:jc w:val="left"/>
      <w:rPr>
        <w:rFonts w:ascii="黑体" w:hAnsi="黑体" w:eastAsia="黑体" w:cs="Times New Roman"/>
        <w:sz w:val="21"/>
        <w:szCs w:val="21"/>
      </w:rPr>
    </w:pPr>
    <w:r>
      <w:rPr>
        <w:rFonts w:ascii="黑体" w:hAnsi="黑体" w:eastAsia="黑体" w:cs="Times New Roman"/>
        <w:sz w:val="21"/>
        <w:szCs w:val="21"/>
      </w:rPr>
      <w:t>T/CSF</w:t>
    </w:r>
    <w:r>
      <w:rPr>
        <w:rFonts w:hint="eastAsia" w:ascii="黑体" w:hAnsi="黑体" w:eastAsia="黑体" w:cs="Times New Roman"/>
        <w:sz w:val="21"/>
        <w:szCs w:val="21"/>
      </w:rPr>
      <w:t xml:space="preserve"> </w:t>
    </w:r>
    <w:r>
      <w:rPr>
        <w:rFonts w:ascii="黑体" w:hAnsi="黑体" w:eastAsia="黑体" w:cs="Times New Roman"/>
        <w:sz w:val="21"/>
        <w:szCs w:val="21"/>
      </w:rPr>
      <w:t>×××</w:t>
    </w:r>
    <w:r>
      <w:rPr>
        <w:rFonts w:hint="eastAsia" w:ascii="黑体" w:hAnsi="黑体" w:eastAsia="黑体" w:cs="Times New Roman"/>
        <w:sz w:val="21"/>
        <w:szCs w:val="21"/>
      </w:rPr>
      <w:t>—</w:t>
    </w:r>
    <w:r>
      <w:rPr>
        <w:rFonts w:ascii="黑体" w:hAnsi="黑体" w:eastAsia="黑体" w:cs="Times New Roman"/>
        <w:sz w:val="21"/>
        <w:szCs w:val="21"/>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50C3C">
    <w:pPr>
      <w:tabs>
        <w:tab w:val="center" w:pos="4153"/>
        <w:tab w:val="right" w:pos="8306"/>
      </w:tabs>
      <w:snapToGrid w:val="0"/>
      <w:spacing w:afterLines="100"/>
      <w:jc w:val="right"/>
      <w:rPr>
        <w:rFonts w:ascii="黑体" w:hAnsi="黑体" w:eastAsia="黑体" w:cs="Times New Roman"/>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2F08">
    <w:pPr>
      <w:tabs>
        <w:tab w:val="center" w:pos="4153"/>
        <w:tab w:val="right" w:pos="8306"/>
      </w:tabs>
      <w:snapToGrid w:val="0"/>
      <w:spacing w:afterLines="100"/>
      <w:jc w:val="right"/>
      <w:rPr>
        <w:rFonts w:ascii="黑体" w:hAnsi="黑体" w:eastAsia="黑体" w:cs="Times New Roman"/>
        <w:szCs w:val="21"/>
      </w:rPr>
    </w:pPr>
    <w:r>
      <w:rPr>
        <w:rFonts w:ascii="黑体" w:hAnsi="黑体" w:eastAsia="黑体" w:cs="Times New Roman"/>
        <w:szCs w:val="21"/>
      </w:rPr>
      <w:t>T/CSF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E6D066"/>
    <w:multiLevelType w:val="singleLevel"/>
    <w:tmpl w:val="CFE6D066"/>
    <w:lvl w:ilvl="0" w:tentative="0">
      <w:start w:val="1"/>
      <w:numFmt w:val="lowerLetter"/>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hideGrammaticalErrors/>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F5F2A"/>
    <w:rsid w:val="01FB0310"/>
    <w:rsid w:val="02D75EFE"/>
    <w:rsid w:val="033A0C2B"/>
    <w:rsid w:val="05B60A3D"/>
    <w:rsid w:val="05E05ABA"/>
    <w:rsid w:val="06A905A2"/>
    <w:rsid w:val="081A239B"/>
    <w:rsid w:val="0A1026E6"/>
    <w:rsid w:val="0A173A74"/>
    <w:rsid w:val="0A5C592B"/>
    <w:rsid w:val="0CF63E15"/>
    <w:rsid w:val="0D411534"/>
    <w:rsid w:val="0DE51D6C"/>
    <w:rsid w:val="0E1C5AFD"/>
    <w:rsid w:val="117B0D8C"/>
    <w:rsid w:val="13645F7C"/>
    <w:rsid w:val="159B7C64"/>
    <w:rsid w:val="17DC0CC4"/>
    <w:rsid w:val="1D682B0D"/>
    <w:rsid w:val="1FC0007F"/>
    <w:rsid w:val="2264488C"/>
    <w:rsid w:val="22E22A19"/>
    <w:rsid w:val="23333275"/>
    <w:rsid w:val="27A209C9"/>
    <w:rsid w:val="2A181417"/>
    <w:rsid w:val="2A3873C3"/>
    <w:rsid w:val="2AAD1B5F"/>
    <w:rsid w:val="2B0F72A1"/>
    <w:rsid w:val="2BAE253E"/>
    <w:rsid w:val="2D0C6BCA"/>
    <w:rsid w:val="2D1E6D44"/>
    <w:rsid w:val="2E18635F"/>
    <w:rsid w:val="2E734E6D"/>
    <w:rsid w:val="2EC92CDF"/>
    <w:rsid w:val="2EDD678B"/>
    <w:rsid w:val="2F6BA531"/>
    <w:rsid w:val="318850D4"/>
    <w:rsid w:val="329B4993"/>
    <w:rsid w:val="359F29EC"/>
    <w:rsid w:val="35E81CB6"/>
    <w:rsid w:val="361B575C"/>
    <w:rsid w:val="394A0EC1"/>
    <w:rsid w:val="39FE97D0"/>
    <w:rsid w:val="3A35F956"/>
    <w:rsid w:val="3AC91B3D"/>
    <w:rsid w:val="3B272A09"/>
    <w:rsid w:val="3BED44B1"/>
    <w:rsid w:val="40A73033"/>
    <w:rsid w:val="41120516"/>
    <w:rsid w:val="41A8332E"/>
    <w:rsid w:val="449F47B6"/>
    <w:rsid w:val="461D5993"/>
    <w:rsid w:val="46582E6F"/>
    <w:rsid w:val="46D06EA9"/>
    <w:rsid w:val="47431429"/>
    <w:rsid w:val="4780267D"/>
    <w:rsid w:val="47A619B8"/>
    <w:rsid w:val="48D52555"/>
    <w:rsid w:val="497955D6"/>
    <w:rsid w:val="4A7CED0F"/>
    <w:rsid w:val="4B8169C4"/>
    <w:rsid w:val="4B9A1834"/>
    <w:rsid w:val="4D057181"/>
    <w:rsid w:val="4D31441A"/>
    <w:rsid w:val="4E487C6D"/>
    <w:rsid w:val="4EEFCB23"/>
    <w:rsid w:val="4FE7630E"/>
    <w:rsid w:val="52285DEB"/>
    <w:rsid w:val="53195734"/>
    <w:rsid w:val="5382777D"/>
    <w:rsid w:val="53C27B7A"/>
    <w:rsid w:val="53F7671D"/>
    <w:rsid w:val="56A874FB"/>
    <w:rsid w:val="57D7D0D5"/>
    <w:rsid w:val="57FFDA58"/>
    <w:rsid w:val="59831B59"/>
    <w:rsid w:val="5ACB3AA1"/>
    <w:rsid w:val="5B062A42"/>
    <w:rsid w:val="5BBB7CD0"/>
    <w:rsid w:val="5CFF2607"/>
    <w:rsid w:val="5D755C5D"/>
    <w:rsid w:val="5E2D1ED2"/>
    <w:rsid w:val="5E5D0BCB"/>
    <w:rsid w:val="5E745F14"/>
    <w:rsid w:val="5FDC63D3"/>
    <w:rsid w:val="62173786"/>
    <w:rsid w:val="62B47227"/>
    <w:rsid w:val="64266B49"/>
    <w:rsid w:val="656D2719"/>
    <w:rsid w:val="6774110A"/>
    <w:rsid w:val="681F3395"/>
    <w:rsid w:val="684E77D6"/>
    <w:rsid w:val="699D27C3"/>
    <w:rsid w:val="6D3E42BD"/>
    <w:rsid w:val="6D7FF99A"/>
    <w:rsid w:val="6DE23D7A"/>
    <w:rsid w:val="6E9D3265"/>
    <w:rsid w:val="6FC5EA46"/>
    <w:rsid w:val="70AB1C6A"/>
    <w:rsid w:val="71630796"/>
    <w:rsid w:val="71C7B1BE"/>
    <w:rsid w:val="73B254A9"/>
    <w:rsid w:val="73BF77DA"/>
    <w:rsid w:val="75F7BC97"/>
    <w:rsid w:val="773B4D10"/>
    <w:rsid w:val="77DE46D3"/>
    <w:rsid w:val="77F739E6"/>
    <w:rsid w:val="783B2065"/>
    <w:rsid w:val="7899684C"/>
    <w:rsid w:val="79FC6258"/>
    <w:rsid w:val="7ABB519F"/>
    <w:rsid w:val="7B454A69"/>
    <w:rsid w:val="7C2C43E3"/>
    <w:rsid w:val="7C3E7E36"/>
    <w:rsid w:val="7C5E2707"/>
    <w:rsid w:val="7CB73744"/>
    <w:rsid w:val="7F5AD77B"/>
    <w:rsid w:val="7F67F259"/>
    <w:rsid w:val="7F9EEC1C"/>
    <w:rsid w:val="7FBD242A"/>
    <w:rsid w:val="7FFB8CCB"/>
    <w:rsid w:val="7FFBDE42"/>
    <w:rsid w:val="AFFD2E6F"/>
    <w:rsid w:val="B0D7684F"/>
    <w:rsid w:val="B5FFD7F4"/>
    <w:rsid w:val="B9EF2A51"/>
    <w:rsid w:val="BA6BA99D"/>
    <w:rsid w:val="BEF8F7F0"/>
    <w:rsid w:val="BFEBBD1F"/>
    <w:rsid w:val="DE778A94"/>
    <w:rsid w:val="DEFF24F1"/>
    <w:rsid w:val="E3FE2CCE"/>
    <w:rsid w:val="E97357A4"/>
    <w:rsid w:val="EFFD10F7"/>
    <w:rsid w:val="F7F7D319"/>
    <w:rsid w:val="FBFFB3F7"/>
    <w:rsid w:val="FDFE5816"/>
    <w:rsid w:val="FFBE8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54"/>
    <w:qFormat/>
    <w:uiPriority w:val="9"/>
    <w:pPr>
      <w:keepNext/>
      <w:keepLines/>
      <w:spacing w:line="576" w:lineRule="auto"/>
      <w:outlineLvl w:val="0"/>
    </w:pPr>
    <w:rPr>
      <w:b/>
      <w:kern w:val="44"/>
      <w:sz w:val="44"/>
    </w:rPr>
  </w:style>
  <w:style w:type="paragraph" w:styleId="3">
    <w:name w:val="heading 2"/>
    <w:basedOn w:val="1"/>
    <w:next w:val="1"/>
    <w:link w:val="34"/>
    <w:qFormat/>
    <w:uiPriority w:val="9"/>
    <w:pPr>
      <w:keepNext/>
      <w:keepLines/>
      <w:spacing w:line="413" w:lineRule="auto"/>
      <w:outlineLvl w:val="1"/>
    </w:pPr>
    <w:rPr>
      <w:rFonts w:ascii="Arial" w:hAnsi="Arial" w:eastAsia="黑体"/>
      <w:b/>
      <w:sz w:val="32"/>
    </w:rPr>
  </w:style>
  <w:style w:type="paragraph" w:styleId="4">
    <w:name w:val="heading 3"/>
    <w:basedOn w:val="1"/>
    <w:next w:val="1"/>
    <w:qFormat/>
    <w:uiPriority w:val="9"/>
    <w:pPr>
      <w:keepNext/>
      <w:keepLines/>
      <w:spacing w:line="413" w:lineRule="auto"/>
      <w:outlineLvl w:val="2"/>
    </w:pPr>
    <w:rPr>
      <w:b/>
      <w:sz w:val="32"/>
    </w:rPr>
  </w:style>
  <w:style w:type="paragraph" w:styleId="5">
    <w:name w:val="heading 4"/>
    <w:basedOn w:val="1"/>
    <w:next w:val="1"/>
    <w:qFormat/>
    <w:uiPriority w:val="9"/>
    <w:pPr>
      <w:keepNext/>
      <w:keepLines/>
      <w:spacing w:line="372" w:lineRule="auto"/>
      <w:outlineLvl w:val="3"/>
    </w:pPr>
    <w:rPr>
      <w:rFonts w:ascii="Arial" w:hAnsi="Arial" w:eastAsia="黑体"/>
      <w:b/>
      <w:sz w:val="28"/>
    </w:rPr>
  </w:style>
  <w:style w:type="paragraph" w:styleId="6">
    <w:name w:val="heading 6"/>
    <w:basedOn w:val="1"/>
    <w:next w:val="1"/>
    <w:link w:val="41"/>
    <w:qFormat/>
    <w:uiPriority w:val="9"/>
    <w:pPr>
      <w:keepNext/>
      <w:keepLines/>
      <w:spacing w:before="240" w:after="64" w:line="320" w:lineRule="auto"/>
      <w:outlineLvl w:val="5"/>
    </w:pPr>
    <w:rPr>
      <w:rFonts w:ascii="Calibri Light" w:hAnsi="Calibri Light" w:eastAsia="宋体" w:cs="宋体"/>
      <w:b/>
      <w:bCs/>
      <w:sz w:val="24"/>
      <w:szCs w:val="24"/>
    </w:rPr>
  </w:style>
  <w:style w:type="character" w:default="1" w:styleId="24">
    <w:name w:val="Default Paragraph Font"/>
    <w:qFormat/>
    <w:uiPriority w:val="1"/>
  </w:style>
  <w:style w:type="table" w:default="1" w:styleId="22">
    <w:name w:val="Normal Table"/>
    <w:qFormat/>
    <w:uiPriority w:val="99"/>
    <w:tblPr>
      <w:tblCellMar>
        <w:top w:w="0" w:type="dxa"/>
        <w:left w:w="108" w:type="dxa"/>
        <w:bottom w:w="0" w:type="dxa"/>
        <w:right w:w="108" w:type="dxa"/>
      </w:tblCellMar>
    </w:tblPr>
  </w:style>
  <w:style w:type="paragraph" w:styleId="7">
    <w:name w:val="toc 7"/>
    <w:basedOn w:val="1"/>
    <w:next w:val="1"/>
    <w:qFormat/>
    <w:uiPriority w:val="39"/>
    <w:pPr>
      <w:ind w:left="1260"/>
      <w:jc w:val="left"/>
    </w:pPr>
    <w:rPr>
      <w:sz w:val="18"/>
      <w:szCs w:val="18"/>
    </w:rPr>
  </w:style>
  <w:style w:type="paragraph" w:styleId="8">
    <w:name w:val="annotation text"/>
    <w:basedOn w:val="1"/>
    <w:link w:val="38"/>
    <w:qFormat/>
    <w:uiPriority w:val="99"/>
    <w:pPr>
      <w:jc w:val="left"/>
    </w:pPr>
  </w:style>
  <w:style w:type="paragraph" w:styleId="9">
    <w:name w:val="toc 5"/>
    <w:basedOn w:val="1"/>
    <w:next w:val="1"/>
    <w:qFormat/>
    <w:uiPriority w:val="39"/>
    <w:pPr>
      <w:ind w:left="840"/>
      <w:jc w:val="left"/>
    </w:pPr>
    <w:rPr>
      <w:sz w:val="18"/>
      <w:szCs w:val="18"/>
    </w:rPr>
  </w:style>
  <w:style w:type="paragraph" w:styleId="10">
    <w:name w:val="toc 3"/>
    <w:basedOn w:val="1"/>
    <w:next w:val="1"/>
    <w:qFormat/>
    <w:uiPriority w:val="39"/>
    <w:pPr>
      <w:ind w:left="420"/>
      <w:jc w:val="left"/>
    </w:pPr>
    <w:rPr>
      <w:i/>
      <w:iCs/>
      <w:sz w:val="20"/>
      <w:szCs w:val="20"/>
    </w:rPr>
  </w:style>
  <w:style w:type="paragraph" w:styleId="11">
    <w:name w:val="toc 8"/>
    <w:basedOn w:val="1"/>
    <w:next w:val="1"/>
    <w:qFormat/>
    <w:uiPriority w:val="39"/>
    <w:pPr>
      <w:ind w:left="1470"/>
      <w:jc w:val="left"/>
    </w:pPr>
    <w:rPr>
      <w:sz w:val="18"/>
      <w:szCs w:val="18"/>
    </w:rPr>
  </w:style>
  <w:style w:type="paragraph" w:styleId="12">
    <w:name w:val="Date"/>
    <w:basedOn w:val="1"/>
    <w:next w:val="1"/>
    <w:link w:val="53"/>
    <w:qFormat/>
    <w:uiPriority w:val="99"/>
    <w:pPr>
      <w:ind w:left="100" w:leftChars="2500"/>
    </w:pPr>
  </w:style>
  <w:style w:type="paragraph" w:styleId="13">
    <w:name w:val="Balloon Text"/>
    <w:basedOn w:val="1"/>
    <w:link w:val="31"/>
    <w:qFormat/>
    <w:uiPriority w:val="99"/>
    <w:rPr>
      <w:sz w:val="18"/>
      <w:szCs w:val="18"/>
    </w:rPr>
  </w:style>
  <w:style w:type="paragraph" w:styleId="14">
    <w:name w:val="footer"/>
    <w:basedOn w:val="1"/>
    <w:link w:val="30"/>
    <w:qFormat/>
    <w:uiPriority w:val="99"/>
    <w:pPr>
      <w:tabs>
        <w:tab w:val="center" w:pos="4153"/>
        <w:tab w:val="right" w:pos="8306"/>
      </w:tabs>
      <w:snapToGrid w:val="0"/>
      <w:jc w:val="left"/>
    </w:pPr>
    <w:rPr>
      <w:sz w:val="18"/>
      <w:szCs w:val="18"/>
    </w:rPr>
  </w:style>
  <w:style w:type="paragraph" w:styleId="15">
    <w:name w:val="header"/>
    <w:basedOn w:val="1"/>
    <w:link w:val="29"/>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20" w:after="120"/>
      <w:jc w:val="left"/>
    </w:pPr>
    <w:rPr>
      <w:b/>
      <w:bCs/>
      <w:caps/>
      <w:sz w:val="20"/>
      <w:szCs w:val="20"/>
    </w:rPr>
  </w:style>
  <w:style w:type="paragraph" w:styleId="17">
    <w:name w:val="toc 4"/>
    <w:basedOn w:val="1"/>
    <w:next w:val="1"/>
    <w:qFormat/>
    <w:uiPriority w:val="39"/>
    <w:pPr>
      <w:ind w:left="630"/>
      <w:jc w:val="left"/>
    </w:pPr>
    <w:rPr>
      <w:sz w:val="18"/>
      <w:szCs w:val="18"/>
    </w:rPr>
  </w:style>
  <w:style w:type="paragraph" w:styleId="18">
    <w:name w:val="toc 6"/>
    <w:basedOn w:val="1"/>
    <w:next w:val="1"/>
    <w:qFormat/>
    <w:uiPriority w:val="39"/>
    <w:pPr>
      <w:ind w:left="1050"/>
      <w:jc w:val="left"/>
    </w:pPr>
    <w:rPr>
      <w:sz w:val="18"/>
      <w:szCs w:val="18"/>
    </w:rPr>
  </w:style>
  <w:style w:type="paragraph" w:styleId="19">
    <w:name w:val="toc 2"/>
    <w:basedOn w:val="1"/>
    <w:next w:val="1"/>
    <w:qFormat/>
    <w:uiPriority w:val="39"/>
    <w:pPr>
      <w:ind w:left="210"/>
      <w:jc w:val="left"/>
    </w:pPr>
    <w:rPr>
      <w:smallCaps/>
      <w:sz w:val="20"/>
      <w:szCs w:val="20"/>
    </w:rPr>
  </w:style>
  <w:style w:type="paragraph" w:styleId="20">
    <w:name w:val="toc 9"/>
    <w:basedOn w:val="1"/>
    <w:next w:val="1"/>
    <w:qFormat/>
    <w:uiPriority w:val="39"/>
    <w:pPr>
      <w:ind w:left="1680"/>
      <w:jc w:val="left"/>
    </w:pPr>
    <w:rPr>
      <w:sz w:val="18"/>
      <w:szCs w:val="18"/>
    </w:rPr>
  </w:style>
  <w:style w:type="paragraph" w:styleId="21">
    <w:name w:val="annotation subject"/>
    <w:basedOn w:val="8"/>
    <w:next w:val="8"/>
    <w:link w:val="39"/>
    <w:qFormat/>
    <w:uiPriority w:val="99"/>
    <w:rPr>
      <w:b/>
      <w:bCs/>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basedOn w:val="24"/>
    <w:qFormat/>
    <w:uiPriority w:val="0"/>
  </w:style>
  <w:style w:type="character" w:styleId="26">
    <w:name w:val="Hyperlink"/>
    <w:basedOn w:val="24"/>
    <w:qFormat/>
    <w:uiPriority w:val="99"/>
    <w:rPr>
      <w:color w:val="0000FF"/>
      <w:u w:val="single"/>
    </w:rPr>
  </w:style>
  <w:style w:type="character" w:styleId="27">
    <w:name w:val="annotation reference"/>
    <w:basedOn w:val="24"/>
    <w:qFormat/>
    <w:uiPriority w:val="99"/>
    <w:rPr>
      <w:sz w:val="21"/>
      <w:szCs w:val="21"/>
    </w:rPr>
  </w:style>
  <w:style w:type="paragraph" w:customStyle="1" w:styleId="28">
    <w:name w:val="列出段落1"/>
    <w:basedOn w:val="1"/>
    <w:qFormat/>
    <w:uiPriority w:val="34"/>
    <w:pPr>
      <w:ind w:firstLine="420" w:firstLineChars="200"/>
    </w:pPr>
  </w:style>
  <w:style w:type="character" w:customStyle="1" w:styleId="29">
    <w:name w:val="页眉 Char"/>
    <w:basedOn w:val="24"/>
    <w:link w:val="15"/>
    <w:qFormat/>
    <w:uiPriority w:val="99"/>
    <w:rPr>
      <w:sz w:val="18"/>
      <w:szCs w:val="18"/>
    </w:rPr>
  </w:style>
  <w:style w:type="character" w:customStyle="1" w:styleId="30">
    <w:name w:val="页脚 Char"/>
    <w:basedOn w:val="24"/>
    <w:link w:val="14"/>
    <w:qFormat/>
    <w:uiPriority w:val="99"/>
    <w:rPr>
      <w:sz w:val="18"/>
      <w:szCs w:val="18"/>
    </w:rPr>
  </w:style>
  <w:style w:type="character" w:customStyle="1" w:styleId="31">
    <w:name w:val="批注框文本 Char"/>
    <w:basedOn w:val="24"/>
    <w:link w:val="13"/>
    <w:qFormat/>
    <w:uiPriority w:val="99"/>
    <w:rPr>
      <w:sz w:val="18"/>
      <w:szCs w:val="18"/>
    </w:rPr>
  </w:style>
  <w:style w:type="paragraph" w:customStyle="1" w:styleId="32">
    <w:name w:val="段"/>
    <w:qFormat/>
    <w:uiPriority w:val="0"/>
    <w:pPr>
      <w:tabs>
        <w:tab w:val="center" w:pos="4201"/>
        <w:tab w:val="right" w:leader="dot" w:pos="9298"/>
      </w:tabs>
      <w:autoSpaceDE w:val="0"/>
      <w:autoSpaceDN w:val="0"/>
      <w:ind w:firstLine="420" w:firstLineChars="200"/>
      <w:jc w:val="both"/>
    </w:pPr>
    <w:rPr>
      <w:rFonts w:ascii="宋体" w:hAnsi="Calibri" w:eastAsia="宋体" w:cs="宋体"/>
      <w:sz w:val="21"/>
      <w:szCs w:val="22"/>
      <w:lang w:val="en-US" w:eastAsia="zh-CN" w:bidi="ar-SA"/>
    </w:rPr>
  </w:style>
  <w:style w:type="paragraph" w:customStyle="1" w:styleId="33">
    <w:name w:val="列项——（一级）"/>
    <w:qFormat/>
    <w:uiPriority w:val="0"/>
    <w:pPr>
      <w:widowControl w:val="0"/>
      <w:spacing w:line="360" w:lineRule="auto"/>
      <w:ind w:left="-25" w:leftChars="-12" w:firstLine="580" w:firstLineChars="207"/>
      <w:jc w:val="both"/>
    </w:pPr>
    <w:rPr>
      <w:rFonts w:ascii="Times New Roman" w:hAnsi="Times New Roman" w:eastAsia="仿宋_GB2312" w:cs="Times New Roman"/>
      <w:sz w:val="28"/>
      <w:szCs w:val="28"/>
      <w:lang w:val="en-US" w:eastAsia="zh-CN" w:bidi="ar-SA"/>
    </w:rPr>
  </w:style>
  <w:style w:type="character" w:customStyle="1" w:styleId="34">
    <w:name w:val="标题 2 Char"/>
    <w:link w:val="3"/>
    <w:qFormat/>
    <w:uiPriority w:val="9"/>
    <w:rPr>
      <w:rFonts w:ascii="Arial" w:hAnsi="Arial" w:eastAsia="黑体"/>
      <w:b/>
      <w:sz w:val="32"/>
    </w:rPr>
  </w:style>
  <w:style w:type="paragraph" w:customStyle="1" w:styleId="35">
    <w:name w:val="前言、引言标题"/>
    <w:next w:val="32"/>
    <w:qFormat/>
    <w:uiPriority w:val="0"/>
    <w:pPr>
      <w:keepNext/>
      <w:pageBreakBefore/>
      <w:shd w:val="clear" w:color="FFFFFF" w:fill="FFFFFF"/>
      <w:spacing w:before="640" w:after="560"/>
      <w:jc w:val="center"/>
      <w:outlineLvl w:val="0"/>
    </w:pPr>
    <w:rPr>
      <w:rFonts w:ascii="黑体" w:hAnsi="Times New Roman" w:eastAsia="黑体" w:cs="Times New Roman"/>
      <w:sz w:val="32"/>
      <w:szCs w:val="22"/>
      <w:lang w:val="en-US" w:eastAsia="zh-CN" w:bidi="ar-SA"/>
    </w:rPr>
  </w:style>
  <w:style w:type="paragraph" w:customStyle="1" w:styleId="36">
    <w:name w:val="文献分类号"/>
    <w:qFormat/>
    <w:uiPriority w:val="0"/>
    <w:pPr>
      <w:widowControl w:val="0"/>
      <w:jc w:val="both"/>
      <w:textAlignment w:val="center"/>
    </w:pPr>
    <w:rPr>
      <w:rFonts w:ascii="Times New Roman" w:hAnsi="Times New Roman" w:eastAsia="黑体" w:cs="Times New Roman"/>
      <w:sz w:val="21"/>
      <w:lang w:val="en-US" w:eastAsia="zh-CN" w:bidi="ar-SA"/>
    </w:rPr>
  </w:style>
  <w:style w:type="paragraph" w:styleId="37">
    <w:name w:val="List Paragraph"/>
    <w:basedOn w:val="1"/>
    <w:qFormat/>
    <w:uiPriority w:val="99"/>
    <w:pPr>
      <w:ind w:firstLine="420" w:firstLineChars="200"/>
    </w:pPr>
  </w:style>
  <w:style w:type="character" w:customStyle="1" w:styleId="38">
    <w:name w:val="批注文字 Char"/>
    <w:basedOn w:val="24"/>
    <w:link w:val="8"/>
    <w:qFormat/>
    <w:uiPriority w:val="99"/>
    <w:rPr>
      <w:rFonts w:ascii="Calibri" w:hAnsi="Calibri" w:eastAsia="宋体" w:cs="宋体"/>
      <w:kern w:val="2"/>
      <w:sz w:val="21"/>
      <w:szCs w:val="22"/>
    </w:rPr>
  </w:style>
  <w:style w:type="character" w:customStyle="1" w:styleId="39">
    <w:name w:val="批注主题 Char"/>
    <w:basedOn w:val="38"/>
    <w:link w:val="21"/>
    <w:qFormat/>
    <w:uiPriority w:val="99"/>
    <w:rPr>
      <w:rFonts w:ascii="Calibri" w:hAnsi="Calibri" w:eastAsia="宋体" w:cs="宋体"/>
      <w:b/>
      <w:bCs/>
      <w:kern w:val="2"/>
      <w:sz w:val="21"/>
      <w:szCs w:val="22"/>
    </w:rPr>
  </w:style>
  <w:style w:type="paragraph" w:customStyle="1" w:styleId="40">
    <w:name w:val="修订1"/>
    <w:qFormat/>
    <w:uiPriority w:val="99"/>
    <w:rPr>
      <w:rFonts w:ascii="Calibri" w:hAnsi="Calibri" w:eastAsia="宋体" w:cs="宋体"/>
      <w:kern w:val="2"/>
      <w:sz w:val="21"/>
      <w:szCs w:val="22"/>
      <w:lang w:val="en-US" w:eastAsia="zh-CN" w:bidi="ar-SA"/>
    </w:rPr>
  </w:style>
  <w:style w:type="character" w:customStyle="1" w:styleId="41">
    <w:name w:val="标题 6 Char"/>
    <w:basedOn w:val="24"/>
    <w:link w:val="6"/>
    <w:qFormat/>
    <w:uiPriority w:val="9"/>
    <w:rPr>
      <w:rFonts w:ascii="Calibri Light" w:hAnsi="Calibri Light" w:eastAsia="宋体" w:cs="宋体"/>
      <w:b/>
      <w:bCs/>
      <w:kern w:val="2"/>
      <w:sz w:val="24"/>
      <w:szCs w:val="24"/>
    </w:rPr>
  </w:style>
  <w:style w:type="paragraph" w:customStyle="1" w:styleId="42">
    <w:name w:val="TOC 标题1"/>
    <w:basedOn w:val="2"/>
    <w:next w:val="1"/>
    <w:qFormat/>
    <w:uiPriority w:val="39"/>
    <w:pPr>
      <w:widowControl/>
      <w:spacing w:before="480" w:line="276" w:lineRule="auto"/>
      <w:jc w:val="left"/>
      <w:outlineLvl w:val="9"/>
    </w:pPr>
    <w:rPr>
      <w:rFonts w:ascii="Calibri Light" w:hAnsi="Calibri Light" w:eastAsia="宋体" w:cs="宋体"/>
      <w:bCs/>
      <w:color w:val="2E75B6"/>
      <w:kern w:val="0"/>
      <w:sz w:val="28"/>
      <w:szCs w:val="28"/>
    </w:rPr>
  </w:style>
  <w:style w:type="character" w:customStyle="1" w:styleId="43">
    <w:name w:val="font31"/>
    <w:basedOn w:val="24"/>
    <w:qFormat/>
    <w:uiPriority w:val="0"/>
    <w:rPr>
      <w:rFonts w:hint="eastAsia" w:ascii="宋体" w:hAnsi="宋体" w:eastAsia="宋体" w:cs="宋体"/>
      <w:b/>
      <w:color w:val="000000"/>
      <w:sz w:val="40"/>
      <w:szCs w:val="40"/>
      <w:u w:val="none"/>
    </w:rPr>
  </w:style>
  <w:style w:type="character" w:customStyle="1" w:styleId="44">
    <w:name w:val="font01"/>
    <w:basedOn w:val="24"/>
    <w:qFormat/>
    <w:uiPriority w:val="0"/>
    <w:rPr>
      <w:rFonts w:hint="eastAsia" w:ascii="宋体" w:hAnsi="宋体" w:eastAsia="宋体" w:cs="宋体"/>
      <w:b/>
      <w:color w:val="000000"/>
      <w:sz w:val="28"/>
      <w:szCs w:val="28"/>
      <w:u w:val="none"/>
    </w:rPr>
  </w:style>
  <w:style w:type="paragraph" w:customStyle="1" w:styleId="45">
    <w:name w:val="TOC Heading_ec4af9c5-c66e-43a6-b353-e6fd8cb259db"/>
    <w:basedOn w:val="2"/>
    <w:next w:val="1"/>
    <w:qFormat/>
    <w:uiPriority w:val="39"/>
    <w:pPr>
      <w:widowControl/>
      <w:spacing w:before="480" w:line="276" w:lineRule="auto"/>
      <w:jc w:val="left"/>
      <w:outlineLvl w:val="9"/>
    </w:pPr>
    <w:rPr>
      <w:rFonts w:ascii="Calibri Light" w:hAnsi="Calibri Light" w:eastAsia="宋体" w:cs="宋体"/>
      <w:bCs/>
      <w:color w:val="2E75B6"/>
      <w:kern w:val="0"/>
      <w:sz w:val="28"/>
      <w:szCs w:val="28"/>
    </w:rPr>
  </w:style>
  <w:style w:type="paragraph" w:customStyle="1" w:styleId="46">
    <w:name w:val="发布日期"/>
    <w:qFormat/>
    <w:uiPriority w:val="0"/>
    <w:pPr>
      <w:framePr w:w="3997" w:h="471" w:vSpace="181" w:wrap="around" w:vAnchor="margin" w:hAnchor="page" w:x="7089" w:y="14097" w:anchorLock="1"/>
    </w:pPr>
    <w:rPr>
      <w:rFonts w:ascii="Times New Roman" w:hAnsi="Times New Roman" w:eastAsia="黑体" w:cs="Times New Roman"/>
      <w:sz w:val="28"/>
      <w:szCs w:val="22"/>
      <w:lang w:val="en-US" w:eastAsia="zh-CN" w:bidi="ar-SA"/>
    </w:rPr>
  </w:style>
  <w:style w:type="paragraph" w:customStyle="1" w:styleId="47">
    <w:name w:val="其他发布部门"/>
    <w:basedOn w:val="1"/>
    <w:qFormat/>
    <w:uiPriority w:val="0"/>
    <w:pPr>
      <w:framePr w:w="7938" w:h="1134" w:hSpace="125" w:vSpace="181" w:wrap="around" w:vAnchor="page" w:hAnchor="page" w:x="2150" w:y="15310" w:anchorLock="1"/>
      <w:widowControl/>
      <w:spacing w:line="0" w:lineRule="atLeast"/>
      <w:jc w:val="center"/>
    </w:pPr>
    <w:rPr>
      <w:rFonts w:ascii="黑体" w:hAnsi="Times New Roman" w:eastAsia="黑体" w:cs="Times New Roman"/>
      <w:spacing w:val="20"/>
      <w:w w:val="135"/>
      <w:kern w:val="0"/>
      <w:sz w:val="28"/>
    </w:rPr>
  </w:style>
  <w:style w:type="paragraph" w:customStyle="1" w:styleId="48">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49">
    <w:name w:val="封面标准号2"/>
    <w:qFormat/>
    <w:uiPriority w:val="0"/>
    <w:pPr>
      <w:framePr w:w="9140" w:h="1242"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character" w:customStyle="1" w:styleId="50">
    <w:name w:val="发布"/>
    <w:qFormat/>
    <w:uiPriority w:val="0"/>
    <w:rPr>
      <w:rFonts w:hint="eastAsia" w:ascii="黑体" w:hAnsi="黑体" w:eastAsia="黑体"/>
      <w:spacing w:val="85"/>
      <w:w w:val="100"/>
      <w:position w:val="3"/>
      <w:sz w:val="28"/>
      <w:szCs w:val="28"/>
    </w:rPr>
  </w:style>
  <w:style w:type="paragraph" w:customStyle="1" w:styleId="51">
    <w:name w:val="实施日期"/>
    <w:basedOn w:val="46"/>
    <w:qFormat/>
    <w:uiPriority w:val="0"/>
    <w:pPr>
      <w:framePr w:wrap="around" w:vAnchor="page" w:hAnchor="text"/>
      <w:jc w:val="right"/>
    </w:pPr>
  </w:style>
  <w:style w:type="paragraph" w:customStyle="1" w:styleId="52">
    <w:name w:val="其他发布日期"/>
    <w:basedOn w:val="46"/>
    <w:qFormat/>
    <w:uiPriority w:val="0"/>
    <w:pPr>
      <w:framePr w:wrap="around" w:vAnchor="page" w:hAnchor="text" w:x="1419"/>
    </w:pPr>
  </w:style>
  <w:style w:type="character" w:customStyle="1" w:styleId="53">
    <w:name w:val="日期 Char"/>
    <w:basedOn w:val="24"/>
    <w:link w:val="12"/>
    <w:qFormat/>
    <w:uiPriority w:val="99"/>
    <w:rPr>
      <w:rFonts w:ascii="Calibri" w:hAnsi="Calibri" w:eastAsia="宋体" w:cs="宋体"/>
      <w:kern w:val="2"/>
      <w:sz w:val="21"/>
      <w:szCs w:val="22"/>
    </w:rPr>
  </w:style>
  <w:style w:type="character" w:customStyle="1" w:styleId="54">
    <w:name w:val="标题 1 Char"/>
    <w:basedOn w:val="24"/>
    <w:link w:val="2"/>
    <w:qFormat/>
    <w:uiPriority w:val="9"/>
    <w:rPr>
      <w:rFonts w:ascii="Calibri" w:hAnsi="Calibri" w:eastAsia="宋体" w:cs="宋体"/>
      <w:b/>
      <w:kern w:val="44"/>
      <w:sz w:val="44"/>
      <w:szCs w:val="22"/>
    </w:rPr>
  </w:style>
  <w:style w:type="paragraph" w:customStyle="1" w:styleId="55">
    <w:name w:val="Revision_d6daafd3-d563-42e0-860f-7c1797074a8d"/>
    <w:qFormat/>
    <w:uiPriority w:val="99"/>
    <w:rPr>
      <w:rFonts w:ascii="Calibri" w:hAnsi="Calibri" w:eastAsia="宋体" w:cs="宋体"/>
      <w:kern w:val="2"/>
      <w:sz w:val="21"/>
      <w:szCs w:val="22"/>
      <w:lang w:val="en-US" w:eastAsia="zh-CN" w:bidi="ar-SA"/>
    </w:rPr>
  </w:style>
  <w:style w:type="paragraph" w:customStyle="1" w:styleId="56">
    <w:name w:val="目次、标准名称标题"/>
    <w:basedOn w:val="1"/>
    <w:next w:val="32"/>
    <w:qFormat/>
    <w:uiPriority w:val="0"/>
    <w:pPr>
      <w:keepNext/>
      <w:pageBreakBefore/>
      <w:widowControl/>
      <w:shd w:val="clear" w:color="FFFFFF" w:fill="FFFFFF"/>
      <w:spacing w:before="640" w:after="560" w:line="460" w:lineRule="exact"/>
      <w:jc w:val="center"/>
      <w:outlineLvl w:val="0"/>
    </w:pPr>
    <w:rPr>
      <w:rFonts w:ascii="黑体" w:hAnsi="Times New Roman" w:eastAsia="黑体" w:cs="Times New Roman"/>
      <w:kern w:val="0"/>
      <w:sz w:val="32"/>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f52070d6-d693-424d-872b-b2ff2a935278</errorID>
      <errorWord xmlns="http://schemas.wps.cn/vas-ai-hub/contract-review">种播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播种</item>
      </candidateList>
      <explain xmlns="http://schemas.wps.cn/vas-ai-hub/contract-review"/>
      <paraID xmlns="http://schemas.wps.cn/vas-ai-hub/contract-review">4661F74F</paraID>
      <start xmlns="http://schemas.wps.cn/vas-ai-hub/contract-review">81</start>
      <end xmlns="http://schemas.wps.cn/vas-ai-hub/contract-review">83</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3b4ff1-b6fe-4995-9577-e020835a8cb8}">
  <ds:schemaRefs/>
</ds:datastoreItem>
</file>

<file path=customXml/itemProps3.xml><?xml version="1.0" encoding="utf-8"?>
<ds:datastoreItem xmlns:ds="http://schemas.openxmlformats.org/officeDocument/2006/customXml" ds:itemID="{D02A3AC6-9D22-4F08-95B8-2E5C464B12A5}">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5028</Words>
  <Characters>5380</Characters>
  <Paragraphs>198</Paragraphs>
  <TotalTime>4</TotalTime>
  <ScaleCrop>false</ScaleCrop>
  <LinksUpToDate>false</LinksUpToDate>
  <CharactersWithSpaces>5567</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2018-09-24T10:57:00Z</dcterms:created>
  <dc:creator>wy</dc:creator>
  <cp:lastModifiedBy>gjlcj</cp:lastModifiedBy>
  <cp:lastPrinted>2018-10-11T12:52:00Z</cp:lastPrinted>
  <dcterms:modified xsi:type="dcterms:W3CDTF">2026-10-27T07:59:09Z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eyJoZGlkIjoiZjgxNzExMDFiNWM5ZDZiN2RkNjc5MTdiZmQ4Njg1ZWYiLCJ1c2VySWQiOiIyMTUwOTk3MDgifQ==</vt:lpwstr>
  </property>
  <property fmtid="{D5CDD505-2E9C-101B-9397-08002B2CF9AE}" pid="4" name="ICV">
    <vt:lpwstr>2811B8B58E904215B2A25A5D12E3AF95_13</vt:lpwstr>
  </property>
</Properties>
</file>