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D45F3">
      <w:pPr>
        <w:pStyle w:val="7"/>
        <w:spacing w:before="156" w:beforeLines="50" w:after="156" w:afterLines="50" w:line="240" w:lineRule="auto"/>
        <w:rPr>
          <w:rFonts w:ascii="华文宋体" w:hAnsi="华文宋体" w:eastAsia="华文宋体"/>
          <w:b/>
          <w:sz w:val="32"/>
          <w:szCs w:val="32"/>
        </w:rPr>
      </w:pPr>
    </w:p>
    <w:p w14:paraId="3E1BEDD2">
      <w:pPr>
        <w:pStyle w:val="7"/>
        <w:spacing w:before="156" w:beforeLines="50" w:after="156" w:afterLines="50" w:line="240" w:lineRule="auto"/>
        <w:rPr>
          <w:rFonts w:ascii="华文宋体" w:hAnsi="华文宋体" w:eastAsia="华文宋体"/>
          <w:b/>
          <w:sz w:val="32"/>
          <w:szCs w:val="32"/>
        </w:rPr>
      </w:pPr>
    </w:p>
    <w:p w14:paraId="03A62D5D">
      <w:pPr>
        <w:pStyle w:val="7"/>
        <w:spacing w:before="156" w:beforeLines="50" w:after="156" w:afterLines="50" w:line="240" w:lineRule="auto"/>
        <w:rPr>
          <w:rFonts w:ascii="华文宋体" w:hAnsi="华文宋体" w:eastAsia="华文宋体" w:cs="Times New Roman"/>
          <w:b/>
          <w:kern w:val="2"/>
          <w:sz w:val="52"/>
          <w:szCs w:val="52"/>
          <w:lang w:val="en-US" w:eastAsia="zh-CN" w:bidi="ar-SA"/>
        </w:rPr>
      </w:pPr>
      <w:r>
        <w:rPr>
          <w:rFonts w:hint="eastAsia" w:ascii="华文宋体" w:hAnsi="华文宋体" w:eastAsia="华文宋体" w:cs="Times New Roman"/>
          <w:b/>
          <w:kern w:val="2"/>
          <w:sz w:val="52"/>
          <w:szCs w:val="52"/>
          <w:lang w:val="en-US" w:eastAsia="zh-CN" w:bidi="ar-SA"/>
        </w:rPr>
        <w:t>《林下经济发展技术指南》</w:t>
      </w:r>
    </w:p>
    <w:p w14:paraId="76361199">
      <w:pPr>
        <w:pStyle w:val="7"/>
        <w:spacing w:before="156" w:beforeLines="50" w:after="156" w:afterLines="50" w:line="240" w:lineRule="auto"/>
        <w:rPr>
          <w:rFonts w:hint="eastAsia" w:ascii="华文宋体" w:hAnsi="华文宋体" w:eastAsia="华文宋体"/>
          <w:sz w:val="32"/>
          <w:szCs w:val="32"/>
        </w:rPr>
      </w:pPr>
    </w:p>
    <w:p w14:paraId="38BEDFC9">
      <w:pPr>
        <w:jc w:val="center"/>
        <w:rPr>
          <w:rFonts w:ascii="华文宋体" w:hAnsi="华文宋体" w:eastAsia="华文宋体"/>
          <w:b/>
          <w:sz w:val="52"/>
          <w:szCs w:val="52"/>
        </w:rPr>
      </w:pPr>
      <w:r>
        <w:rPr>
          <w:rFonts w:ascii="华文宋体" w:hAnsi="华文宋体" w:eastAsia="华文宋体"/>
          <w:b/>
          <w:sz w:val="52"/>
          <w:szCs w:val="52"/>
        </w:rPr>
        <w:t>编 制 说 明</w:t>
      </w:r>
    </w:p>
    <w:p w14:paraId="6822BDA5">
      <w:pPr>
        <w:jc w:val="center"/>
        <w:rPr>
          <w:rFonts w:eastAsia="华文中宋"/>
          <w:b/>
          <w:sz w:val="36"/>
          <w:szCs w:val="36"/>
        </w:rPr>
      </w:pPr>
    </w:p>
    <w:p w14:paraId="015A6721">
      <w:pPr>
        <w:jc w:val="center"/>
        <w:rPr>
          <w:rFonts w:eastAsia="华文中宋"/>
          <w:b/>
          <w:sz w:val="36"/>
          <w:szCs w:val="36"/>
        </w:rPr>
      </w:pPr>
    </w:p>
    <w:p w14:paraId="407A44BC">
      <w:pPr>
        <w:jc w:val="center"/>
        <w:rPr>
          <w:rFonts w:eastAsia="华文中宋"/>
          <w:b/>
          <w:sz w:val="36"/>
          <w:szCs w:val="36"/>
        </w:rPr>
      </w:pPr>
    </w:p>
    <w:p w14:paraId="0EA0977B">
      <w:pPr>
        <w:jc w:val="center"/>
        <w:rPr>
          <w:rFonts w:eastAsia="华文中宋"/>
          <w:b/>
          <w:sz w:val="36"/>
          <w:szCs w:val="36"/>
        </w:rPr>
      </w:pPr>
    </w:p>
    <w:p w14:paraId="07C3FF3C">
      <w:pPr>
        <w:jc w:val="center"/>
        <w:rPr>
          <w:rFonts w:eastAsia="华文中宋"/>
          <w:b/>
          <w:sz w:val="36"/>
          <w:szCs w:val="36"/>
        </w:rPr>
      </w:pPr>
    </w:p>
    <w:p w14:paraId="260D7A5B">
      <w:pPr>
        <w:jc w:val="center"/>
        <w:rPr>
          <w:rFonts w:eastAsia="华文中宋"/>
          <w:b/>
          <w:sz w:val="36"/>
          <w:szCs w:val="36"/>
        </w:rPr>
      </w:pPr>
    </w:p>
    <w:p w14:paraId="13FF6D50">
      <w:pPr>
        <w:jc w:val="center"/>
        <w:rPr>
          <w:rFonts w:eastAsia="华文中宋"/>
          <w:b/>
          <w:sz w:val="36"/>
          <w:szCs w:val="36"/>
        </w:rPr>
      </w:pPr>
    </w:p>
    <w:p w14:paraId="1146C939">
      <w:pPr>
        <w:jc w:val="center"/>
        <w:rPr>
          <w:rFonts w:hint="eastAsia" w:eastAsia="华文中宋"/>
          <w:b/>
          <w:sz w:val="36"/>
          <w:szCs w:val="36"/>
        </w:rPr>
      </w:pPr>
    </w:p>
    <w:p w14:paraId="17ED7ED0">
      <w:pPr>
        <w:jc w:val="center"/>
        <w:rPr>
          <w:rFonts w:eastAsia="华文中宋"/>
          <w:b/>
          <w:sz w:val="36"/>
          <w:szCs w:val="36"/>
        </w:rPr>
      </w:pPr>
    </w:p>
    <w:p w14:paraId="4F2B1F90">
      <w:pPr>
        <w:jc w:val="center"/>
        <w:rPr>
          <w:rFonts w:eastAsia="华文中宋"/>
          <w:b/>
          <w:sz w:val="36"/>
          <w:szCs w:val="36"/>
        </w:rPr>
      </w:pPr>
    </w:p>
    <w:p w14:paraId="4CC4EE99">
      <w:pPr>
        <w:jc w:val="center"/>
        <w:rPr>
          <w:rFonts w:ascii="等线" w:hAnsi="等线" w:eastAsia="等线"/>
          <w:sz w:val="30"/>
          <w:szCs w:val="30"/>
        </w:rPr>
      </w:pPr>
      <w:r>
        <w:rPr>
          <w:rFonts w:hint="eastAsia" w:ascii="等线" w:hAnsi="等线" w:eastAsia="等线"/>
          <w:sz w:val="30"/>
          <w:szCs w:val="30"/>
        </w:rPr>
        <w:t>20</w:t>
      </w:r>
      <w:r>
        <w:rPr>
          <w:rFonts w:ascii="等线" w:hAnsi="等线" w:eastAsia="等线"/>
          <w:sz w:val="30"/>
          <w:szCs w:val="30"/>
        </w:rPr>
        <w:t>2</w:t>
      </w:r>
      <w:r>
        <w:rPr>
          <w:rFonts w:hint="eastAsia" w:ascii="等线" w:hAnsi="等线" w:eastAsia="等线"/>
          <w:sz w:val="30"/>
          <w:szCs w:val="30"/>
          <w:lang w:val="en-US" w:eastAsia="zh-CN"/>
        </w:rPr>
        <w:t>6</w:t>
      </w:r>
      <w:r>
        <w:rPr>
          <w:rFonts w:hint="eastAsia" w:ascii="等线" w:hAnsi="等线" w:eastAsia="等线"/>
          <w:sz w:val="30"/>
          <w:szCs w:val="30"/>
        </w:rPr>
        <w:t>年</w:t>
      </w:r>
      <w:r>
        <w:rPr>
          <w:rFonts w:hint="eastAsia" w:ascii="等线" w:hAnsi="等线" w:eastAsia="等线"/>
          <w:sz w:val="30"/>
          <w:szCs w:val="30"/>
          <w:lang w:val="en-US" w:eastAsia="zh-CN"/>
        </w:rPr>
        <w:t>8</w:t>
      </w:r>
      <w:r>
        <w:rPr>
          <w:rFonts w:hint="eastAsia" w:ascii="等线" w:hAnsi="等线" w:eastAsia="等线"/>
          <w:sz w:val="30"/>
          <w:szCs w:val="30"/>
        </w:rPr>
        <w:t>月</w:t>
      </w:r>
    </w:p>
    <w:p w14:paraId="15447328">
      <w:pPr>
        <w:jc w:val="center"/>
        <w:rPr>
          <w:rFonts w:hint="eastAsia" w:ascii="等线" w:hAnsi="等线" w:eastAsia="等线"/>
          <w:sz w:val="30"/>
          <w:szCs w:val="30"/>
        </w:rPr>
      </w:pPr>
    </w:p>
    <w:p w14:paraId="374DA81F">
      <w:pPr>
        <w:jc w:val="center"/>
        <w:rPr>
          <w:rFonts w:ascii="等线" w:hAnsi="等线" w:eastAsia="等线"/>
          <w:sz w:val="30"/>
          <w:szCs w:val="30"/>
        </w:rPr>
      </w:pPr>
      <w:r>
        <w:rPr>
          <w:rFonts w:hint="eastAsia" w:ascii="等线" w:hAnsi="等线" w:eastAsia="等线"/>
          <w:sz w:val="30"/>
          <w:szCs w:val="30"/>
        </w:rPr>
        <w:t>技术指南编制项目组</w:t>
      </w:r>
    </w:p>
    <w:p w14:paraId="3DDC7028">
      <w:pPr>
        <w:jc w:val="center"/>
        <w:rPr>
          <w:rFonts w:hint="eastAsia" w:eastAsia="华文中宋"/>
          <w:b/>
          <w:sz w:val="36"/>
          <w:szCs w:val="36"/>
        </w:rPr>
      </w:pPr>
    </w:p>
    <w:p w14:paraId="0D027D7D">
      <w:pPr>
        <w:ind w:firstLine="562" w:firstLineChars="200"/>
        <w:rPr>
          <w:rFonts w:hint="eastAsia" w:hAnsi="宋体"/>
          <w:sz w:val="28"/>
        </w:rPr>
      </w:pPr>
      <w:bookmarkStart w:id="0" w:name="_Hlk530398284"/>
      <w:r>
        <w:rPr>
          <w:rFonts w:hint="eastAsia" w:hAnsi="宋体"/>
          <w:b/>
          <w:bCs/>
          <w:sz w:val="28"/>
        </w:rPr>
        <w:t>一、工作简况</w:t>
      </w:r>
    </w:p>
    <w:p w14:paraId="004D767C">
      <w:pPr>
        <w:ind w:firstLine="562" w:firstLineChars="200"/>
        <w:rPr>
          <w:rFonts w:hint="eastAsia" w:hAnsi="宋体"/>
          <w:sz w:val="28"/>
        </w:rPr>
      </w:pPr>
      <w:r>
        <w:rPr>
          <w:rFonts w:hint="eastAsia" w:hAnsi="宋体"/>
          <w:b/>
          <w:bCs/>
          <w:sz w:val="28"/>
        </w:rPr>
        <w:t>（一）任务来源</w:t>
      </w:r>
    </w:p>
    <w:p w14:paraId="492553B4">
      <w:pPr>
        <w:ind w:firstLine="560" w:firstLineChars="200"/>
        <w:rPr>
          <w:rFonts w:hint="eastAsia" w:hAnsi="宋体"/>
          <w:sz w:val="28"/>
        </w:rPr>
      </w:pPr>
      <w:r>
        <w:rPr>
          <w:rFonts w:hint="eastAsia" w:hAnsi="宋体"/>
          <w:sz w:val="28"/>
        </w:rPr>
        <w:t>《林下经济发展技术指南》</w:t>
      </w:r>
      <w:r>
        <w:rPr>
          <w:rFonts w:hint="eastAsia" w:hAnsi="宋体"/>
          <w:sz w:val="28"/>
          <w:lang w:eastAsia="zh-CN"/>
        </w:rPr>
        <w:t>（</w:t>
      </w:r>
      <w:r>
        <w:rPr>
          <w:rFonts w:hint="eastAsia" w:hAnsi="宋体"/>
          <w:sz w:val="28"/>
          <w:lang w:val="en-US" w:eastAsia="zh-CN"/>
        </w:rPr>
        <w:t>以下简称《指南》）</w:t>
      </w:r>
      <w:r>
        <w:rPr>
          <w:rFonts w:hint="eastAsia" w:hAnsi="宋体"/>
          <w:sz w:val="28"/>
        </w:rPr>
        <w:t>的制定任务来源于国家林业和草原局发展改革司2020年下达的林业行业技术指南制修订计划。该项目</w:t>
      </w:r>
      <w:r>
        <w:rPr>
          <w:rFonts w:hint="eastAsia" w:hAnsi="宋体"/>
          <w:sz w:val="28"/>
          <w:lang w:val="en-US" w:eastAsia="zh-CN"/>
        </w:rPr>
        <w:t>旨</w:t>
      </w:r>
      <w:r>
        <w:rPr>
          <w:rFonts w:hint="eastAsia" w:hAnsi="宋体"/>
          <w:sz w:val="28"/>
        </w:rPr>
        <w:t>在贯彻落实国家关于发展林下经济、深化集体林权制度改革、践行大食物观和促进乡村全面振兴等有关部署，在符合《中华人民共和国森林法》等法律法规和森林资源保护管理要求的前提下，针对林下种植、林下养殖、林下采集、森林景观利用等主要经营活动，提出林下经济发展的基本原则、总体要求和技术要求，为林下经济规范化、标准化和可持续发展提供技术依据。</w:t>
      </w:r>
    </w:p>
    <w:p w14:paraId="301527A1">
      <w:pPr>
        <w:ind w:firstLine="560" w:firstLineChars="200"/>
        <w:rPr>
          <w:rFonts w:hint="eastAsia" w:hAnsi="宋体"/>
          <w:sz w:val="28"/>
        </w:rPr>
      </w:pPr>
      <w:r>
        <w:rPr>
          <w:rFonts w:hint="eastAsia" w:hAnsi="宋体"/>
          <w:sz w:val="28"/>
          <w:lang w:val="en-US" w:eastAsia="zh-CN"/>
        </w:rPr>
        <w:t>接到项目任务之后，《指南》编制组迅速组织开展工作，于2021年11月完成了编制任务，并通过了评审。《指南》</w:t>
      </w:r>
      <w:r>
        <w:rPr>
          <w:rFonts w:hint="eastAsia" w:hAnsi="宋体"/>
          <w:sz w:val="28"/>
        </w:rPr>
        <w:t>原计划以林业行业标准形式发布。因全国林下经济标准化技术委员会正在筹建，相关行业标准发布工作相应延后。根据主管部门意见，为加快标准成果转化和推广应用，拟先以中国林学会团体标准形式发布实施，待相关条件成熟后进一步推动行业标准转化。</w:t>
      </w:r>
    </w:p>
    <w:p w14:paraId="7EDDFE03">
      <w:pPr>
        <w:ind w:firstLine="562" w:firstLineChars="200"/>
        <w:rPr>
          <w:rFonts w:hint="eastAsia" w:hAnsi="宋体"/>
          <w:sz w:val="28"/>
        </w:rPr>
      </w:pPr>
      <w:r>
        <w:rPr>
          <w:rFonts w:hint="eastAsia" w:hAnsi="宋体"/>
          <w:b/>
          <w:bCs/>
          <w:sz w:val="28"/>
        </w:rPr>
        <w:t>（二）制定背景</w:t>
      </w:r>
    </w:p>
    <w:p w14:paraId="1462A9C9">
      <w:pPr>
        <w:ind w:firstLine="560" w:firstLineChars="200"/>
        <w:rPr>
          <w:rFonts w:hint="eastAsia" w:hAnsi="宋体"/>
          <w:sz w:val="28"/>
          <w:lang w:val="en-US" w:eastAsia="zh-CN"/>
        </w:rPr>
      </w:pPr>
      <w:r>
        <w:rPr>
          <w:rFonts w:hint="eastAsia" w:hAnsi="宋体"/>
          <w:sz w:val="28"/>
          <w:lang w:val="en-US" w:eastAsia="zh-CN"/>
        </w:rPr>
        <w:t>《指南》编制组由中国林科院、中国林学会等单位牵头组织。编制组是我国“林下经济”领域国内领先的创新团队。该团队在我国林下经济科学研究、产业示范、政策咨询、学科建设、人才培养等方面，积淀了丰厚的工作基础。</w:t>
      </w:r>
    </w:p>
    <w:p w14:paraId="1636B9EF">
      <w:pPr>
        <w:ind w:firstLine="560" w:firstLineChars="200"/>
        <w:rPr>
          <w:rFonts w:hint="eastAsia" w:hAnsi="宋体"/>
          <w:sz w:val="28"/>
        </w:rPr>
      </w:pPr>
      <w:r>
        <w:rPr>
          <w:rFonts w:hint="eastAsia" w:hAnsi="宋体"/>
          <w:sz w:val="28"/>
          <w:lang w:val="en-US" w:eastAsia="zh-CN"/>
        </w:rPr>
        <w:t>习近平总书记对发展林下经济高度重视，多次作出重要指示批示。</w:t>
      </w:r>
      <w:r>
        <w:rPr>
          <w:rFonts w:hint="eastAsia" w:hAnsi="宋体"/>
          <w:sz w:val="28"/>
        </w:rPr>
        <w:t>近年来，党中央、国务院和国家林草主管部门持续加强林下经济发展的政策支持。2024年9月，国务院办公厅印发《关于践行大食物观构建多元化食物供给体系的意见》，提出积极发展森林食品，发展林下种养，开发新型食品资源，拓宽食物来源。2024年、2025年中央一号文件对发展林下经济、拓宽农民增收渠道等作出部署。2025年《政府工作报告》提出发展林下经济。2025年有关“十五五”规划建议进一步提出发展林下经济、壮大林草产业。国家林草主管部门也持续完善林下经济发展的政策措施。</w:t>
      </w:r>
    </w:p>
    <w:p w14:paraId="7261EC65">
      <w:pPr>
        <w:ind w:firstLine="560" w:firstLineChars="200"/>
        <w:rPr>
          <w:rFonts w:hint="default" w:hAnsi="宋体"/>
          <w:sz w:val="28"/>
          <w:lang w:val="en-US"/>
        </w:rPr>
      </w:pPr>
      <w:r>
        <w:rPr>
          <w:rFonts w:hint="eastAsia" w:hAnsi="宋体"/>
          <w:sz w:val="28"/>
          <w:lang w:val="en-US" w:eastAsia="zh-CN"/>
        </w:rPr>
        <w:t>2025年12月，国家林草局颁发了《关于促进林下经济发展的若干措施》，深入贯彻习近平总书记关于用活林草资源、壮大林草产业的重要指示精神，落实党的二十届四中全会决策部署，‌统筹推进高质量发展与高水平保护‌，提出了加快发展林下经济，挖掘培育森林“四库”功能的重要要求。针对</w:t>
      </w:r>
      <w:r>
        <w:rPr>
          <w:rFonts w:hint="eastAsia" w:hAnsi="宋体"/>
          <w:sz w:val="28"/>
        </w:rPr>
        <w:t>林下经济发展规模持续扩大，产业类型和经营模式不断丰富，但不同地区在林地利用、模式选择、生产经营、资源保护和生态环境管理等方面仍缺少统一、系统的技术指导。制定综合性林下经济发展技术指南，对于规范产业发展、协调生态保护与资源利用、提升林地综合效益具有重要</w:t>
      </w:r>
      <w:r>
        <w:rPr>
          <w:rFonts w:hint="eastAsia" w:hAnsi="宋体"/>
          <w:sz w:val="28"/>
          <w:lang w:val="en-US" w:eastAsia="zh-CN"/>
        </w:rPr>
        <w:t>的现实性、紧迫性、针对性。</w:t>
      </w:r>
    </w:p>
    <w:p w14:paraId="2AF011C8">
      <w:pPr>
        <w:ind w:firstLine="562" w:firstLineChars="200"/>
        <w:rPr>
          <w:rFonts w:hint="eastAsia" w:hAnsi="宋体"/>
          <w:sz w:val="28"/>
        </w:rPr>
      </w:pPr>
      <w:r>
        <w:rPr>
          <w:rFonts w:hint="eastAsia" w:hAnsi="宋体"/>
          <w:b/>
          <w:bCs/>
          <w:sz w:val="28"/>
        </w:rPr>
        <w:t>（三）协作单位</w:t>
      </w:r>
    </w:p>
    <w:p w14:paraId="70F2CA9B">
      <w:pPr>
        <w:ind w:firstLine="560" w:firstLineChars="200"/>
        <w:rPr>
          <w:rFonts w:hint="eastAsia" w:hAnsi="宋体"/>
          <w:sz w:val="28"/>
        </w:rPr>
      </w:pPr>
      <w:r>
        <w:rPr>
          <w:rFonts w:hint="eastAsia" w:hAnsi="宋体"/>
          <w:sz w:val="28"/>
        </w:rPr>
        <w:t>本标准主要起草单位包括：中国林业科学研究院、中国林学会、东北林业大学、西南林业大学、浙江农林大学、国家林业和草原局管理干部学院、广西壮族自治区林业科学研究院、北京中医药大学、</w:t>
      </w:r>
      <w:r>
        <w:rPr>
          <w:rFonts w:hint="eastAsia" w:hAnsi="宋体"/>
          <w:sz w:val="28"/>
          <w:lang w:val="en-US" w:eastAsia="zh-CN"/>
        </w:rPr>
        <w:t>皖西学院、</w:t>
      </w:r>
      <w:r>
        <w:rPr>
          <w:rFonts w:hint="eastAsia" w:hAnsi="宋体"/>
          <w:sz w:val="28"/>
        </w:rPr>
        <w:t>中林联规划设计院等。</w:t>
      </w:r>
    </w:p>
    <w:p w14:paraId="68310FF4">
      <w:pPr>
        <w:ind w:firstLine="562" w:firstLineChars="200"/>
        <w:rPr>
          <w:rFonts w:hint="eastAsia" w:hAnsi="宋体"/>
          <w:sz w:val="28"/>
        </w:rPr>
      </w:pPr>
      <w:r>
        <w:rPr>
          <w:rFonts w:hint="eastAsia" w:hAnsi="宋体"/>
          <w:b/>
          <w:bCs/>
          <w:sz w:val="28"/>
        </w:rPr>
        <w:t>（四）主要工作过程</w:t>
      </w:r>
    </w:p>
    <w:p w14:paraId="2DDF242D">
      <w:pPr>
        <w:ind w:firstLine="560" w:firstLineChars="200"/>
        <w:rPr>
          <w:rFonts w:hint="eastAsia" w:hAnsi="宋体"/>
          <w:sz w:val="28"/>
        </w:rPr>
      </w:pPr>
      <w:r>
        <w:rPr>
          <w:rFonts w:hint="eastAsia" w:hAnsi="宋体"/>
          <w:sz w:val="28"/>
        </w:rPr>
        <w:t>1. 起草阶段（202</w:t>
      </w:r>
      <w:r>
        <w:rPr>
          <w:rFonts w:hint="eastAsia" w:hAnsi="宋体"/>
          <w:sz w:val="28"/>
          <w:lang w:val="en-US" w:eastAsia="zh-CN"/>
        </w:rPr>
        <w:t>0</w:t>
      </w:r>
      <w:r>
        <w:rPr>
          <w:rFonts w:hint="eastAsia" w:hAnsi="宋体"/>
          <w:sz w:val="28"/>
        </w:rPr>
        <w:t>年—</w:t>
      </w:r>
      <w:r>
        <w:rPr>
          <w:rFonts w:hint="eastAsia" w:hAnsi="宋体"/>
          <w:sz w:val="28"/>
          <w:lang w:val="en-US" w:eastAsia="zh-CN"/>
        </w:rPr>
        <w:t>2025年12月</w:t>
      </w:r>
      <w:r>
        <w:rPr>
          <w:rFonts w:hint="eastAsia" w:hAnsi="宋体"/>
          <w:sz w:val="28"/>
        </w:rPr>
        <w:t>）</w:t>
      </w:r>
    </w:p>
    <w:p w14:paraId="726251EB">
      <w:pPr>
        <w:ind w:firstLine="560" w:firstLineChars="200"/>
        <w:rPr>
          <w:rFonts w:hint="eastAsia" w:hAnsi="宋体"/>
          <w:sz w:val="28"/>
        </w:rPr>
      </w:pPr>
      <w:r>
        <w:rPr>
          <w:rFonts w:hint="eastAsia" w:hAnsi="宋体"/>
          <w:sz w:val="28"/>
        </w:rPr>
        <w:t>项目组系统搜集国内外林下经济发展的理论研究、技术标准、政策文件和典型实践案例，对我国林下经济主要发展模式、资源利用方式和技术需求进行梳理分析，重点开展以下工作：搜集国内外林下经济、农林复合经营、非木质林产品利用等相关理论与技术资料；搜集林下种植、林下养殖、林下采集和森林景观利用等典型实践案例</w:t>
      </w:r>
      <w:r>
        <w:rPr>
          <w:rFonts w:hint="eastAsia" w:hAnsi="宋体"/>
          <w:sz w:val="28"/>
          <w:lang w:eastAsia="zh-CN"/>
        </w:rPr>
        <w:t>；</w:t>
      </w:r>
      <w:r>
        <w:rPr>
          <w:rFonts w:hint="eastAsia" w:hAnsi="宋体"/>
          <w:sz w:val="28"/>
        </w:rPr>
        <w:t>系统梳理林下经济相关产业政策、行业标准及种植、养殖、野生资源采集等技术规范；分析我国林下经济发展现状、主要问题和产业发展趋势，提出标准总体框架和主要技术内容。在上述工作基础上形成</w:t>
      </w:r>
      <w:r>
        <w:rPr>
          <w:rFonts w:hint="eastAsia" w:hAnsi="宋体"/>
          <w:sz w:val="28"/>
          <w:lang w:val="en-US" w:eastAsia="zh-CN"/>
        </w:rPr>
        <w:t>了</w:t>
      </w:r>
      <w:r>
        <w:rPr>
          <w:rFonts w:hint="eastAsia" w:hAnsi="宋体"/>
          <w:sz w:val="28"/>
        </w:rPr>
        <w:t>《林下经济发展技术指南》草案。</w:t>
      </w:r>
    </w:p>
    <w:p w14:paraId="34A74AE9">
      <w:pPr>
        <w:ind w:firstLine="560" w:firstLineChars="200"/>
        <w:rPr>
          <w:rFonts w:hint="eastAsia" w:hAnsi="宋体"/>
          <w:sz w:val="28"/>
        </w:rPr>
      </w:pPr>
      <w:r>
        <w:rPr>
          <w:rFonts w:hint="eastAsia" w:hAnsi="宋体"/>
          <w:sz w:val="28"/>
        </w:rPr>
        <w:t>2. 专家咨询阶段（202</w:t>
      </w:r>
      <w:r>
        <w:rPr>
          <w:rFonts w:hint="eastAsia" w:hAnsi="宋体"/>
          <w:sz w:val="28"/>
          <w:lang w:val="en-US" w:eastAsia="zh-CN"/>
        </w:rPr>
        <w:t>6</w:t>
      </w:r>
      <w:r>
        <w:rPr>
          <w:rFonts w:hint="eastAsia" w:hAnsi="宋体"/>
          <w:sz w:val="28"/>
        </w:rPr>
        <w:t>年</w:t>
      </w:r>
      <w:r>
        <w:rPr>
          <w:rFonts w:hint="eastAsia" w:hAnsi="宋体"/>
          <w:sz w:val="28"/>
          <w:lang w:val="en-US" w:eastAsia="zh-CN"/>
        </w:rPr>
        <w:t>1月—6月</w:t>
      </w:r>
      <w:r>
        <w:rPr>
          <w:rFonts w:hint="eastAsia" w:hAnsi="宋体"/>
          <w:sz w:val="28"/>
        </w:rPr>
        <w:t>）</w:t>
      </w:r>
    </w:p>
    <w:p w14:paraId="174BA933">
      <w:pPr>
        <w:ind w:firstLine="560" w:firstLineChars="200"/>
        <w:rPr>
          <w:rFonts w:hint="eastAsia" w:hAnsi="宋体"/>
          <w:sz w:val="28"/>
        </w:rPr>
      </w:pPr>
      <w:r>
        <w:rPr>
          <w:rFonts w:hint="eastAsia" w:hAnsi="宋体"/>
          <w:sz w:val="28"/>
        </w:rPr>
        <w:t>项目组围绕标准框架、适用范围、技术内容及生态保护要求开展内部研讨，并向中国林业科学研究院、中国林学会、北京林业大学等单位有关专家进行咨询。根据专家意见对草案进行了4轮集中讨论、修改和完善，形成征求意见稿。通过公开征求意见和定向专家咨询相结合的方式，向国家林业和草原局科技发展中心、国家林业和草原局调查规划设计院、中国林业科学研究院、中国林业产业联合会、中国科协农技中心、中国科学院地理科学与资源研究所、北京林业大学、南京林业大学、东北林业大学以及有关省级林业科研院所等单位的20名专家和主管人员征求意见。共收到修改意见52条，经研究采纳38条，并据此修改形成送审稿。</w:t>
      </w:r>
    </w:p>
    <w:p w14:paraId="4018FF88">
      <w:pPr>
        <w:ind w:firstLine="560" w:firstLineChars="200"/>
        <w:rPr>
          <w:rFonts w:hint="eastAsia" w:hAnsi="宋体"/>
          <w:sz w:val="28"/>
        </w:rPr>
      </w:pPr>
      <w:r>
        <w:rPr>
          <w:rFonts w:hint="eastAsia" w:hAnsi="宋体"/>
          <w:sz w:val="28"/>
          <w:lang w:val="en-US" w:eastAsia="zh-CN"/>
        </w:rPr>
        <w:t>3</w:t>
      </w:r>
      <w:r>
        <w:rPr>
          <w:rFonts w:hint="eastAsia" w:hAnsi="宋体"/>
          <w:sz w:val="28"/>
        </w:rPr>
        <w:t>. 修改完善阶段（2026年</w:t>
      </w:r>
      <w:r>
        <w:rPr>
          <w:rFonts w:hint="eastAsia" w:hAnsi="宋体"/>
          <w:sz w:val="28"/>
          <w:lang w:val="en-US" w:eastAsia="zh-CN"/>
        </w:rPr>
        <w:t>6月—7</w:t>
      </w:r>
      <w:r>
        <w:rPr>
          <w:rFonts w:hint="eastAsia" w:hAnsi="宋体"/>
          <w:sz w:val="28"/>
        </w:rPr>
        <w:t>月）</w:t>
      </w:r>
    </w:p>
    <w:p w14:paraId="4A03CF52">
      <w:pPr>
        <w:ind w:firstLine="560" w:firstLineChars="200"/>
        <w:rPr>
          <w:rFonts w:hint="eastAsia" w:hAnsi="宋体"/>
          <w:sz w:val="28"/>
        </w:rPr>
      </w:pPr>
      <w:r>
        <w:rPr>
          <w:rFonts w:hint="eastAsia" w:hAnsi="宋体"/>
          <w:sz w:val="28"/>
        </w:rPr>
        <w:t>根据近年来国家林下经济政策调整、产业发展变化和有关标准制修订情况，项目组对原送审稿进行了系统更新。通过专家咨询，向国家林业和草原局科技发展中心、中国人民大学、中国林业科学研究院、中国科学院地理科学与资源研究所、北京林业大学、湖南省和贵州省有关林业科研院所，以及林下经济经营主体等10名专家和管理人员征求意见。共收到修改意见27条，经研究采纳23条。项目组根据意见进一步修改完善标准内容，形成送审稿。</w:t>
      </w:r>
    </w:p>
    <w:p w14:paraId="0099FEB6">
      <w:pPr>
        <w:ind w:firstLine="574" w:firstLineChars="205"/>
        <w:rPr>
          <w:rFonts w:hint="eastAsia"/>
          <w:sz w:val="28"/>
          <w:lang w:val="en-US" w:eastAsia="zh-CN"/>
        </w:rPr>
      </w:pPr>
      <w:r>
        <w:rPr>
          <w:rFonts w:hint="eastAsia"/>
          <w:sz w:val="28"/>
          <w:lang w:val="en-US" w:eastAsia="zh-CN"/>
        </w:rPr>
        <w:t>4、专家评审阶段（2026年8月7日）</w:t>
      </w:r>
    </w:p>
    <w:p w14:paraId="52CF4867">
      <w:pPr>
        <w:ind w:firstLine="560" w:firstLineChars="200"/>
        <w:rPr>
          <w:rFonts w:hint="eastAsia" w:hAnsi="宋体" w:eastAsia="宋体"/>
          <w:color w:val="auto"/>
          <w:sz w:val="28"/>
          <w:highlight w:val="none"/>
          <w:lang w:val="en-US" w:eastAsia="zh-CN"/>
        </w:rPr>
      </w:pPr>
      <w:r>
        <w:rPr>
          <w:rFonts w:hint="eastAsia"/>
          <w:sz w:val="28"/>
          <w:lang w:val="en-US" w:eastAsia="zh-CN"/>
        </w:rPr>
        <w:t>中国林学会组织来自南京林业大学、北京林业大学、北京市农林科学院、河北农业大学、国家林业和草原局产业发展规划院、江西省林业科学院、黑龙江省林业科学院林业研究所等单位7位专家，采用线上会议方式对团体标准《林下经济发展技术指南》进行审定。</w:t>
      </w:r>
      <w:r>
        <w:rPr>
          <w:rFonts w:hint="eastAsia"/>
          <w:color w:val="auto"/>
          <w:sz w:val="28"/>
          <w:highlight w:val="none"/>
        </w:rPr>
        <w:t>共收到修改意见</w:t>
      </w:r>
      <w:r>
        <w:rPr>
          <w:rFonts w:hint="eastAsia"/>
          <w:color w:val="auto"/>
          <w:sz w:val="28"/>
          <w:highlight w:val="none"/>
          <w:lang w:val="en-US" w:eastAsia="zh-CN"/>
        </w:rPr>
        <w:t>50</w:t>
      </w:r>
      <w:r>
        <w:rPr>
          <w:rFonts w:hint="eastAsia"/>
          <w:color w:val="auto"/>
          <w:sz w:val="28"/>
          <w:highlight w:val="none"/>
        </w:rPr>
        <w:t>条</w:t>
      </w:r>
      <w:r>
        <w:rPr>
          <w:rFonts w:hint="eastAsia"/>
          <w:color w:val="auto"/>
          <w:sz w:val="28"/>
          <w:highlight w:val="none"/>
          <w:lang w:eastAsia="zh-CN"/>
        </w:rPr>
        <w:t>，</w:t>
      </w:r>
      <w:r>
        <w:rPr>
          <w:rFonts w:hint="eastAsia"/>
          <w:color w:val="auto"/>
          <w:sz w:val="28"/>
          <w:highlight w:val="none"/>
        </w:rPr>
        <w:t>经过讨论后采纳意见</w:t>
      </w:r>
      <w:r>
        <w:rPr>
          <w:rFonts w:hint="eastAsia"/>
          <w:color w:val="auto"/>
          <w:sz w:val="28"/>
          <w:highlight w:val="none"/>
          <w:lang w:val="en-US" w:eastAsia="zh-CN"/>
        </w:rPr>
        <w:t>47</w:t>
      </w:r>
      <w:r>
        <w:rPr>
          <w:rFonts w:hint="eastAsia"/>
          <w:color w:val="auto"/>
          <w:sz w:val="28"/>
          <w:highlight w:val="none"/>
        </w:rPr>
        <w:t>条，并根据意见进行修改形成了</w:t>
      </w:r>
      <w:r>
        <w:rPr>
          <w:rFonts w:hint="eastAsia"/>
          <w:color w:val="auto"/>
          <w:sz w:val="28"/>
          <w:highlight w:val="none"/>
          <w:lang w:eastAsia="zh-CN"/>
        </w:rPr>
        <w:t>报批</w:t>
      </w:r>
      <w:r>
        <w:rPr>
          <w:rFonts w:hint="eastAsia"/>
          <w:color w:val="auto"/>
          <w:sz w:val="28"/>
          <w:highlight w:val="none"/>
        </w:rPr>
        <w:t>稿。</w:t>
      </w:r>
    </w:p>
    <w:p w14:paraId="06934AC4">
      <w:pPr>
        <w:ind w:firstLine="562" w:firstLineChars="200"/>
        <w:rPr>
          <w:rFonts w:hint="eastAsia" w:hAnsi="宋体"/>
          <w:sz w:val="28"/>
        </w:rPr>
      </w:pPr>
      <w:r>
        <w:rPr>
          <w:rFonts w:hint="eastAsia" w:hAnsi="宋体"/>
          <w:b/>
          <w:bCs/>
          <w:sz w:val="28"/>
        </w:rPr>
        <w:t>（五）主要起草人员及工作分工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2810"/>
        <w:gridCol w:w="2509"/>
        <w:gridCol w:w="2636"/>
      </w:tblGrid>
      <w:tr w14:paraId="57E0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066BBDCC">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eastAsia="宋体"/>
                <w:b/>
                <w:bCs/>
                <w:sz w:val="28"/>
                <w:vertAlign w:val="baseline"/>
                <w:lang w:val="en-US" w:eastAsia="zh-CN"/>
              </w:rPr>
            </w:pPr>
            <w:r>
              <w:rPr>
                <w:rFonts w:hint="eastAsia" w:hAnsi="宋体"/>
                <w:b/>
                <w:bCs/>
                <w:sz w:val="28"/>
                <w:vertAlign w:val="baseline"/>
                <w:lang w:val="en-US" w:eastAsia="zh-CN"/>
              </w:rPr>
              <w:t>姓名</w:t>
            </w:r>
          </w:p>
        </w:tc>
        <w:tc>
          <w:tcPr>
            <w:tcW w:w="2810" w:type="dxa"/>
            <w:vAlign w:val="center"/>
          </w:tcPr>
          <w:p w14:paraId="32DC4F91">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eastAsia="宋体"/>
                <w:b/>
                <w:bCs/>
                <w:sz w:val="28"/>
                <w:vertAlign w:val="baseline"/>
                <w:lang w:val="en-US" w:eastAsia="zh-CN"/>
              </w:rPr>
            </w:pPr>
            <w:r>
              <w:rPr>
                <w:rFonts w:hint="eastAsia" w:hAnsi="宋体"/>
                <w:b/>
                <w:bCs/>
                <w:sz w:val="28"/>
                <w:vertAlign w:val="baseline"/>
                <w:lang w:val="en-US" w:eastAsia="zh-CN"/>
              </w:rPr>
              <w:t>单位</w:t>
            </w:r>
          </w:p>
        </w:tc>
        <w:tc>
          <w:tcPr>
            <w:tcW w:w="2509" w:type="dxa"/>
            <w:vAlign w:val="center"/>
          </w:tcPr>
          <w:p w14:paraId="7C38C920">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b/>
                <w:bCs/>
                <w:sz w:val="28"/>
                <w:vertAlign w:val="baseline"/>
                <w:lang w:val="en-US" w:eastAsia="zh-CN"/>
              </w:rPr>
            </w:pPr>
            <w:r>
              <w:rPr>
                <w:rFonts w:hint="eastAsia" w:hAnsi="宋体"/>
                <w:b/>
                <w:bCs/>
                <w:sz w:val="28"/>
                <w:vertAlign w:val="baseline"/>
                <w:lang w:val="en-US" w:eastAsia="zh-CN"/>
              </w:rPr>
              <w:t>职称</w:t>
            </w:r>
          </w:p>
        </w:tc>
        <w:tc>
          <w:tcPr>
            <w:tcW w:w="2636" w:type="dxa"/>
            <w:vAlign w:val="center"/>
          </w:tcPr>
          <w:p w14:paraId="64716E69">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b/>
                <w:bCs/>
                <w:sz w:val="28"/>
                <w:vertAlign w:val="baseline"/>
              </w:rPr>
            </w:pPr>
            <w:r>
              <w:rPr>
                <w:rFonts w:hint="eastAsia" w:hAnsi="宋体"/>
                <w:b/>
                <w:bCs/>
                <w:sz w:val="28"/>
                <w:vertAlign w:val="baseline"/>
              </w:rPr>
              <w:t>主要标准编制内容</w:t>
            </w:r>
          </w:p>
        </w:tc>
      </w:tr>
      <w:tr w14:paraId="052F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0D2702A3">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陈幸良</w:t>
            </w:r>
          </w:p>
        </w:tc>
        <w:tc>
          <w:tcPr>
            <w:tcW w:w="2810" w:type="dxa"/>
            <w:vAlign w:val="center"/>
          </w:tcPr>
          <w:p w14:paraId="1B41EF5A">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中国林科院</w:t>
            </w:r>
          </w:p>
        </w:tc>
        <w:tc>
          <w:tcPr>
            <w:tcW w:w="2509" w:type="dxa"/>
            <w:vAlign w:val="center"/>
          </w:tcPr>
          <w:p w14:paraId="6E5076BF">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研究员</w:t>
            </w:r>
          </w:p>
        </w:tc>
        <w:tc>
          <w:tcPr>
            <w:tcW w:w="2636" w:type="dxa"/>
            <w:vAlign w:val="center"/>
          </w:tcPr>
          <w:p w14:paraId="377859F3">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lang w:val="en-US" w:eastAsia="zh-CN"/>
              </w:rPr>
              <w:t>标准统筹</w:t>
            </w:r>
            <w:r>
              <w:rPr>
                <w:rFonts w:hint="eastAsia" w:hAnsi="宋体"/>
                <w:sz w:val="28"/>
              </w:rPr>
              <w:t>设计</w:t>
            </w:r>
          </w:p>
        </w:tc>
      </w:tr>
      <w:tr w14:paraId="029D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6DE64E9D">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rPr>
              <w:t>何霞红</w:t>
            </w:r>
          </w:p>
        </w:tc>
        <w:tc>
          <w:tcPr>
            <w:tcW w:w="2810" w:type="dxa"/>
            <w:vAlign w:val="center"/>
          </w:tcPr>
          <w:p w14:paraId="6ECB66AD">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西南林业大学</w:t>
            </w:r>
          </w:p>
        </w:tc>
        <w:tc>
          <w:tcPr>
            <w:tcW w:w="2509" w:type="dxa"/>
            <w:vAlign w:val="center"/>
          </w:tcPr>
          <w:p w14:paraId="3237CB52">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eastAsia="宋体"/>
                <w:sz w:val="28"/>
                <w:vertAlign w:val="baseline"/>
                <w:lang w:val="en-US" w:eastAsia="zh-CN"/>
              </w:rPr>
            </w:pPr>
            <w:r>
              <w:rPr>
                <w:rFonts w:hint="eastAsia" w:hAnsi="宋体"/>
                <w:sz w:val="28"/>
                <w:vertAlign w:val="baseline"/>
                <w:lang w:val="en-US" w:eastAsia="zh-CN"/>
              </w:rPr>
              <w:t>教授</w:t>
            </w:r>
            <w:bookmarkStart w:id="1" w:name="_GoBack"/>
            <w:bookmarkEnd w:id="1"/>
          </w:p>
        </w:tc>
        <w:tc>
          <w:tcPr>
            <w:tcW w:w="2636" w:type="dxa"/>
            <w:vAlign w:val="center"/>
          </w:tcPr>
          <w:p w14:paraId="2B70F7AC">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52FC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5715DCC4">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rPr>
              <w:t>杨开太</w:t>
            </w:r>
          </w:p>
        </w:tc>
        <w:tc>
          <w:tcPr>
            <w:tcW w:w="2810" w:type="dxa"/>
            <w:vAlign w:val="center"/>
          </w:tcPr>
          <w:p w14:paraId="29E23C03">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广西壮族自治区林业科学研究院</w:t>
            </w:r>
          </w:p>
        </w:tc>
        <w:tc>
          <w:tcPr>
            <w:tcW w:w="2509" w:type="dxa"/>
            <w:vAlign w:val="center"/>
          </w:tcPr>
          <w:p w14:paraId="3DF35D5A">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正高级工程师</w:t>
            </w:r>
          </w:p>
        </w:tc>
        <w:tc>
          <w:tcPr>
            <w:tcW w:w="2636" w:type="dxa"/>
            <w:vAlign w:val="center"/>
          </w:tcPr>
          <w:p w14:paraId="0AEBB3E0">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1E0AA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539FA466">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rPr>
              <w:t>陈春霞</w:t>
            </w:r>
          </w:p>
        </w:tc>
        <w:tc>
          <w:tcPr>
            <w:tcW w:w="2810" w:type="dxa"/>
            <w:vAlign w:val="center"/>
          </w:tcPr>
          <w:p w14:paraId="75C74EEF">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eastAsia="宋体"/>
                <w:sz w:val="28"/>
                <w:vertAlign w:val="baseline"/>
                <w:lang w:val="en-US" w:eastAsia="zh-CN"/>
              </w:rPr>
            </w:pPr>
            <w:r>
              <w:rPr>
                <w:rFonts w:hint="eastAsia" w:hAnsi="宋体"/>
                <w:sz w:val="28"/>
                <w:vertAlign w:val="baseline"/>
                <w:lang w:val="en-US" w:eastAsia="zh-CN"/>
              </w:rPr>
              <w:t>东北林业大学</w:t>
            </w:r>
          </w:p>
        </w:tc>
        <w:tc>
          <w:tcPr>
            <w:tcW w:w="2509" w:type="dxa"/>
            <w:vAlign w:val="center"/>
          </w:tcPr>
          <w:p w14:paraId="3A025FFE">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eastAsia="宋体"/>
                <w:sz w:val="28"/>
                <w:vertAlign w:val="baseline"/>
                <w:lang w:val="en-US" w:eastAsia="zh-CN"/>
              </w:rPr>
            </w:pPr>
            <w:r>
              <w:rPr>
                <w:rFonts w:hint="eastAsia" w:hAnsi="宋体"/>
                <w:sz w:val="28"/>
                <w:vertAlign w:val="baseline"/>
                <w:lang w:val="en-US" w:eastAsia="zh-CN"/>
              </w:rPr>
              <w:t>教授</w:t>
            </w:r>
          </w:p>
        </w:tc>
        <w:tc>
          <w:tcPr>
            <w:tcW w:w="2636" w:type="dxa"/>
            <w:vAlign w:val="center"/>
          </w:tcPr>
          <w:p w14:paraId="4996EF6E">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56A6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78988BD6">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rPr>
              <w:t>曾祥谓</w:t>
            </w:r>
          </w:p>
        </w:tc>
        <w:tc>
          <w:tcPr>
            <w:tcW w:w="2810" w:type="dxa"/>
            <w:vAlign w:val="center"/>
          </w:tcPr>
          <w:p w14:paraId="2E4939D3">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eastAsia="宋体"/>
                <w:sz w:val="28"/>
                <w:vertAlign w:val="baseline"/>
                <w:lang w:val="en-US" w:eastAsia="zh-CN"/>
              </w:rPr>
            </w:pPr>
            <w:r>
              <w:rPr>
                <w:rFonts w:hint="eastAsia" w:hAnsi="宋体"/>
                <w:sz w:val="28"/>
                <w:vertAlign w:val="baseline"/>
                <w:lang w:val="en-US" w:eastAsia="zh-CN"/>
              </w:rPr>
              <w:t>中国林学会</w:t>
            </w:r>
          </w:p>
        </w:tc>
        <w:tc>
          <w:tcPr>
            <w:tcW w:w="2509" w:type="dxa"/>
            <w:vAlign w:val="center"/>
          </w:tcPr>
          <w:p w14:paraId="6C9194CF">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教授级高工</w:t>
            </w:r>
          </w:p>
        </w:tc>
        <w:tc>
          <w:tcPr>
            <w:tcW w:w="2636" w:type="dxa"/>
            <w:vAlign w:val="center"/>
          </w:tcPr>
          <w:p w14:paraId="4B582415">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5C1F2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78C0C606">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rPr>
              <w:t>王妍</w:t>
            </w:r>
          </w:p>
        </w:tc>
        <w:tc>
          <w:tcPr>
            <w:tcW w:w="2810" w:type="dxa"/>
            <w:vAlign w:val="center"/>
          </w:tcPr>
          <w:p w14:paraId="49751212">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中国林学会</w:t>
            </w:r>
          </w:p>
        </w:tc>
        <w:tc>
          <w:tcPr>
            <w:tcW w:w="2509" w:type="dxa"/>
            <w:vAlign w:val="center"/>
          </w:tcPr>
          <w:p w14:paraId="370EAEA2">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教授级高工</w:t>
            </w:r>
          </w:p>
        </w:tc>
        <w:tc>
          <w:tcPr>
            <w:tcW w:w="2636" w:type="dxa"/>
            <w:vAlign w:val="center"/>
          </w:tcPr>
          <w:p w14:paraId="3EA32FDD">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4D27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612C740C">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rPr>
              <w:t>刘京晶</w:t>
            </w:r>
          </w:p>
        </w:tc>
        <w:tc>
          <w:tcPr>
            <w:tcW w:w="2810" w:type="dxa"/>
            <w:vAlign w:val="center"/>
          </w:tcPr>
          <w:p w14:paraId="79841DF6">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浙江农林大学</w:t>
            </w:r>
          </w:p>
        </w:tc>
        <w:tc>
          <w:tcPr>
            <w:tcW w:w="2509" w:type="dxa"/>
            <w:vAlign w:val="center"/>
          </w:tcPr>
          <w:p w14:paraId="727F5CFB">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eastAsia="宋体"/>
                <w:sz w:val="28"/>
                <w:vertAlign w:val="baseline"/>
                <w:lang w:val="en-US" w:eastAsia="zh-CN"/>
              </w:rPr>
            </w:pPr>
            <w:r>
              <w:rPr>
                <w:rFonts w:hint="eastAsia" w:hAnsi="宋体"/>
                <w:sz w:val="28"/>
                <w:vertAlign w:val="baseline"/>
                <w:lang w:val="en-US" w:eastAsia="zh-CN"/>
              </w:rPr>
              <w:t>教授</w:t>
            </w:r>
          </w:p>
        </w:tc>
        <w:tc>
          <w:tcPr>
            <w:tcW w:w="2636" w:type="dxa"/>
            <w:vAlign w:val="center"/>
          </w:tcPr>
          <w:p w14:paraId="54E1AEDE">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1273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6252FAD3">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rPr>
            </w:pPr>
            <w:r>
              <w:rPr>
                <w:rFonts w:hint="eastAsia" w:hAnsi="宋体"/>
                <w:sz w:val="28"/>
              </w:rPr>
              <w:t>王彦辉</w:t>
            </w:r>
          </w:p>
        </w:tc>
        <w:tc>
          <w:tcPr>
            <w:tcW w:w="2810" w:type="dxa"/>
            <w:vAlign w:val="center"/>
          </w:tcPr>
          <w:p w14:paraId="582CF7EE">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中国林业科学研究院森林生态环境与自然保护研究所</w:t>
            </w:r>
          </w:p>
        </w:tc>
        <w:tc>
          <w:tcPr>
            <w:tcW w:w="2509" w:type="dxa"/>
            <w:vAlign w:val="center"/>
          </w:tcPr>
          <w:p w14:paraId="239FA87D">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研究员</w:t>
            </w:r>
          </w:p>
        </w:tc>
        <w:tc>
          <w:tcPr>
            <w:tcW w:w="2636" w:type="dxa"/>
            <w:vAlign w:val="center"/>
          </w:tcPr>
          <w:p w14:paraId="36472DFE">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720F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0A603A37">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rPr>
            </w:pPr>
            <w:r>
              <w:rPr>
                <w:rFonts w:hint="eastAsia" w:hAnsi="宋体"/>
                <w:sz w:val="28"/>
              </w:rPr>
              <w:t>施蕊</w:t>
            </w:r>
          </w:p>
        </w:tc>
        <w:tc>
          <w:tcPr>
            <w:tcW w:w="2810" w:type="dxa"/>
            <w:vAlign w:val="center"/>
          </w:tcPr>
          <w:p w14:paraId="43AB3E30">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西南林业大学</w:t>
            </w:r>
          </w:p>
        </w:tc>
        <w:tc>
          <w:tcPr>
            <w:tcW w:w="2509" w:type="dxa"/>
            <w:vAlign w:val="center"/>
          </w:tcPr>
          <w:p w14:paraId="510B3780">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eastAsia="宋体"/>
                <w:sz w:val="28"/>
                <w:vertAlign w:val="baseline"/>
                <w:lang w:val="en-US" w:eastAsia="zh-CN"/>
              </w:rPr>
            </w:pPr>
            <w:r>
              <w:rPr>
                <w:rFonts w:hint="eastAsia" w:hAnsi="宋体"/>
                <w:sz w:val="28"/>
                <w:vertAlign w:val="baseline"/>
                <w:lang w:val="en-US" w:eastAsia="zh-CN"/>
              </w:rPr>
              <w:t>教授</w:t>
            </w:r>
          </w:p>
        </w:tc>
        <w:tc>
          <w:tcPr>
            <w:tcW w:w="2636" w:type="dxa"/>
            <w:vAlign w:val="center"/>
          </w:tcPr>
          <w:p w14:paraId="7736E44E">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37C1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7FFDE971">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rPr>
            </w:pPr>
            <w:r>
              <w:rPr>
                <w:rFonts w:hint="eastAsia" w:hAnsi="宋体"/>
                <w:sz w:val="28"/>
              </w:rPr>
              <w:t>王枫</w:t>
            </w:r>
          </w:p>
        </w:tc>
        <w:tc>
          <w:tcPr>
            <w:tcW w:w="2810" w:type="dxa"/>
            <w:vAlign w:val="center"/>
          </w:tcPr>
          <w:p w14:paraId="4F2F969F">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国家林业和草原局生态建设工程管理中心</w:t>
            </w:r>
          </w:p>
        </w:tc>
        <w:tc>
          <w:tcPr>
            <w:tcW w:w="2509" w:type="dxa"/>
            <w:vAlign w:val="center"/>
          </w:tcPr>
          <w:p w14:paraId="4CC22527">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正高级工程师</w:t>
            </w:r>
          </w:p>
        </w:tc>
        <w:tc>
          <w:tcPr>
            <w:tcW w:w="2636" w:type="dxa"/>
            <w:vAlign w:val="center"/>
          </w:tcPr>
          <w:p w14:paraId="36CD9CCB">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标准修改完善</w:t>
            </w:r>
          </w:p>
        </w:tc>
      </w:tr>
      <w:tr w14:paraId="12665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20226423">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rPr>
            </w:pPr>
            <w:r>
              <w:rPr>
                <w:rFonts w:hint="eastAsia" w:hAnsi="宋体"/>
                <w:sz w:val="28"/>
              </w:rPr>
              <w:t>刁松峰</w:t>
            </w:r>
          </w:p>
        </w:tc>
        <w:tc>
          <w:tcPr>
            <w:tcW w:w="2810" w:type="dxa"/>
            <w:vAlign w:val="center"/>
          </w:tcPr>
          <w:p w14:paraId="5192CC60">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中国林业科学研究院经济林研究所</w:t>
            </w:r>
          </w:p>
        </w:tc>
        <w:tc>
          <w:tcPr>
            <w:tcW w:w="2509" w:type="dxa"/>
            <w:vAlign w:val="center"/>
          </w:tcPr>
          <w:p w14:paraId="183717BB">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eastAsia="宋体"/>
                <w:sz w:val="28"/>
                <w:vertAlign w:val="baseline"/>
                <w:lang w:val="en-US" w:eastAsia="zh-CN"/>
              </w:rPr>
            </w:pPr>
            <w:r>
              <w:rPr>
                <w:rFonts w:hint="eastAsia" w:hAnsi="宋体"/>
                <w:sz w:val="28"/>
                <w:vertAlign w:val="baseline"/>
                <w:lang w:val="en-US" w:eastAsia="zh-CN"/>
              </w:rPr>
              <w:t>研究员</w:t>
            </w:r>
          </w:p>
        </w:tc>
        <w:tc>
          <w:tcPr>
            <w:tcW w:w="2636" w:type="dxa"/>
            <w:vAlign w:val="center"/>
          </w:tcPr>
          <w:p w14:paraId="01E55061">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标准修改完善</w:t>
            </w:r>
          </w:p>
        </w:tc>
      </w:tr>
      <w:tr w14:paraId="4B81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78D93724">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lang w:val="en-US" w:eastAsia="zh-CN"/>
              </w:rPr>
            </w:pPr>
            <w:r>
              <w:rPr>
                <w:rFonts w:hint="eastAsia" w:hAnsi="宋体"/>
                <w:sz w:val="28"/>
                <w:lang w:val="en-US" w:eastAsia="zh-CN"/>
              </w:rPr>
              <w:t>陈乃东</w:t>
            </w:r>
          </w:p>
        </w:tc>
        <w:tc>
          <w:tcPr>
            <w:tcW w:w="2810" w:type="dxa"/>
            <w:vAlign w:val="center"/>
          </w:tcPr>
          <w:p w14:paraId="404CEDC0">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sz w:val="28"/>
                <w:vertAlign w:val="baseline"/>
                <w:lang w:val="en-US" w:eastAsia="zh-CN"/>
              </w:rPr>
            </w:pPr>
            <w:r>
              <w:rPr>
                <w:rFonts w:hint="eastAsia" w:hAnsi="宋体"/>
                <w:sz w:val="28"/>
                <w:vertAlign w:val="baseline"/>
                <w:lang w:val="en-US" w:eastAsia="zh-CN"/>
              </w:rPr>
              <w:t>皖西学院</w:t>
            </w:r>
          </w:p>
        </w:tc>
        <w:tc>
          <w:tcPr>
            <w:tcW w:w="2509" w:type="dxa"/>
            <w:vAlign w:val="center"/>
          </w:tcPr>
          <w:p w14:paraId="25C18563">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sz w:val="28"/>
                <w:vertAlign w:val="baseline"/>
                <w:lang w:val="en-US" w:eastAsia="zh-CN"/>
              </w:rPr>
            </w:pPr>
            <w:r>
              <w:rPr>
                <w:rFonts w:hint="eastAsia" w:hAnsi="宋体"/>
                <w:sz w:val="28"/>
                <w:vertAlign w:val="baseline"/>
                <w:lang w:val="en-US" w:eastAsia="zh-CN"/>
              </w:rPr>
              <w:t>教授</w:t>
            </w:r>
          </w:p>
        </w:tc>
        <w:tc>
          <w:tcPr>
            <w:tcW w:w="2636" w:type="dxa"/>
            <w:vAlign w:val="center"/>
          </w:tcPr>
          <w:p w14:paraId="3BC8486E">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lang w:val="en-US" w:eastAsia="zh-CN"/>
              </w:rPr>
            </w:pPr>
            <w:r>
              <w:rPr>
                <w:rFonts w:hint="eastAsia" w:hAnsi="宋体"/>
                <w:sz w:val="28"/>
                <w:vertAlign w:val="baseline"/>
                <w:lang w:val="en-US" w:eastAsia="zh-CN"/>
              </w:rPr>
              <w:t>标准修改完善</w:t>
            </w:r>
          </w:p>
        </w:tc>
      </w:tr>
      <w:tr w14:paraId="26C2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3C232598">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rPr>
            </w:pPr>
            <w:r>
              <w:rPr>
                <w:rFonts w:hint="eastAsia" w:hAnsi="宋体"/>
                <w:sz w:val="28"/>
              </w:rPr>
              <w:t>李峰卿</w:t>
            </w:r>
          </w:p>
        </w:tc>
        <w:tc>
          <w:tcPr>
            <w:tcW w:w="2810" w:type="dxa"/>
            <w:vAlign w:val="center"/>
          </w:tcPr>
          <w:p w14:paraId="4CAF760F">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中国林业科学研究院亚热带实验中心</w:t>
            </w:r>
          </w:p>
        </w:tc>
        <w:tc>
          <w:tcPr>
            <w:tcW w:w="2509" w:type="dxa"/>
            <w:vAlign w:val="center"/>
          </w:tcPr>
          <w:p w14:paraId="2C8F75A7">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eastAsia="宋体"/>
                <w:sz w:val="28"/>
                <w:vertAlign w:val="baseline"/>
                <w:lang w:val="en-US" w:eastAsia="zh-CN"/>
              </w:rPr>
            </w:pPr>
            <w:r>
              <w:rPr>
                <w:rFonts w:hint="eastAsia" w:hAnsi="宋体"/>
                <w:sz w:val="28"/>
                <w:vertAlign w:val="baseline"/>
                <w:lang w:val="en-US" w:eastAsia="zh-CN"/>
              </w:rPr>
              <w:t>高级工程师</w:t>
            </w:r>
          </w:p>
        </w:tc>
        <w:tc>
          <w:tcPr>
            <w:tcW w:w="2636" w:type="dxa"/>
            <w:vAlign w:val="center"/>
          </w:tcPr>
          <w:p w14:paraId="5114DDB5">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标准修改完善</w:t>
            </w:r>
          </w:p>
        </w:tc>
      </w:tr>
      <w:tr w14:paraId="751D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0148043D">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rPr>
            </w:pPr>
            <w:r>
              <w:rPr>
                <w:rFonts w:hint="eastAsia" w:hAnsi="宋体"/>
                <w:sz w:val="28"/>
              </w:rPr>
              <w:t>孙志蓉</w:t>
            </w:r>
          </w:p>
        </w:tc>
        <w:tc>
          <w:tcPr>
            <w:tcW w:w="2810" w:type="dxa"/>
            <w:vAlign w:val="center"/>
          </w:tcPr>
          <w:p w14:paraId="13B596D5">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北京中医药大学</w:t>
            </w:r>
          </w:p>
        </w:tc>
        <w:tc>
          <w:tcPr>
            <w:tcW w:w="2509" w:type="dxa"/>
            <w:vAlign w:val="center"/>
          </w:tcPr>
          <w:p w14:paraId="58921CAF">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eastAsia="宋体"/>
                <w:sz w:val="28"/>
                <w:vertAlign w:val="baseline"/>
                <w:lang w:val="en-US" w:eastAsia="zh-CN"/>
              </w:rPr>
            </w:pPr>
            <w:r>
              <w:rPr>
                <w:rFonts w:hint="eastAsia" w:hAnsi="宋体"/>
                <w:sz w:val="28"/>
                <w:vertAlign w:val="baseline"/>
                <w:lang w:val="en-US" w:eastAsia="zh-CN"/>
              </w:rPr>
              <w:t>教授</w:t>
            </w:r>
          </w:p>
        </w:tc>
        <w:tc>
          <w:tcPr>
            <w:tcW w:w="2636" w:type="dxa"/>
            <w:vAlign w:val="center"/>
          </w:tcPr>
          <w:p w14:paraId="4B449CEF">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标准修改完善</w:t>
            </w:r>
          </w:p>
        </w:tc>
      </w:tr>
      <w:tr w14:paraId="25ED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16F5D588">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rPr>
            </w:pPr>
            <w:r>
              <w:rPr>
                <w:rFonts w:hint="eastAsia" w:hAnsi="宋体"/>
                <w:sz w:val="28"/>
              </w:rPr>
              <w:t>窦亚权</w:t>
            </w:r>
          </w:p>
        </w:tc>
        <w:tc>
          <w:tcPr>
            <w:tcW w:w="2810" w:type="dxa"/>
            <w:vAlign w:val="center"/>
          </w:tcPr>
          <w:p w14:paraId="361E1224">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中国林业科学研究院林业科技信息研究所</w:t>
            </w:r>
          </w:p>
        </w:tc>
        <w:tc>
          <w:tcPr>
            <w:tcW w:w="2509" w:type="dxa"/>
            <w:vAlign w:val="center"/>
          </w:tcPr>
          <w:p w14:paraId="398902BB">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助理研究员</w:t>
            </w:r>
          </w:p>
        </w:tc>
        <w:tc>
          <w:tcPr>
            <w:tcW w:w="2636" w:type="dxa"/>
            <w:vAlign w:val="center"/>
          </w:tcPr>
          <w:p w14:paraId="60DA2554">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标准修改完善</w:t>
            </w:r>
          </w:p>
        </w:tc>
      </w:tr>
      <w:tr w14:paraId="31AEC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420A56BD">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rPr>
            </w:pPr>
            <w:r>
              <w:rPr>
                <w:rFonts w:hint="eastAsia" w:hAnsi="宋体"/>
                <w:sz w:val="28"/>
              </w:rPr>
              <w:t>边明明</w:t>
            </w:r>
          </w:p>
        </w:tc>
        <w:tc>
          <w:tcPr>
            <w:tcW w:w="2810" w:type="dxa"/>
            <w:vAlign w:val="center"/>
          </w:tcPr>
          <w:p w14:paraId="2C260196">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国家林业和草原局管理干部学院</w:t>
            </w:r>
          </w:p>
        </w:tc>
        <w:tc>
          <w:tcPr>
            <w:tcW w:w="2509" w:type="dxa"/>
            <w:vAlign w:val="center"/>
          </w:tcPr>
          <w:p w14:paraId="0D54ACA7">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高级工程师</w:t>
            </w:r>
          </w:p>
        </w:tc>
        <w:tc>
          <w:tcPr>
            <w:tcW w:w="2636" w:type="dxa"/>
            <w:vAlign w:val="center"/>
          </w:tcPr>
          <w:p w14:paraId="79D4AE65">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标准修改完善</w:t>
            </w:r>
          </w:p>
        </w:tc>
      </w:tr>
      <w:tr w14:paraId="1DD2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vAlign w:val="center"/>
          </w:tcPr>
          <w:p w14:paraId="0B05CD44">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rPr>
            </w:pPr>
            <w:r>
              <w:rPr>
                <w:rFonts w:hint="eastAsia" w:hAnsi="宋体"/>
                <w:sz w:val="28"/>
              </w:rPr>
              <w:t>芮飞燕</w:t>
            </w:r>
          </w:p>
        </w:tc>
        <w:tc>
          <w:tcPr>
            <w:tcW w:w="2810" w:type="dxa"/>
            <w:vAlign w:val="center"/>
          </w:tcPr>
          <w:p w14:paraId="717E98A3">
            <w:pPr>
              <w:keepNext w:val="0"/>
              <w:keepLines w:val="0"/>
              <w:pageBreakBefore w:val="0"/>
              <w:widowControl w:val="0"/>
              <w:kinsoku/>
              <w:wordWrap/>
              <w:overflowPunct/>
              <w:topLinePunct w:val="0"/>
              <w:autoSpaceDE/>
              <w:autoSpaceDN/>
              <w:bidi w:val="0"/>
              <w:adjustRightInd w:val="0"/>
              <w:snapToGrid w:val="0"/>
              <w:jc w:val="both"/>
              <w:textAlignment w:val="auto"/>
              <w:rPr>
                <w:rFonts w:hint="default" w:hAnsi="宋体" w:eastAsia="宋体"/>
                <w:sz w:val="28"/>
                <w:vertAlign w:val="baseline"/>
                <w:lang w:val="en-US" w:eastAsia="zh-CN"/>
              </w:rPr>
            </w:pPr>
            <w:r>
              <w:rPr>
                <w:rFonts w:hint="eastAsia" w:hAnsi="宋体"/>
                <w:sz w:val="28"/>
                <w:vertAlign w:val="baseline"/>
                <w:lang w:val="en-US" w:eastAsia="zh-CN"/>
              </w:rPr>
              <w:t>中林联林业规划设计研究院</w:t>
            </w:r>
          </w:p>
        </w:tc>
        <w:tc>
          <w:tcPr>
            <w:tcW w:w="2509" w:type="dxa"/>
            <w:vAlign w:val="center"/>
          </w:tcPr>
          <w:p w14:paraId="2D5237CD">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高级工程师</w:t>
            </w:r>
          </w:p>
        </w:tc>
        <w:tc>
          <w:tcPr>
            <w:tcW w:w="2636" w:type="dxa"/>
            <w:vAlign w:val="center"/>
          </w:tcPr>
          <w:p w14:paraId="4E63ABD1">
            <w:pPr>
              <w:keepNext w:val="0"/>
              <w:keepLines w:val="0"/>
              <w:pageBreakBefore w:val="0"/>
              <w:widowControl w:val="0"/>
              <w:kinsoku/>
              <w:wordWrap/>
              <w:overflowPunct/>
              <w:topLinePunct w:val="0"/>
              <w:autoSpaceDE/>
              <w:autoSpaceDN/>
              <w:bidi w:val="0"/>
              <w:adjustRightInd w:val="0"/>
              <w:snapToGrid w:val="0"/>
              <w:jc w:val="both"/>
              <w:textAlignment w:val="auto"/>
              <w:rPr>
                <w:rFonts w:hint="eastAsia" w:hAnsi="宋体"/>
                <w:sz w:val="28"/>
                <w:vertAlign w:val="baseline"/>
              </w:rPr>
            </w:pPr>
            <w:r>
              <w:rPr>
                <w:rFonts w:hint="eastAsia" w:hAnsi="宋体"/>
                <w:sz w:val="28"/>
                <w:vertAlign w:val="baseline"/>
                <w:lang w:val="en-US" w:eastAsia="zh-CN"/>
              </w:rPr>
              <w:t>标准修改完善</w:t>
            </w:r>
          </w:p>
        </w:tc>
      </w:tr>
    </w:tbl>
    <w:p w14:paraId="7EC61F8D">
      <w:pPr>
        <w:ind w:firstLine="562" w:firstLineChars="200"/>
        <w:rPr>
          <w:rFonts w:hint="eastAsia" w:hAnsi="宋体"/>
          <w:sz w:val="28"/>
        </w:rPr>
      </w:pPr>
      <w:r>
        <w:rPr>
          <w:rFonts w:hint="eastAsia" w:hAnsi="宋体"/>
          <w:b/>
          <w:bCs/>
          <w:sz w:val="28"/>
        </w:rPr>
        <w:t>二、标准编制原则和确定标准主要内容的论据</w:t>
      </w:r>
    </w:p>
    <w:p w14:paraId="168EE8F8">
      <w:pPr>
        <w:ind w:firstLine="562" w:firstLineChars="200"/>
        <w:rPr>
          <w:rFonts w:hint="eastAsia" w:hAnsi="宋体"/>
          <w:sz w:val="28"/>
        </w:rPr>
      </w:pPr>
      <w:r>
        <w:rPr>
          <w:rFonts w:hint="eastAsia" w:hAnsi="宋体"/>
          <w:b/>
          <w:bCs/>
          <w:sz w:val="28"/>
        </w:rPr>
        <w:t>（一）标准编制原则</w:t>
      </w:r>
    </w:p>
    <w:p w14:paraId="343C42E6">
      <w:pPr>
        <w:ind w:firstLine="560" w:firstLineChars="200"/>
        <w:rPr>
          <w:rFonts w:hint="eastAsia" w:hAnsi="宋体"/>
          <w:sz w:val="28"/>
        </w:rPr>
      </w:pPr>
      <w:r>
        <w:rPr>
          <w:rFonts w:hint="eastAsia" w:hAnsi="宋体"/>
          <w:sz w:val="28"/>
        </w:rPr>
        <w:t>1. 生态优先原则</w:t>
      </w:r>
    </w:p>
    <w:p w14:paraId="17C9FAB8">
      <w:pPr>
        <w:ind w:firstLine="560" w:firstLineChars="200"/>
        <w:rPr>
          <w:rFonts w:hint="eastAsia" w:hAnsi="宋体"/>
          <w:sz w:val="28"/>
        </w:rPr>
      </w:pPr>
      <w:r>
        <w:rPr>
          <w:rFonts w:hint="eastAsia" w:hAnsi="宋体"/>
          <w:sz w:val="28"/>
        </w:rPr>
        <w:t>坚持生态保护优先，在保障森林生态系统结构、功能和稳定性的基础上合理利用森林、林地及其生态环境资源，将森林资源保护和生态承载能力作为林下经济模式选择和技术应用的重要前提。</w:t>
      </w:r>
    </w:p>
    <w:p w14:paraId="62175F19">
      <w:pPr>
        <w:ind w:firstLine="560" w:firstLineChars="200"/>
        <w:rPr>
          <w:rFonts w:hint="eastAsia" w:hAnsi="宋体"/>
          <w:sz w:val="28"/>
        </w:rPr>
      </w:pPr>
      <w:r>
        <w:rPr>
          <w:rFonts w:hint="eastAsia" w:hAnsi="宋体"/>
          <w:sz w:val="28"/>
        </w:rPr>
        <w:t>2. 科学适用原则</w:t>
      </w:r>
    </w:p>
    <w:p w14:paraId="7BE572F6">
      <w:pPr>
        <w:ind w:firstLine="560" w:firstLineChars="200"/>
        <w:rPr>
          <w:rFonts w:hint="eastAsia" w:hAnsi="宋体"/>
          <w:sz w:val="28"/>
        </w:rPr>
      </w:pPr>
      <w:r>
        <w:rPr>
          <w:rFonts w:hint="eastAsia" w:hAnsi="宋体"/>
          <w:sz w:val="28"/>
        </w:rPr>
        <w:t>依据不同区域资源禀赋、林分条件、生态环境和产业基础，科学确定林下经济发展模式和相应技术要求，增强标准对不同区域、不同林分类型和不同经营主体的适用性。</w:t>
      </w:r>
    </w:p>
    <w:p w14:paraId="515905B3">
      <w:pPr>
        <w:ind w:firstLine="560" w:firstLineChars="200"/>
        <w:rPr>
          <w:rFonts w:hint="eastAsia" w:hAnsi="宋体"/>
          <w:sz w:val="28"/>
        </w:rPr>
      </w:pPr>
      <w:r>
        <w:rPr>
          <w:rFonts w:hint="eastAsia" w:hAnsi="宋体"/>
          <w:sz w:val="28"/>
        </w:rPr>
        <w:t>3. 协调衔接原则</w:t>
      </w:r>
    </w:p>
    <w:p w14:paraId="19067E90">
      <w:pPr>
        <w:ind w:firstLine="560" w:firstLineChars="200"/>
        <w:rPr>
          <w:rFonts w:hint="eastAsia" w:hAnsi="宋体"/>
          <w:sz w:val="28"/>
        </w:rPr>
      </w:pPr>
      <w:r>
        <w:rPr>
          <w:rFonts w:hint="eastAsia" w:hAnsi="宋体"/>
          <w:sz w:val="28"/>
        </w:rPr>
        <w:t>充分衔接现行森林资源保护、林地管理、野生动植物保护、中药材生态种植、自然教育、森林康养等相关法律法规、政策文件和技术标准，避免技术要求之间相互矛盾或重复。</w:t>
      </w:r>
    </w:p>
    <w:p w14:paraId="5F1D15C7">
      <w:pPr>
        <w:ind w:firstLine="560" w:firstLineChars="200"/>
        <w:rPr>
          <w:rFonts w:hint="eastAsia" w:hAnsi="宋体"/>
          <w:sz w:val="28"/>
        </w:rPr>
      </w:pPr>
      <w:r>
        <w:rPr>
          <w:rFonts w:hint="eastAsia" w:hAnsi="宋体"/>
          <w:sz w:val="28"/>
        </w:rPr>
        <w:t>4. 可操作性原则</w:t>
      </w:r>
    </w:p>
    <w:p w14:paraId="6D9B21D0">
      <w:pPr>
        <w:ind w:firstLine="560" w:firstLineChars="200"/>
        <w:rPr>
          <w:rFonts w:hint="eastAsia" w:hAnsi="宋体"/>
          <w:sz w:val="28"/>
        </w:rPr>
      </w:pPr>
      <w:r>
        <w:rPr>
          <w:rFonts w:hint="eastAsia" w:hAnsi="宋体"/>
          <w:sz w:val="28"/>
        </w:rPr>
        <w:t>立足林下经济生产经营实际，突出关键技术环节和生态保护底线，充分考虑不同地区资源条件、技术水平和经营主体实施能力，使标准内容可理解、可操作、可推广。</w:t>
      </w:r>
    </w:p>
    <w:p w14:paraId="5301578C">
      <w:pPr>
        <w:ind w:firstLine="560" w:firstLineChars="200"/>
        <w:rPr>
          <w:rFonts w:hint="eastAsia" w:hAnsi="宋体"/>
          <w:sz w:val="28"/>
        </w:rPr>
      </w:pPr>
      <w:r>
        <w:rPr>
          <w:rFonts w:hint="eastAsia" w:hAnsi="宋体"/>
          <w:sz w:val="28"/>
        </w:rPr>
        <w:t>5. 前瞻引领原则</w:t>
      </w:r>
    </w:p>
    <w:p w14:paraId="5CACB847">
      <w:pPr>
        <w:ind w:firstLine="560" w:firstLineChars="200"/>
        <w:rPr>
          <w:rFonts w:hint="eastAsia" w:hAnsi="宋体"/>
          <w:sz w:val="28"/>
        </w:rPr>
      </w:pPr>
      <w:r>
        <w:rPr>
          <w:rFonts w:hint="eastAsia" w:hAnsi="宋体"/>
          <w:sz w:val="28"/>
        </w:rPr>
        <w:t>充分考虑大食物观、集体林权制度改革、生态产品价值实现以及林下经济新产业、新模式和新业态发展趋势，在保持技术成熟性的基础上适度体现产业发展的前瞻性。</w:t>
      </w:r>
    </w:p>
    <w:p w14:paraId="4D7572B6">
      <w:pPr>
        <w:ind w:firstLine="562" w:firstLineChars="200"/>
        <w:rPr>
          <w:rFonts w:hint="eastAsia" w:hAnsi="宋体"/>
          <w:sz w:val="28"/>
        </w:rPr>
      </w:pPr>
      <w:r>
        <w:rPr>
          <w:rFonts w:hint="eastAsia" w:hAnsi="宋体"/>
          <w:b/>
          <w:bCs/>
          <w:sz w:val="28"/>
        </w:rPr>
        <w:t>（二）标准主要内容</w:t>
      </w:r>
    </w:p>
    <w:p w14:paraId="7C315151">
      <w:pPr>
        <w:ind w:firstLine="560" w:firstLineChars="200"/>
        <w:rPr>
          <w:rFonts w:hint="eastAsia" w:hAnsi="宋体"/>
          <w:sz w:val="28"/>
        </w:rPr>
      </w:pPr>
      <w:r>
        <w:rPr>
          <w:rFonts w:hint="eastAsia" w:hAnsi="宋体"/>
          <w:sz w:val="28"/>
        </w:rPr>
        <w:t>本标准根据林下经济主要经营活动及其技术特点，围绕林下经济发展全过程进行技术设计，主要包括：范围、规范性引用文件、术语和定义；林下经济发展的基本原则和总体要求；林下经济发展的一般技术流程；林下种植的模式选择、林地利用、种苗、栽培、经营管理和生态保护等技术要求；林下养殖的模式选择、养殖区域、养殖密度、疫病防控、废弃物处理及生态保护等技术要求；林下采集加工的资源调查、采集对象、采集强度、采集方式、初加工及资源保护等技术要求；森林景观利用的资源条件、功能布局、设施建设、服务利用、安全管理和生态保护等技术要求。</w:t>
      </w:r>
    </w:p>
    <w:p w14:paraId="22CE4761">
      <w:pPr>
        <w:ind w:firstLine="562" w:firstLineChars="200"/>
        <w:rPr>
          <w:rFonts w:hint="eastAsia" w:hAnsi="宋体"/>
          <w:sz w:val="28"/>
        </w:rPr>
      </w:pPr>
      <w:r>
        <w:rPr>
          <w:rFonts w:hint="eastAsia" w:hAnsi="宋体"/>
          <w:b/>
          <w:bCs/>
          <w:sz w:val="28"/>
        </w:rPr>
        <w:t>（三）主要技术内容确定的依据</w:t>
      </w:r>
    </w:p>
    <w:p w14:paraId="00770CAA">
      <w:pPr>
        <w:ind w:firstLine="560" w:firstLineChars="200"/>
        <w:rPr>
          <w:rFonts w:hint="eastAsia" w:hAnsi="宋体"/>
          <w:sz w:val="28"/>
        </w:rPr>
      </w:pPr>
      <w:r>
        <w:rPr>
          <w:rFonts w:hint="eastAsia" w:hAnsi="宋体"/>
          <w:sz w:val="28"/>
        </w:rPr>
        <w:t>本标准主要技术内容的确定以国家有关法律法规、林草行业政策和现行相关技术标准为基础，并综合考虑我国林下经济长期生产实践、典型案例和科研成果。</w:t>
      </w:r>
    </w:p>
    <w:p w14:paraId="30851395">
      <w:pPr>
        <w:ind w:firstLine="560" w:firstLineChars="200"/>
        <w:rPr>
          <w:rFonts w:hint="eastAsia" w:hAnsi="宋体"/>
          <w:sz w:val="28"/>
        </w:rPr>
      </w:pPr>
      <w:r>
        <w:rPr>
          <w:rFonts w:hint="eastAsia" w:hAnsi="宋体"/>
          <w:sz w:val="28"/>
        </w:rPr>
        <w:t>林下种植相关要求主要依据森林资源保护和林地管理规定，以及林草中药材生态种植、仿野生栽培等相关技术成果，重点协调林木生长、林下作物生产与森林生态保护之间的关系。</w:t>
      </w:r>
    </w:p>
    <w:p w14:paraId="7D34301E">
      <w:pPr>
        <w:ind w:firstLine="560" w:firstLineChars="200"/>
        <w:rPr>
          <w:rFonts w:hint="eastAsia" w:hAnsi="宋体"/>
          <w:sz w:val="28"/>
        </w:rPr>
      </w:pPr>
      <w:r>
        <w:rPr>
          <w:rFonts w:hint="eastAsia" w:hAnsi="宋体"/>
          <w:sz w:val="28"/>
        </w:rPr>
        <w:t>林下养殖相关要求主要依据林地生态承载能力、动物疫病防控、粪污资源化利用以及野生动物保护等要求，重点控制不合理养殖密度以及土壤板结、水体污染和植被破坏等生态风险。</w:t>
      </w:r>
    </w:p>
    <w:p w14:paraId="5B1BC5FA">
      <w:pPr>
        <w:ind w:firstLine="560" w:firstLineChars="200"/>
        <w:rPr>
          <w:rFonts w:hint="eastAsia" w:hAnsi="宋体"/>
          <w:sz w:val="28"/>
        </w:rPr>
      </w:pPr>
      <w:r>
        <w:rPr>
          <w:rFonts w:hint="eastAsia" w:hAnsi="宋体"/>
          <w:sz w:val="28"/>
        </w:rPr>
        <w:t>林下采集相关要求主要依据非木质林产品可持续经营和野生资源保护相关技术要求，突出适时、适量、轮采、保护性采集等技术原则，防止过度采集和毁灭性利用。</w:t>
      </w:r>
    </w:p>
    <w:p w14:paraId="7F7F081A">
      <w:pPr>
        <w:ind w:firstLine="560" w:firstLineChars="200"/>
        <w:rPr>
          <w:rFonts w:hint="eastAsia" w:hAnsi="宋体"/>
          <w:sz w:val="28"/>
        </w:rPr>
      </w:pPr>
      <w:r>
        <w:rPr>
          <w:rFonts w:hint="eastAsia" w:hAnsi="宋体"/>
          <w:sz w:val="28"/>
        </w:rPr>
        <w:t>森林景观利用相关要求主要参考森林康养、自然教育、森林旅游及生态保护等有关技术规范，重点考虑森林资源承载能力、设施建设强度、生态环境保护和经营安全。</w:t>
      </w:r>
    </w:p>
    <w:p w14:paraId="6EBB1F59">
      <w:pPr>
        <w:ind w:firstLine="560" w:firstLineChars="200"/>
        <w:rPr>
          <w:rFonts w:hint="eastAsia" w:hAnsi="宋体"/>
          <w:sz w:val="28"/>
        </w:rPr>
      </w:pPr>
      <w:r>
        <w:rPr>
          <w:rFonts w:hint="eastAsia" w:hAnsi="宋体"/>
          <w:sz w:val="28"/>
        </w:rPr>
        <w:t>本标准为首次制定，不涉及新旧标准技术水平对比。</w:t>
      </w:r>
    </w:p>
    <w:p w14:paraId="28A8481B">
      <w:pPr>
        <w:ind w:firstLine="562" w:firstLineChars="200"/>
        <w:rPr>
          <w:rFonts w:hint="eastAsia" w:hAnsi="宋体"/>
          <w:sz w:val="28"/>
        </w:rPr>
      </w:pPr>
      <w:r>
        <w:rPr>
          <w:rFonts w:hint="eastAsia" w:hAnsi="宋体"/>
          <w:b/>
          <w:bCs/>
          <w:sz w:val="28"/>
        </w:rPr>
        <w:t>三、主要试验（或验证）的分析、综述报告，技术经济论证及预期经济效果</w:t>
      </w:r>
    </w:p>
    <w:p w14:paraId="1F12E291">
      <w:pPr>
        <w:ind w:firstLine="560" w:firstLineChars="200"/>
        <w:rPr>
          <w:rFonts w:hint="eastAsia" w:hAnsi="宋体"/>
          <w:sz w:val="28"/>
        </w:rPr>
      </w:pPr>
      <w:r>
        <w:rPr>
          <w:rFonts w:hint="eastAsia" w:hAnsi="宋体"/>
          <w:sz w:val="28"/>
        </w:rPr>
        <w:t>（一）主要试验或验证情况</w:t>
      </w:r>
    </w:p>
    <w:p w14:paraId="010CBC72">
      <w:pPr>
        <w:ind w:firstLine="560" w:firstLineChars="200"/>
        <w:rPr>
          <w:rFonts w:hint="eastAsia" w:hAnsi="宋体"/>
          <w:sz w:val="28"/>
        </w:rPr>
      </w:pPr>
      <w:r>
        <w:rPr>
          <w:rFonts w:hint="eastAsia" w:hAnsi="宋体"/>
          <w:sz w:val="28"/>
        </w:rPr>
        <w:t>本标准属于综合性、</w:t>
      </w:r>
      <w:r>
        <w:rPr>
          <w:rFonts w:hint="eastAsia" w:hAnsi="宋体"/>
          <w:sz w:val="28"/>
          <w:lang w:val="en-US" w:eastAsia="zh-CN"/>
        </w:rPr>
        <w:t>技术集成性、</w:t>
      </w:r>
      <w:r>
        <w:rPr>
          <w:rFonts w:hint="eastAsia" w:hAnsi="宋体"/>
          <w:sz w:val="28"/>
        </w:rPr>
        <w:t>指导性技术标准，主要技术内容</w:t>
      </w:r>
      <w:r>
        <w:rPr>
          <w:rFonts w:hint="eastAsia" w:hAnsi="宋体"/>
          <w:sz w:val="28"/>
          <w:lang w:val="en-US" w:eastAsia="zh-CN"/>
        </w:rPr>
        <w:t>集成</w:t>
      </w:r>
      <w:r>
        <w:rPr>
          <w:rFonts w:hint="eastAsia" w:hAnsi="宋体"/>
          <w:sz w:val="28"/>
        </w:rPr>
        <w:t>于</w:t>
      </w:r>
      <w:r>
        <w:rPr>
          <w:rFonts w:hint="eastAsia" w:hAnsi="宋体"/>
          <w:sz w:val="28"/>
          <w:lang w:val="en-US" w:eastAsia="zh-CN"/>
        </w:rPr>
        <w:t>编制团队长期积累的科研试验成果，以及综合本行业、本领域领先的研究成果。</w:t>
      </w:r>
      <w:r>
        <w:rPr>
          <w:rFonts w:hint="eastAsia" w:hAnsi="宋体"/>
          <w:sz w:val="28"/>
        </w:rPr>
        <w:t>项目组在标准编制过程中，通过</w:t>
      </w:r>
      <w:r>
        <w:rPr>
          <w:rFonts w:hint="eastAsia" w:hAnsi="宋体"/>
          <w:sz w:val="28"/>
          <w:lang w:val="en-US" w:eastAsia="zh-CN"/>
        </w:rPr>
        <w:t>研究成果总结</w:t>
      </w:r>
      <w:r>
        <w:rPr>
          <w:rFonts w:hint="eastAsia" w:hAnsi="宋体"/>
          <w:sz w:val="28"/>
        </w:rPr>
        <w:t>、</w:t>
      </w:r>
      <w:r>
        <w:rPr>
          <w:rFonts w:hint="eastAsia" w:hAnsi="宋体"/>
          <w:sz w:val="28"/>
          <w:lang w:val="en-US" w:eastAsia="zh-CN"/>
        </w:rPr>
        <w:t>技术</w:t>
      </w:r>
      <w:r>
        <w:rPr>
          <w:rFonts w:hint="eastAsia" w:hAnsi="宋体"/>
          <w:sz w:val="28"/>
        </w:rPr>
        <w:t>标准比对、典型案例研究、专家咨询和经营主体意见征集等方式，对主要技术内容的科学性、适用性和可操作性进行了综合验证。</w:t>
      </w:r>
    </w:p>
    <w:p w14:paraId="6AD7D0D2">
      <w:pPr>
        <w:ind w:firstLine="560" w:firstLineChars="200"/>
        <w:rPr>
          <w:rFonts w:hint="eastAsia" w:hAnsi="宋体"/>
          <w:sz w:val="28"/>
        </w:rPr>
      </w:pPr>
      <w:r>
        <w:rPr>
          <w:rFonts w:hint="eastAsia" w:hAnsi="宋体"/>
          <w:sz w:val="28"/>
        </w:rPr>
        <w:t>林下种植、林下养殖、林下采集和森林景观利用等技术要求均具有相应生产实践基础。通过多轮专家论证和征求意见，对不同经营模式的适用范围、生态保护要求和关键技术环节进行了反复校核，能够满足林下经济生产经营和行业管理的实际需要。</w:t>
      </w:r>
    </w:p>
    <w:p w14:paraId="1A58EE6E">
      <w:pPr>
        <w:ind w:firstLine="562" w:firstLineChars="200"/>
        <w:rPr>
          <w:rFonts w:hint="eastAsia" w:hAnsi="宋体"/>
          <w:sz w:val="28"/>
        </w:rPr>
      </w:pPr>
      <w:r>
        <w:rPr>
          <w:rFonts w:hint="eastAsia" w:hAnsi="宋体"/>
          <w:b/>
          <w:bCs/>
          <w:sz w:val="28"/>
        </w:rPr>
        <w:t>（二）技术经济论证</w:t>
      </w:r>
    </w:p>
    <w:p w14:paraId="5A069915">
      <w:pPr>
        <w:ind w:firstLine="560" w:firstLineChars="200"/>
        <w:rPr>
          <w:rFonts w:hint="eastAsia" w:hAnsi="宋体"/>
          <w:sz w:val="28"/>
        </w:rPr>
      </w:pPr>
      <w:r>
        <w:rPr>
          <w:rFonts w:hint="eastAsia" w:hAnsi="宋体"/>
          <w:sz w:val="28"/>
        </w:rPr>
        <w:t>林下经济能够在不改变林地用途、保护森林生态功能的基础上，提高森林、林地及其空间资源综合利用效率，实现森林资源从单一木材利用向多功能、复合型利用转变。</w:t>
      </w:r>
    </w:p>
    <w:p w14:paraId="5B6AF8D5">
      <w:pPr>
        <w:ind w:firstLine="560" w:firstLineChars="200"/>
        <w:rPr>
          <w:rFonts w:hint="eastAsia" w:hAnsi="宋体"/>
          <w:sz w:val="28"/>
        </w:rPr>
      </w:pPr>
      <w:r>
        <w:rPr>
          <w:rFonts w:hint="eastAsia" w:hAnsi="宋体"/>
          <w:sz w:val="28"/>
        </w:rPr>
        <w:t>本标准通过明确不同林下经济模式的基本原则、技术流程和关键技术要求，有利于降低经营主体在模式选择和生产管理中的技术风险，减少因不合理利用造成的资源浪费和生态环境损害，提高林下经济生产经营的规范化水平和投入产出效率。</w:t>
      </w:r>
    </w:p>
    <w:p w14:paraId="39895CE8">
      <w:pPr>
        <w:ind w:firstLine="560" w:firstLineChars="200"/>
        <w:rPr>
          <w:rFonts w:hint="eastAsia" w:hAnsi="宋体"/>
          <w:sz w:val="28"/>
        </w:rPr>
      </w:pPr>
      <w:r>
        <w:rPr>
          <w:rFonts w:hint="eastAsia" w:hAnsi="宋体"/>
          <w:sz w:val="28"/>
        </w:rPr>
        <w:t>同时，通过建立相对统一的技术要求，有利于促进科研成果、成熟技术和典型模式推广应用，为地方林下经济规划、项目建设、技术服务和行业管理提供依据。</w:t>
      </w:r>
    </w:p>
    <w:p w14:paraId="08A8FE3A">
      <w:pPr>
        <w:ind w:firstLine="562" w:firstLineChars="200"/>
        <w:rPr>
          <w:rFonts w:hint="eastAsia" w:hAnsi="宋体"/>
          <w:sz w:val="28"/>
        </w:rPr>
      </w:pPr>
      <w:r>
        <w:rPr>
          <w:rFonts w:hint="eastAsia" w:hAnsi="宋体"/>
          <w:b/>
          <w:bCs/>
          <w:sz w:val="28"/>
        </w:rPr>
        <w:t>（三）预期经济、社会和生态效益</w:t>
      </w:r>
    </w:p>
    <w:p w14:paraId="0BA49C64">
      <w:pPr>
        <w:ind w:firstLine="560" w:firstLineChars="200"/>
        <w:rPr>
          <w:rFonts w:hint="eastAsia" w:hAnsi="宋体"/>
          <w:sz w:val="28"/>
        </w:rPr>
      </w:pPr>
      <w:r>
        <w:rPr>
          <w:rFonts w:hint="eastAsia" w:hAnsi="宋体"/>
          <w:sz w:val="28"/>
        </w:rPr>
        <w:t>本标准实施后，预期能够进一步规范我国林下经济生产经营活动，提高森林资源综合利用效率和林地产出水平，促进林下经济向标准化、集约化、绿色化和产业化方向发展。</w:t>
      </w:r>
    </w:p>
    <w:p w14:paraId="661D14EF">
      <w:pPr>
        <w:ind w:firstLine="560" w:firstLineChars="200"/>
        <w:rPr>
          <w:rFonts w:hint="eastAsia" w:hAnsi="宋体"/>
          <w:sz w:val="28"/>
        </w:rPr>
      </w:pPr>
      <w:r>
        <w:rPr>
          <w:rFonts w:hint="eastAsia" w:hAnsi="宋体"/>
          <w:sz w:val="28"/>
        </w:rPr>
        <w:t>在经济效益方面，有利于优化林下经济生产模式，降低不规范经营带来的生产风险和成本，提高产品质量和经营效益，拓宽林农和林业经营主体增收渠道。</w:t>
      </w:r>
    </w:p>
    <w:p w14:paraId="557FEEE5">
      <w:pPr>
        <w:ind w:firstLine="560" w:firstLineChars="200"/>
        <w:rPr>
          <w:rFonts w:hint="eastAsia" w:hAnsi="宋体"/>
          <w:sz w:val="28"/>
        </w:rPr>
      </w:pPr>
      <w:r>
        <w:rPr>
          <w:rFonts w:hint="eastAsia" w:hAnsi="宋体"/>
          <w:sz w:val="28"/>
        </w:rPr>
        <w:t>在社会效益方面，有利于推动林下经济技术推广和产业规范发展，促进农村就业和农民增收，为乡村全面振兴和集体林权制度改革提供产业支撑。</w:t>
      </w:r>
    </w:p>
    <w:p w14:paraId="11945A2D">
      <w:pPr>
        <w:ind w:firstLine="560" w:firstLineChars="200"/>
        <w:rPr>
          <w:rFonts w:hint="eastAsia" w:hAnsi="宋体"/>
          <w:sz w:val="28"/>
        </w:rPr>
      </w:pPr>
      <w:r>
        <w:rPr>
          <w:rFonts w:hint="eastAsia" w:hAnsi="宋体"/>
          <w:sz w:val="28"/>
        </w:rPr>
        <w:t>在生态效益方面，有利于规范森林资源利用强度和经营行为，降低不合理种植、养殖和采集活动对森林植被、土壤、水体和生物多样性的影响，推动森林资源保护与合理利用协调发展。</w:t>
      </w:r>
    </w:p>
    <w:p w14:paraId="7CA4CCD3">
      <w:pPr>
        <w:ind w:firstLine="562" w:firstLineChars="200"/>
        <w:rPr>
          <w:rFonts w:hint="eastAsia" w:hAnsi="宋体"/>
          <w:sz w:val="28"/>
        </w:rPr>
      </w:pPr>
      <w:r>
        <w:rPr>
          <w:rFonts w:hint="eastAsia" w:hAnsi="宋体"/>
          <w:b/>
          <w:bCs/>
          <w:sz w:val="28"/>
        </w:rPr>
        <w:t>四、标准涉及的相关知识产权说明</w:t>
      </w:r>
    </w:p>
    <w:p w14:paraId="0B906FB8">
      <w:pPr>
        <w:ind w:firstLine="560" w:firstLineChars="200"/>
        <w:rPr>
          <w:rFonts w:hint="eastAsia" w:hAnsi="宋体"/>
          <w:sz w:val="28"/>
        </w:rPr>
      </w:pPr>
      <w:r>
        <w:rPr>
          <w:rFonts w:hint="eastAsia" w:hAnsi="宋体"/>
          <w:sz w:val="28"/>
        </w:rPr>
        <w:t>本标准编制过程中主要依据国家现行法律法规、政策文件、公开发布的国家标准、行业标准、团体标准、技术指南以及公开发表的科研成果和生产实践资料。</w:t>
      </w:r>
    </w:p>
    <w:p w14:paraId="36170587">
      <w:pPr>
        <w:ind w:firstLine="560" w:firstLineChars="200"/>
        <w:rPr>
          <w:rFonts w:hint="eastAsia" w:hAnsi="宋体"/>
          <w:sz w:val="28"/>
        </w:rPr>
      </w:pPr>
      <w:r>
        <w:rPr>
          <w:rFonts w:hint="eastAsia" w:hAnsi="宋体"/>
          <w:sz w:val="28"/>
        </w:rPr>
        <w:t>经起草组核查，本标准目前不涉及专利等知识产权事项，不存在已知的专利实施许可问题。</w:t>
      </w:r>
    </w:p>
    <w:p w14:paraId="7418DC84">
      <w:pPr>
        <w:ind w:firstLine="562" w:firstLineChars="200"/>
        <w:rPr>
          <w:rFonts w:hint="eastAsia" w:hAnsi="宋体"/>
          <w:sz w:val="28"/>
        </w:rPr>
      </w:pPr>
      <w:r>
        <w:rPr>
          <w:rFonts w:hint="eastAsia" w:hAnsi="宋体"/>
          <w:b/>
          <w:bCs/>
          <w:sz w:val="28"/>
        </w:rPr>
        <w:t>五、采用国际标准的程度与水平的简要说明</w:t>
      </w:r>
    </w:p>
    <w:p w14:paraId="646B079E">
      <w:pPr>
        <w:ind w:firstLine="560" w:firstLineChars="200"/>
        <w:rPr>
          <w:rFonts w:hint="eastAsia" w:hAnsi="宋体"/>
          <w:sz w:val="28"/>
        </w:rPr>
      </w:pPr>
      <w:r>
        <w:rPr>
          <w:rFonts w:hint="eastAsia" w:hAnsi="宋体"/>
          <w:sz w:val="28"/>
        </w:rPr>
        <w:t>国际上相关技术规范主要涉及农林复合经营（agroforestry）、非木质林产品（non-timber forest products）、森林可持续经营、生态旅游等领域，其分类体系、管理对象和技术要求与我国林下经济</w:t>
      </w:r>
      <w:r>
        <w:rPr>
          <w:rFonts w:hint="eastAsia" w:hAnsi="宋体"/>
          <w:sz w:val="28"/>
          <w:lang w:val="en-US" w:eastAsia="zh-CN"/>
        </w:rPr>
        <w:t>有相同之处，但也</w:t>
      </w:r>
      <w:r>
        <w:rPr>
          <w:rFonts w:hint="eastAsia" w:hAnsi="宋体"/>
          <w:sz w:val="28"/>
        </w:rPr>
        <w:t>存在一定差异。本标准在编制过程中，参考借鉴了国际上森林可持续经营、农林复合经营、非木质林产品可持续利用等有关理念和实践经验，并结合我国森林资源管理制度、林地利用政策、林下经济产业发展实际和现有技术标准进行自主制定。</w:t>
      </w:r>
    </w:p>
    <w:p w14:paraId="63C3E962">
      <w:pPr>
        <w:ind w:firstLine="560" w:firstLineChars="200"/>
        <w:rPr>
          <w:rFonts w:hint="eastAsia" w:hAnsi="宋体"/>
          <w:sz w:val="28"/>
        </w:rPr>
      </w:pPr>
      <w:r>
        <w:rPr>
          <w:rFonts w:hint="eastAsia" w:hAnsi="宋体"/>
          <w:sz w:val="28"/>
        </w:rPr>
        <w:t>总体上，本标准立足我国林下经济发展实践，具有较强的中国特色和产业适用性，技术内容与国际森林可持续经营和资源保护利用的基本理念保持协调。</w:t>
      </w:r>
    </w:p>
    <w:p w14:paraId="6EA89D37">
      <w:pPr>
        <w:ind w:firstLine="562" w:firstLineChars="200"/>
        <w:rPr>
          <w:rFonts w:hint="eastAsia" w:hAnsi="宋体"/>
          <w:sz w:val="28"/>
        </w:rPr>
      </w:pPr>
      <w:r>
        <w:rPr>
          <w:rFonts w:hint="eastAsia" w:hAnsi="宋体"/>
          <w:b/>
          <w:bCs/>
          <w:sz w:val="28"/>
        </w:rPr>
        <w:t>六、重大意见分歧的处理经过和依据</w:t>
      </w:r>
    </w:p>
    <w:p w14:paraId="01662443">
      <w:pPr>
        <w:ind w:firstLine="560" w:firstLineChars="200"/>
        <w:rPr>
          <w:rFonts w:hint="eastAsia" w:hAnsi="宋体"/>
          <w:sz w:val="28"/>
        </w:rPr>
      </w:pPr>
      <w:r>
        <w:rPr>
          <w:rFonts w:hint="eastAsia" w:hAnsi="宋体"/>
          <w:sz w:val="28"/>
        </w:rPr>
        <w:t>本标准编制过程中先后开展多轮专家咨询、公开征求意见和专题讨论。</w:t>
      </w:r>
    </w:p>
    <w:p w14:paraId="26D396A2">
      <w:pPr>
        <w:ind w:firstLine="560" w:firstLineChars="200"/>
        <w:rPr>
          <w:rFonts w:hint="eastAsia" w:hAnsi="宋体"/>
          <w:sz w:val="28"/>
        </w:rPr>
      </w:pPr>
      <w:r>
        <w:rPr>
          <w:rFonts w:hint="eastAsia" w:hAnsi="宋体"/>
          <w:sz w:val="28"/>
        </w:rPr>
        <w:t>2021年征求意见阶段共收到修改意见52条，经项目组逐条研究，采纳38条；2026年再次征求意见共收到修改意见27条，经研究采纳23条。对于未采纳或部分采纳的意见，项目组主要依据现行法律法规、林草行业管理政策、相关技术标准、林下经济生产实际以及本标准的适用范围和定位进行研究处理。</w:t>
      </w:r>
    </w:p>
    <w:p w14:paraId="230AE18D">
      <w:pPr>
        <w:ind w:firstLine="560" w:firstLineChars="200"/>
        <w:rPr>
          <w:rFonts w:hint="eastAsia" w:hAnsi="宋体"/>
          <w:sz w:val="28"/>
        </w:rPr>
      </w:pPr>
      <w:r>
        <w:rPr>
          <w:rFonts w:hint="eastAsia" w:hAnsi="宋体"/>
          <w:sz w:val="28"/>
        </w:rPr>
        <w:t>经多轮协调和论证，各参与单位和主要专家对标准总体技术框架和主要技术内容已形成基本一致意见，无尚未解决的重大意见分歧。</w:t>
      </w:r>
    </w:p>
    <w:p w14:paraId="79816934">
      <w:pPr>
        <w:ind w:firstLine="562" w:firstLineChars="200"/>
        <w:rPr>
          <w:rFonts w:hint="eastAsia" w:hAnsi="宋体"/>
          <w:sz w:val="28"/>
        </w:rPr>
      </w:pPr>
      <w:r>
        <w:rPr>
          <w:rFonts w:hint="eastAsia" w:hAnsi="宋体"/>
          <w:b/>
          <w:bCs/>
          <w:sz w:val="28"/>
        </w:rPr>
        <w:t>七、其他应予说明的事项</w:t>
      </w:r>
    </w:p>
    <w:p w14:paraId="6BCB5819">
      <w:pPr>
        <w:ind w:firstLine="562" w:firstLineChars="200"/>
        <w:rPr>
          <w:rFonts w:hint="eastAsia" w:hAnsi="宋体"/>
          <w:sz w:val="28"/>
        </w:rPr>
      </w:pPr>
      <w:r>
        <w:rPr>
          <w:rFonts w:hint="eastAsia" w:hAnsi="宋体"/>
          <w:b/>
          <w:bCs/>
          <w:sz w:val="28"/>
        </w:rPr>
        <w:t>（一）与现行法律法规及相关标准的协调关系</w:t>
      </w:r>
    </w:p>
    <w:p w14:paraId="05561663">
      <w:pPr>
        <w:ind w:firstLine="560" w:firstLineChars="200"/>
        <w:rPr>
          <w:rFonts w:hint="eastAsia" w:hAnsi="宋体"/>
          <w:sz w:val="28"/>
        </w:rPr>
      </w:pPr>
      <w:r>
        <w:rPr>
          <w:rFonts w:hint="eastAsia" w:hAnsi="宋体"/>
          <w:sz w:val="28"/>
        </w:rPr>
        <w:t>本标准编制严格遵守《中华人民共和国森林法》《中华人民共和国环境保护法》等有关法律法规，并与国家有关森林资源保护、林地管理、野生动植物保护、食品安全和生态环境保护等制度要求相衔接。</w:t>
      </w:r>
    </w:p>
    <w:p w14:paraId="197591CF">
      <w:pPr>
        <w:ind w:firstLine="560" w:firstLineChars="200"/>
        <w:rPr>
          <w:rFonts w:hint="eastAsia" w:hAnsi="宋体"/>
          <w:sz w:val="28"/>
        </w:rPr>
      </w:pPr>
      <w:r>
        <w:rPr>
          <w:rFonts w:hint="eastAsia" w:hAnsi="宋体"/>
          <w:sz w:val="28"/>
        </w:rPr>
        <w:t>标准制定过程中重点参考了LY/T 3408—2024《林下经济术语》、LY/T 3419—2024《自然教育评估规范》，以及《林草中药材生态种植通则》《林草中药材野生抚育通则》《林草中药材仿野生栽培通则》《森林康养基地建设规范》等相关技术文件。</w:t>
      </w:r>
    </w:p>
    <w:p w14:paraId="1ADC74D1">
      <w:pPr>
        <w:ind w:firstLine="560" w:firstLineChars="200"/>
        <w:rPr>
          <w:rFonts w:hint="eastAsia" w:hAnsi="宋体"/>
          <w:sz w:val="28"/>
        </w:rPr>
      </w:pPr>
      <w:r>
        <w:rPr>
          <w:rFonts w:hint="eastAsia" w:hAnsi="宋体"/>
          <w:sz w:val="28"/>
        </w:rPr>
        <w:t>本标准与现行强制性国家标准、行业标准不存在冲突。</w:t>
      </w:r>
    </w:p>
    <w:p w14:paraId="52800592">
      <w:pPr>
        <w:ind w:firstLine="562" w:firstLineChars="200"/>
        <w:rPr>
          <w:rFonts w:hint="eastAsia" w:hAnsi="宋体"/>
          <w:sz w:val="28"/>
        </w:rPr>
      </w:pPr>
      <w:r>
        <w:rPr>
          <w:rFonts w:hint="eastAsia" w:hAnsi="宋体"/>
          <w:b/>
          <w:bCs/>
          <w:sz w:val="28"/>
        </w:rPr>
        <w:t>（</w:t>
      </w:r>
      <w:r>
        <w:rPr>
          <w:rFonts w:hint="eastAsia" w:hAnsi="宋体"/>
          <w:b/>
          <w:bCs/>
          <w:sz w:val="28"/>
          <w:lang w:val="en-US" w:eastAsia="zh-CN"/>
        </w:rPr>
        <w:t>二</w:t>
      </w:r>
      <w:r>
        <w:rPr>
          <w:rFonts w:hint="eastAsia" w:hAnsi="宋体"/>
          <w:b/>
          <w:bCs/>
          <w:sz w:val="28"/>
        </w:rPr>
        <w:t>）主要参考资料</w:t>
      </w:r>
    </w:p>
    <w:p w14:paraId="580EF604">
      <w:pPr>
        <w:ind w:firstLine="560" w:firstLineChars="200"/>
        <w:rPr>
          <w:rFonts w:hint="eastAsia" w:hAnsi="宋体"/>
          <w:sz w:val="28"/>
        </w:rPr>
      </w:pPr>
      <w:r>
        <w:rPr>
          <w:rFonts w:hint="eastAsia" w:hAnsi="宋体"/>
          <w:sz w:val="28"/>
          <w:lang w:val="en-US" w:eastAsia="zh-CN"/>
        </w:rPr>
        <w:t>1.</w:t>
      </w:r>
      <w:r>
        <w:rPr>
          <w:rFonts w:hint="eastAsia" w:hAnsi="宋体"/>
          <w:sz w:val="28"/>
        </w:rPr>
        <w:t>GB 15618-2018 土壤环境质量 农用地土壤污染风险管控标准（试行）</w:t>
      </w:r>
    </w:p>
    <w:p w14:paraId="1918CA1F">
      <w:pPr>
        <w:ind w:firstLine="560" w:firstLineChars="200"/>
        <w:rPr>
          <w:rFonts w:hint="eastAsia" w:hAnsi="宋体"/>
          <w:sz w:val="28"/>
        </w:rPr>
      </w:pPr>
      <w:r>
        <w:rPr>
          <w:rFonts w:hint="eastAsia" w:hAnsi="宋体"/>
          <w:sz w:val="28"/>
          <w:lang w:val="en-US" w:eastAsia="zh-CN"/>
        </w:rPr>
        <w:t>2.</w:t>
      </w:r>
      <w:r>
        <w:rPr>
          <w:rFonts w:hint="eastAsia" w:hAnsi="宋体"/>
          <w:sz w:val="28"/>
        </w:rPr>
        <w:t>GB 3095-2026 环境空气质量标准</w:t>
      </w:r>
    </w:p>
    <w:p w14:paraId="7130F146">
      <w:pPr>
        <w:ind w:firstLine="560" w:firstLineChars="200"/>
        <w:rPr>
          <w:rFonts w:hint="eastAsia" w:hAnsi="宋体"/>
          <w:sz w:val="28"/>
        </w:rPr>
      </w:pPr>
      <w:r>
        <w:rPr>
          <w:rFonts w:hint="eastAsia" w:hAnsi="宋体"/>
          <w:sz w:val="28"/>
          <w:lang w:val="en-US" w:eastAsia="zh-CN"/>
        </w:rPr>
        <w:t>3.</w:t>
      </w:r>
      <w:r>
        <w:rPr>
          <w:rFonts w:hint="eastAsia" w:hAnsi="宋体"/>
          <w:sz w:val="28"/>
        </w:rPr>
        <w:t>GB 5084-2021 农田灌溉水质标准</w:t>
      </w:r>
    </w:p>
    <w:p w14:paraId="6355832E">
      <w:pPr>
        <w:ind w:firstLine="560" w:firstLineChars="200"/>
        <w:rPr>
          <w:rFonts w:hint="eastAsia" w:hAnsi="宋体"/>
          <w:sz w:val="28"/>
        </w:rPr>
      </w:pPr>
      <w:r>
        <w:rPr>
          <w:rFonts w:hint="eastAsia" w:hAnsi="宋体"/>
          <w:sz w:val="28"/>
          <w:lang w:val="en-US" w:eastAsia="zh-CN"/>
        </w:rPr>
        <w:t>4.</w:t>
      </w:r>
      <w:r>
        <w:rPr>
          <w:rFonts w:hint="eastAsia" w:hAnsi="宋体"/>
          <w:sz w:val="28"/>
        </w:rPr>
        <w:t>GB 11607—1989 渔业水质标准</w:t>
      </w:r>
    </w:p>
    <w:p w14:paraId="2EEEB612">
      <w:pPr>
        <w:ind w:firstLine="560" w:firstLineChars="200"/>
        <w:rPr>
          <w:rFonts w:hint="eastAsia" w:hAnsi="宋体"/>
          <w:sz w:val="28"/>
        </w:rPr>
      </w:pPr>
      <w:r>
        <w:rPr>
          <w:rFonts w:hint="eastAsia" w:hAnsi="宋体"/>
          <w:sz w:val="28"/>
          <w:lang w:val="en-US" w:eastAsia="zh-CN"/>
        </w:rPr>
        <w:t>5.</w:t>
      </w:r>
      <w:r>
        <w:rPr>
          <w:rFonts w:hint="eastAsia" w:hAnsi="宋体"/>
          <w:sz w:val="28"/>
        </w:rPr>
        <w:t>NY/T 393-2020 绿色食品 农药使用准则</w:t>
      </w:r>
    </w:p>
    <w:p w14:paraId="64BC934E">
      <w:pPr>
        <w:ind w:firstLine="560" w:firstLineChars="200"/>
        <w:rPr>
          <w:rFonts w:hint="eastAsia" w:hAnsi="宋体"/>
          <w:sz w:val="28"/>
        </w:rPr>
      </w:pPr>
      <w:r>
        <w:rPr>
          <w:rFonts w:hint="eastAsia" w:hAnsi="宋体"/>
          <w:sz w:val="28"/>
          <w:lang w:val="en-US" w:eastAsia="zh-CN"/>
        </w:rPr>
        <w:t>6.</w:t>
      </w:r>
      <w:r>
        <w:rPr>
          <w:rFonts w:hint="eastAsia" w:hAnsi="宋体"/>
          <w:sz w:val="28"/>
        </w:rPr>
        <w:t>LY/T 3408-2024 林下经济术语</w:t>
      </w:r>
    </w:p>
    <w:p w14:paraId="5E853E8C">
      <w:pPr>
        <w:ind w:firstLine="560" w:firstLineChars="200"/>
        <w:rPr>
          <w:rFonts w:hint="eastAsia" w:hAnsi="宋体"/>
          <w:sz w:val="28"/>
        </w:rPr>
      </w:pPr>
      <w:r>
        <w:rPr>
          <w:rFonts w:hint="eastAsia" w:hAnsi="宋体"/>
          <w:sz w:val="28"/>
          <w:lang w:val="en-US" w:eastAsia="zh-CN"/>
        </w:rPr>
        <w:t>7.</w:t>
      </w:r>
      <w:r>
        <w:rPr>
          <w:rFonts w:hint="eastAsia" w:hAnsi="宋体"/>
          <w:sz w:val="28"/>
        </w:rPr>
        <w:t>LY/T 3398-2024 森林康养基地建设技术规程</w:t>
      </w:r>
    </w:p>
    <w:p w14:paraId="67325EFF">
      <w:pPr>
        <w:ind w:firstLine="560" w:firstLineChars="200"/>
        <w:rPr>
          <w:rFonts w:hint="eastAsia" w:hAnsi="宋体"/>
          <w:sz w:val="28"/>
        </w:rPr>
      </w:pPr>
      <w:r>
        <w:rPr>
          <w:rFonts w:hint="eastAsia" w:hAnsi="宋体"/>
          <w:sz w:val="28"/>
          <w:lang w:val="en-US" w:eastAsia="zh-CN"/>
        </w:rPr>
        <w:t>8.</w:t>
      </w:r>
      <w:r>
        <w:rPr>
          <w:rFonts w:hint="eastAsia" w:hAnsi="宋体"/>
          <w:sz w:val="28"/>
        </w:rPr>
        <w:t>LY/T 3329—2022 自然教育指南</w:t>
      </w:r>
    </w:p>
    <w:p w14:paraId="35E6ED6B">
      <w:pPr>
        <w:ind w:firstLine="560" w:firstLineChars="200"/>
        <w:rPr>
          <w:rFonts w:hint="eastAsia" w:hAnsi="宋体"/>
          <w:sz w:val="28"/>
        </w:rPr>
      </w:pPr>
      <w:r>
        <w:rPr>
          <w:rFonts w:hint="eastAsia" w:hAnsi="宋体"/>
          <w:sz w:val="28"/>
          <w:lang w:val="en-US" w:eastAsia="zh-CN"/>
        </w:rPr>
        <w:t>9</w:t>
      </w:r>
      <w:r>
        <w:rPr>
          <w:rFonts w:hint="eastAsia" w:hAnsi="宋体"/>
          <w:sz w:val="28"/>
        </w:rPr>
        <w:t>.李文华，陈幸良. 林下经济与农业复合生态系统管理. 北京：中国林业出版社，2021；</w:t>
      </w:r>
    </w:p>
    <w:p w14:paraId="4561E5A0">
      <w:pPr>
        <w:ind w:firstLine="560" w:firstLineChars="200"/>
        <w:rPr>
          <w:rFonts w:hint="eastAsia" w:hAnsi="宋体"/>
          <w:sz w:val="28"/>
        </w:rPr>
      </w:pPr>
      <w:r>
        <w:rPr>
          <w:rFonts w:hint="eastAsia" w:hAnsi="宋体"/>
          <w:sz w:val="28"/>
        </w:rPr>
        <w:t>1</w:t>
      </w:r>
      <w:r>
        <w:rPr>
          <w:rFonts w:hint="eastAsia" w:hAnsi="宋体"/>
          <w:sz w:val="28"/>
          <w:lang w:val="en-US" w:eastAsia="zh-CN"/>
        </w:rPr>
        <w:t>0</w:t>
      </w:r>
      <w:r>
        <w:rPr>
          <w:rFonts w:hint="eastAsia" w:hAnsi="宋体"/>
          <w:sz w:val="28"/>
        </w:rPr>
        <w:t>.陈幸良，段碧华，冯彩云. 华北平原林下经济. 北京：中国农业科学技术出版社，2016；</w:t>
      </w:r>
    </w:p>
    <w:p w14:paraId="390BF0F3">
      <w:pPr>
        <w:ind w:firstLine="560" w:firstLineChars="200"/>
        <w:rPr>
          <w:rFonts w:hint="eastAsia" w:hAnsi="宋体"/>
          <w:sz w:val="28"/>
        </w:rPr>
      </w:pPr>
      <w:r>
        <w:rPr>
          <w:rFonts w:hint="eastAsia" w:hAnsi="宋体"/>
          <w:sz w:val="28"/>
        </w:rPr>
        <w:t>1</w:t>
      </w:r>
      <w:r>
        <w:rPr>
          <w:rFonts w:hint="eastAsia" w:hAnsi="宋体"/>
          <w:sz w:val="28"/>
          <w:lang w:val="en-US" w:eastAsia="zh-CN"/>
        </w:rPr>
        <w:t>1</w:t>
      </w:r>
      <w:r>
        <w:rPr>
          <w:rFonts w:hint="eastAsia" w:hAnsi="宋体"/>
          <w:sz w:val="28"/>
        </w:rPr>
        <w:t>.陈幸良，贺顺钦，窦亚权，等. 中国林下经济十年发展回顾与未来展望[J]. 林业经济，2025，47（11）：5-15；</w:t>
      </w:r>
    </w:p>
    <w:p w14:paraId="19EAC2B8">
      <w:pPr>
        <w:ind w:firstLine="560" w:firstLineChars="200"/>
        <w:rPr>
          <w:rFonts w:hint="eastAsia" w:hAnsi="宋体"/>
          <w:sz w:val="28"/>
        </w:rPr>
      </w:pPr>
      <w:r>
        <w:rPr>
          <w:rFonts w:hint="eastAsia" w:hAnsi="宋体"/>
          <w:sz w:val="28"/>
        </w:rPr>
        <w:t>1</w:t>
      </w:r>
      <w:r>
        <w:rPr>
          <w:rFonts w:hint="eastAsia" w:hAnsi="宋体"/>
          <w:sz w:val="28"/>
          <w:lang w:val="en-US" w:eastAsia="zh-CN"/>
        </w:rPr>
        <w:t>2</w:t>
      </w:r>
      <w:r>
        <w:rPr>
          <w:rFonts w:hint="eastAsia" w:hAnsi="宋体"/>
          <w:sz w:val="28"/>
        </w:rPr>
        <w:t>.陈幸良，窦亚权. 林下经济高质量发展：战略要义、技术突破与关键举措[J]. 林业科学，2025，61（7）：59-71；</w:t>
      </w:r>
    </w:p>
    <w:p w14:paraId="71BEACBA">
      <w:pPr>
        <w:ind w:firstLine="560" w:firstLineChars="200"/>
        <w:rPr>
          <w:rFonts w:hint="eastAsia" w:hAnsi="宋体"/>
          <w:sz w:val="28"/>
        </w:rPr>
      </w:pPr>
      <w:r>
        <w:rPr>
          <w:rFonts w:hint="eastAsia" w:hAnsi="宋体"/>
          <w:sz w:val="28"/>
          <w:lang w:val="en-US" w:eastAsia="zh-CN"/>
        </w:rPr>
        <w:t>13.</w:t>
      </w:r>
      <w:r>
        <w:rPr>
          <w:rFonts w:hint="eastAsia" w:hAnsi="宋体"/>
          <w:sz w:val="28"/>
        </w:rPr>
        <w:t>陈幸良. 林下经济学的缘起、发展与展望[J]. 南京林业大学学报（自然科学版），2022，46（6）：105-114。</w:t>
      </w:r>
    </w:p>
    <w:bookmarkEnd w:id="0"/>
    <w:p w14:paraId="5CF3BEF4"/>
    <w:sectPr>
      <w:footerReference r:id="rId3" w:type="default"/>
      <w:pgSz w:w="11906" w:h="16838"/>
      <w:pgMar w:top="1797" w:right="1440" w:bottom="1797"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EFF" w:usb1="C000785B" w:usb2="00000009" w:usb3="00000000" w:csb0="400001FF" w:csb1="FFFF0000"/>
  </w:font>
  <w:font w:name="方正书宋_GBK">
    <w:panose1 w:val="02000000000000000000"/>
    <w:charset w:val="86"/>
    <w:family w:val="auto"/>
    <w:pitch w:val="default"/>
    <w:sig w:usb0="00000001" w:usb1="0800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15DB8">
    <w:pPr>
      <w:pStyle w:val="3"/>
      <w:jc w:val="right"/>
    </w:pPr>
    <w:r>
      <w:fldChar w:fldCharType="begin"/>
    </w:r>
    <w:r>
      <w:instrText xml:space="preserve">PAGE   \* MERGEFORMAT</w:instrText>
    </w:r>
    <w:r>
      <w:fldChar w:fldCharType="separate"/>
    </w:r>
    <w:r>
      <w:rPr>
        <w:lang w:val="zh-CN"/>
      </w:rPr>
      <w:t>1</w:t>
    </w:r>
    <w:r>
      <w:fldChar w:fldCharType="end"/>
    </w:r>
  </w:p>
  <w:p w14:paraId="43473EC1">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23391F"/>
    <w:rsid w:val="04453850"/>
    <w:rsid w:val="066F5090"/>
    <w:rsid w:val="06D33870"/>
    <w:rsid w:val="06F02A1A"/>
    <w:rsid w:val="0D492854"/>
    <w:rsid w:val="17935082"/>
    <w:rsid w:val="1C133AEE"/>
    <w:rsid w:val="1E3A15EA"/>
    <w:rsid w:val="1F1C0DDF"/>
    <w:rsid w:val="20D80203"/>
    <w:rsid w:val="22322050"/>
    <w:rsid w:val="2686380C"/>
    <w:rsid w:val="28F434A6"/>
    <w:rsid w:val="2CDE06F5"/>
    <w:rsid w:val="2DCE076A"/>
    <w:rsid w:val="352D3AA4"/>
    <w:rsid w:val="36A61706"/>
    <w:rsid w:val="38934A8A"/>
    <w:rsid w:val="39D65971"/>
    <w:rsid w:val="3BA725FA"/>
    <w:rsid w:val="3BE14D68"/>
    <w:rsid w:val="3E9A4C95"/>
    <w:rsid w:val="3EAAA635"/>
    <w:rsid w:val="45EF7078"/>
    <w:rsid w:val="4DEA1F99"/>
    <w:rsid w:val="57B7551B"/>
    <w:rsid w:val="57FE9671"/>
    <w:rsid w:val="5E2D04CD"/>
    <w:rsid w:val="5E3D49CC"/>
    <w:rsid w:val="5EF7101F"/>
    <w:rsid w:val="698F62F8"/>
    <w:rsid w:val="69B76B7E"/>
    <w:rsid w:val="6AFB1859"/>
    <w:rsid w:val="6EF15B11"/>
    <w:rsid w:val="6EF51419"/>
    <w:rsid w:val="6F23391F"/>
    <w:rsid w:val="6F6FD8C0"/>
    <w:rsid w:val="727774C2"/>
    <w:rsid w:val="73E0625E"/>
    <w:rsid w:val="7C763726"/>
    <w:rsid w:val="7FD51826"/>
    <w:rsid w:val="BFF7E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楷体_GB2312" w:hAnsi="Times New Roman" w:eastAsia="楷体_GB2312" w:cs="Times New Roman"/>
      <w:b/>
      <w:sz w:val="28"/>
      <w:szCs w:val="24"/>
    </w:rPr>
  </w:style>
  <w:style w:type="paragraph" w:styleId="3">
    <w:name w:val="footer"/>
    <w:basedOn w:val="1"/>
    <w:qFormat/>
    <w:uiPriority w:val="99"/>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8">
    <w:name w:val="样式 行距: 多倍行距 1.25 字行"/>
    <w:basedOn w:val="1"/>
    <w:qFormat/>
    <w:uiPriority w:val="0"/>
    <w:pPr>
      <w:spacing w:line="300" w:lineRule="auto"/>
      <w:ind w:firstLine="420" w:firstLineChars="200"/>
    </w:pPr>
    <w:rPr>
      <w:rFonts w:ascii="Times New Roman" w:hAnsi="Times New Roman" w:eastAsia="宋体" w:cs="宋体"/>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42</Words>
  <Characters>45</Characters>
  <Lines>0</Lines>
  <Paragraphs>0</Paragraphs>
  <TotalTime>0</TotalTime>
  <ScaleCrop>false</ScaleCrop>
  <LinksUpToDate>false</LinksUpToDate>
  <CharactersWithSpaces>48</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2026-05-11T07:19:00Z</dcterms:created>
  <dc:creator>Admin</dc:creator>
  <cp:lastModifiedBy>gjlcj</cp:lastModifiedBy>
  <dcterms:modified xsi:type="dcterms:W3CDTF">2026-10-27T16:20:32Z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D0CEBA95E07C4721B5B4F94673A76247_13</vt:lpwstr>
  </property>
  <property fmtid="{D5CDD505-2E9C-101B-9397-08002B2CF9AE}" pid="4" name="KSOTemplateDocerSaveRecord">
    <vt:lpwstr>eyJoZGlkIjoiZjgxNzExMDFiNWM5ZDZiN2RkNjc5MTdiZmQ4Njg1ZWYiLCJ1c2VySWQiOiIyMTUwOTk3MDgifQ==</vt:lpwstr>
  </property>
</Properties>
</file>