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CBA94">
      <w:pPr>
        <w:pStyle w:val="37"/>
        <w:framePr w:w="10303" w:wrap="auto" w:vAnchor="page" w:hAnchor="page" w:x="1101" w:y="1111"/>
        <w:rPr>
          <w:color w:val="auto"/>
        </w:rPr>
      </w:pPr>
      <w:bookmarkStart w:id="0" w:name="OLE_LINK4"/>
      <w:r>
        <w:rPr>
          <w:rFonts w:hint="eastAsia"/>
          <w:b w:val="0"/>
          <w:bCs w:val="0"/>
          <w:spacing w:val="-20"/>
          <w:sz w:val="21"/>
          <w:szCs w:val="21"/>
          <w:lang w:val="en-US" w:eastAsia="zh-CN"/>
        </w:rPr>
        <w:t>I</w:t>
      </w:r>
      <w:r>
        <w:rPr>
          <w:rFonts w:hint="default"/>
          <w:b w:val="0"/>
          <w:bCs w:val="0"/>
          <w:spacing w:val="-20"/>
          <w:sz w:val="21"/>
          <w:szCs w:val="21"/>
        </w:rPr>
        <w:t>CS</w:t>
      </w:r>
      <w:r>
        <w:rPr>
          <w:rFonts w:hint="eastAsia" w:ascii="黑体" w:hAnsi="黑体" w:cs="黑体"/>
          <w:b w:val="0"/>
          <w:bCs w:val="0"/>
          <w:spacing w:val="-20"/>
          <w:sz w:val="21"/>
          <w:szCs w:val="21"/>
          <w:lang w:val="en-US" w:eastAsia="zh-CN"/>
        </w:rPr>
        <w:t xml:space="preserve"> </w:t>
      </w:r>
      <w:r>
        <w:rPr>
          <w:rFonts w:hint="eastAsia" w:ascii="黑体" w:hAnsi="黑体" w:cs="黑体"/>
          <w:b w:val="0"/>
          <w:bCs w:val="0"/>
          <w:spacing w:val="0"/>
          <w:sz w:val="21"/>
          <w:szCs w:val="21"/>
          <w:lang w:val="en-US" w:eastAsia="zh-CN"/>
        </w:rPr>
        <w:t xml:space="preserve"> 65.020.01</w:t>
      </w:r>
      <w:r>
        <w:rPr>
          <w:rFonts w:hint="eastAsia" w:ascii="黑体" w:hAnsi="黑体" w:cs="黑体"/>
          <w:b w:val="0"/>
          <w:bCs w:val="0"/>
          <w:szCs w:val="21"/>
        </w:rPr>
        <w:t xml:space="preserve"> </w:t>
      </w:r>
      <w:r>
        <w:rPr>
          <w:rFonts w:hint="eastAsia" w:hAnsi="黑体" w:cs="黑体"/>
          <w:b/>
          <w:bCs/>
          <w:color w:val="auto"/>
        </w:rPr>
        <w:t xml:space="preserve">  </w:t>
      </w:r>
    </w:p>
    <w:p w14:paraId="6086174E">
      <w:pPr>
        <w:pStyle w:val="37"/>
        <w:framePr w:w="10303" w:wrap="auto" w:vAnchor="page" w:hAnchor="page" w:x="1101" w:y="1111"/>
        <w:wordWrap w:val="0"/>
        <w:rPr>
          <w:rFonts w:hint="default"/>
          <w:b/>
          <w:bCs/>
          <w:color w:val="auto"/>
          <w:sz w:val="24"/>
          <w:lang w:val="en-US" w:eastAsia="zh-CN"/>
        </w:rPr>
      </w:pPr>
      <w:r>
        <w:rPr>
          <w:rFonts w:hint="eastAsia"/>
          <w:b w:val="0"/>
          <w:bCs w:val="0"/>
          <w:color w:val="auto"/>
          <w:spacing w:val="-20"/>
          <w:sz w:val="21"/>
          <w:szCs w:val="21"/>
          <w:lang w:val="en-US"/>
        </w:rPr>
        <mc:AlternateContent>
          <mc:Choice Requires="wps">
            <w:drawing>
              <wp:anchor distT="0" distB="0" distL="0" distR="0" simplePos="0" relativeHeight="251660288" behindDoc="1" locked="0" layoutInCell="1" allowOverlap="1">
                <wp:simplePos x="0" y="0"/>
                <wp:positionH relativeFrom="column">
                  <wp:posOffset>76200</wp:posOffset>
                </wp:positionH>
                <wp:positionV relativeFrom="paragraph">
                  <wp:posOffset>340995</wp:posOffset>
                </wp:positionV>
                <wp:extent cx="866775" cy="198120"/>
                <wp:effectExtent l="0" t="0" r="9525" b="11430"/>
                <wp:wrapNone/>
                <wp:docPr id="2" name="矩形 19"/>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wps:spPr>
                      <wps:bodyPr/>
                    </wps:wsp>
                  </a:graphicData>
                </a:graphic>
              </wp:anchor>
            </w:drawing>
          </mc:Choice>
          <mc:Fallback>
            <w:pict>
              <v:rect id="矩形 19" o:spid="_x0000_s1026" o:spt="1" style="position:absolute;left:0pt;margin-left:6pt;margin-top:26.85pt;height:15.6pt;width:68.25pt;z-index:-251656192;mso-width-relative:page;mso-height-relative:page;" fillcolor="#FFFFFF" filled="t" stroked="f" coordsize="21600,21600" o:gfxdata="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FuzMF1gAAAAgB&#10;AAAPAAAAAAAAAAEAIAAAACIAAABkcnMvZG93bnJldi54bWxQSwECFAAUAAAACACHTuJARctxxKsB&#10;AABTAwAADgAAAAAAAAABACAAAAAlAQAAZHJzL2Uyb0RvYy54bWxQSwUGAAAAAAYABgBZAQAAQgUA&#10;AAAA&#10;">
                <v:fill on="t" focussize="0,0"/>
                <v:stroke on="f"/>
                <v:imagedata o:title=""/>
                <o:lock v:ext="edit" aspectratio="f"/>
              </v:rect>
            </w:pict>
          </mc:Fallback>
        </mc:AlternateContent>
      </w:r>
      <w:r>
        <w:rPr>
          <w:rFonts w:hint="eastAsia"/>
          <w:b w:val="0"/>
          <w:bCs w:val="0"/>
          <w:color w:val="auto"/>
          <w:spacing w:val="-20"/>
          <w:sz w:val="21"/>
          <w:szCs w:val="21"/>
          <w:lang w:val="en-US" w:eastAsia="zh-CN"/>
        </w:rPr>
        <w:t xml:space="preserve">CCS </w:t>
      </w:r>
      <w:r>
        <w:rPr>
          <w:rFonts w:hint="eastAsia" w:ascii="黑体" w:hAnsi="黑体" w:cs="黑体"/>
          <w:b w:val="0"/>
          <w:bCs w:val="0"/>
          <w:color w:val="auto"/>
          <w:sz w:val="21"/>
          <w:szCs w:val="21"/>
          <w:lang w:val="en-US" w:eastAsia="zh-CN"/>
        </w:rPr>
        <w:t xml:space="preserve"> B 04 </w:t>
      </w:r>
    </w:p>
    <w:p w14:paraId="77E7BCA6">
      <w:pPr>
        <w:pStyle w:val="37"/>
        <w:framePr w:w="10303" w:wrap="auto" w:vAnchor="page" w:hAnchor="page" w:x="1101" w:y="1111"/>
        <w:wordWrap w:val="0"/>
        <w:rPr>
          <w:b/>
          <w:bCs/>
          <w:color w:val="auto"/>
        </w:rPr>
      </w:pPr>
      <w:r>
        <w:rPr>
          <w:b/>
          <w:bCs/>
          <w:color w:val="auto"/>
          <w:sz w:val="24"/>
        </w:rPr>
        <mc:AlternateContent>
          <mc:Choice Requires="wps">
            <w:drawing>
              <wp:anchor distT="0" distB="0" distL="0" distR="0" simplePos="0" relativeHeight="251659264" behindDoc="1" locked="0" layoutInCell="1" allowOverlap="1">
                <wp:simplePos x="0" y="0"/>
                <wp:positionH relativeFrom="column">
                  <wp:posOffset>-76200</wp:posOffset>
                </wp:positionH>
                <wp:positionV relativeFrom="paragraph">
                  <wp:posOffset>188595</wp:posOffset>
                </wp:positionV>
                <wp:extent cx="866775" cy="198120"/>
                <wp:effectExtent l="0" t="0" r="1905" b="0"/>
                <wp:wrapNone/>
                <wp:docPr id="1026" name="矩形 19"/>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wps:spPr>
                      <wps:bodyPr/>
                    </wps:wsp>
                  </a:graphicData>
                </a:graphic>
              </wp:anchor>
            </w:drawing>
          </mc:Choice>
          <mc:Fallback>
            <w:pict>
              <v:rect id="矩形 19" o:spid="_x0000_s1026" o:spt="1" style="position:absolute;left:0pt;margin-left:-6pt;margin-top:14.85pt;height:15.6pt;width:68.25pt;z-index:-251657216;mso-width-relative:page;mso-height-relative:page;" fillcolor="#FFFFFF" filled="t" stroked="f" coordsize="21600,21600" o:gfxdata="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6FzHWNcA&#10;AAAJAQAADwAAAAAAAAABACAAAAAiAAAAZHJzL2Rvd25yZXYueG1sUEsBAhQAFAAAAAgAh07iQJmq&#10;CHauAQAAVgMAAA4AAAAAAAAAAQAgAAAAJgEAAGRycy9lMm9Eb2MueG1sUEsFBgAAAAAGAAYAWQEA&#10;AEYFAAAAAA==&#10;">
                <v:fill on="t" focussize="0,0"/>
                <v:stroke on="f"/>
                <v:imagedata o:title=""/>
                <o:lock v:ext="edit" aspectratio="f"/>
              </v:rect>
            </w:pict>
          </mc:Fallback>
        </mc:AlternateContent>
      </w:r>
    </w:p>
    <w:tbl>
      <w:tblPr>
        <w:tblStyle w:val="2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4"/>
      </w:tblGrid>
      <w:tr w14:paraId="59408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tbl>
            <w:tblPr>
              <w:tblStyle w:val="2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4"/>
            </w:tblGrid>
            <w:tr w14:paraId="333A8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p w14:paraId="118EBABF">
                  <w:pPr>
                    <w:pStyle w:val="37"/>
                    <w:framePr w:w="10303" w:wrap="auto" w:vAnchor="page" w:hAnchor="page" w:x="1101" w:y="1111"/>
                    <w:jc w:val="right"/>
                    <w:rPr>
                      <w:color w:val="auto"/>
                      <w:sz w:val="112"/>
                      <w:szCs w:val="112"/>
                    </w:rPr>
                  </w:pPr>
                  <w:r>
                    <w:rPr>
                      <w:rFonts w:ascii="黑体"/>
                      <w:color w:val="auto"/>
                      <w:sz w:val="112"/>
                      <w:szCs w:val="112"/>
                    </w:rPr>
                    <mc:AlternateContent>
                      <mc:Choice Requires="wps">
                        <w:drawing>
                          <wp:anchor distT="0" distB="0" distL="0" distR="0" simplePos="0" relativeHeight="251659264" behindDoc="1" locked="0" layoutInCell="1" allowOverlap="1">
                            <wp:simplePos x="0" y="0"/>
                            <wp:positionH relativeFrom="column">
                              <wp:posOffset>-66675</wp:posOffset>
                            </wp:positionH>
                            <wp:positionV relativeFrom="paragraph">
                              <wp:posOffset>0</wp:posOffset>
                            </wp:positionV>
                            <wp:extent cx="866775" cy="198120"/>
                            <wp:effectExtent l="0" t="0" r="1905" b="0"/>
                            <wp:wrapNone/>
                            <wp:docPr id="1027" name="矩形 18"/>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wps:spPr>
                                  <wps:bodyPr/>
                                </wps:wsp>
                              </a:graphicData>
                            </a:graphic>
                          </wp:anchor>
                        </w:drawing>
                      </mc:Choice>
                      <mc:Fallback>
                        <w:pict>
                          <v:rect id="矩形 18" o:spid="_x0000_s1026" o:spt="1" style="position:absolute;left:0pt;margin-left:-5.25pt;margin-top:0pt;height:15.6pt;width:68.25pt;z-index:-251657216;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yK4v7NUAAAAH&#10;AQAADwAAAAAAAAABACAAAAAiAAAAZHJzL2Rvd25yZXYueG1sUEsBAhQAFAAAAAgAh07iQFCZdlGt&#10;AQAAVgMAAA4AAAAAAAAAAQAgAAAAJAEAAGRycy9lMm9Eb2MueG1sUEsFBgAAAAAGAAYAWQEAAEMF&#10;AAAAAA==&#10;">
                            <v:fill on="t" focussize="0,0"/>
                            <v:stroke on="f"/>
                            <v:imagedata o:title=""/>
                            <o:lock v:ext="edit" aspectratio="f"/>
                          </v:rect>
                        </w:pict>
                      </mc:Fallback>
                    </mc:AlternateContent>
                  </w:r>
                  <w:r>
                    <w:rPr>
                      <w:b/>
                      <w:bCs/>
                      <w:color w:val="auto"/>
                      <w:sz w:val="112"/>
                      <w:szCs w:val="112"/>
                    </w:rPr>
                    <w:t>CSF</w:t>
                  </w:r>
                </w:p>
              </w:tc>
            </w:tr>
          </w:tbl>
          <w:p w14:paraId="13D52C2F">
            <w:pPr>
              <w:pStyle w:val="37"/>
              <w:framePr w:w="10303" w:wrap="auto" w:vAnchor="page" w:hAnchor="page" w:x="1101" w:y="1111"/>
              <w:rPr>
                <w:color w:val="auto"/>
              </w:rPr>
            </w:pPr>
          </w:p>
        </w:tc>
      </w:tr>
    </w:tbl>
    <w:p w14:paraId="06B0523A">
      <w:pPr>
        <w:pStyle w:val="49"/>
        <w:framePr w:w="7714" w:wrap="around" w:x="2311" w:y="3244"/>
        <w:rPr>
          <w:bCs/>
          <w:color w:val="auto"/>
          <w:sz w:val="84"/>
          <w:szCs w:val="84"/>
        </w:rPr>
      </w:pPr>
      <w:r>
        <w:rPr>
          <w:rFonts w:hint="eastAsia" w:hAnsi="黑体" w:cs="黑体"/>
          <w:bCs/>
          <w:color w:val="auto"/>
          <w:sz w:val="84"/>
          <w:szCs w:val="84"/>
        </w:rPr>
        <w:t>团体标准</w:t>
      </w:r>
    </w:p>
    <w:p w14:paraId="7D32E866">
      <w:pPr>
        <w:framePr w:w="9639" w:h="4897" w:hRule="exact" w:wrap="around" w:vAnchor="page" w:hAnchor="page" w:x="1241" w:y="6371" w:anchorLock="1"/>
        <w:jc w:val="center"/>
        <w:rPr>
          <w:rFonts w:ascii="黑体" w:hAnsi="黑体" w:eastAsia="黑体" w:cs="Times New Roman"/>
          <w:color w:val="auto"/>
          <w:sz w:val="52"/>
          <w:szCs w:val="52"/>
        </w:rPr>
      </w:pPr>
    </w:p>
    <w:p w14:paraId="689E62EB">
      <w:pPr>
        <w:framePr w:w="9639" w:h="4897" w:hRule="exact" w:wrap="around" w:vAnchor="page" w:hAnchor="page" w:x="1241" w:y="6371" w:anchorLock="1"/>
        <w:spacing w:line="600" w:lineRule="auto"/>
        <w:jc w:val="center"/>
        <w:rPr>
          <w:rFonts w:hint="default" w:ascii="黑体" w:hAnsi="黑体" w:eastAsia="黑体"/>
          <w:color w:val="auto"/>
          <w:sz w:val="52"/>
          <w:szCs w:val="52"/>
          <w:lang w:val="en-US" w:eastAsia="zh-CN"/>
        </w:rPr>
      </w:pPr>
      <w:r>
        <w:rPr>
          <w:rFonts w:hint="eastAsia" w:ascii="黑体" w:hAnsi="黑体" w:eastAsia="黑体"/>
          <w:color w:val="auto"/>
          <w:sz w:val="52"/>
          <w:szCs w:val="52"/>
        </w:rPr>
        <w:t>林下经济</w:t>
      </w:r>
      <w:r>
        <w:rPr>
          <w:rFonts w:hint="eastAsia" w:ascii="黑体" w:hAnsi="黑体" w:eastAsia="黑体"/>
          <w:color w:val="auto"/>
          <w:sz w:val="52"/>
          <w:szCs w:val="52"/>
          <w:lang w:val="en-US" w:eastAsia="zh-CN"/>
        </w:rPr>
        <w:t>产品目录</w:t>
      </w:r>
    </w:p>
    <w:p w14:paraId="3976F4A5">
      <w:pPr>
        <w:framePr w:w="9639" w:h="4897" w:hRule="exact" w:wrap="around" w:vAnchor="page" w:hAnchor="page" w:x="1241" w:y="6371" w:anchorLock="1"/>
        <w:spacing w:line="600" w:lineRule="auto"/>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lang w:val="en-US" w:eastAsia="zh-CN"/>
        </w:rPr>
        <w:t xml:space="preserve"> Catalogue of non-timber forest-based e</w:t>
      </w:r>
      <w:r>
        <w:rPr>
          <w:rFonts w:hint="default" w:ascii="Times New Roman" w:hAnsi="Times New Roman" w:eastAsia="黑体" w:cs="Times New Roman"/>
          <w:color w:val="auto"/>
          <w:sz w:val="28"/>
          <w:szCs w:val="28"/>
          <w:highlight w:val="none"/>
        </w:rPr>
        <w:t xml:space="preserve">conomy </w:t>
      </w:r>
      <w:r>
        <w:rPr>
          <w:rFonts w:hint="default" w:ascii="Times New Roman" w:hAnsi="Times New Roman" w:eastAsia="黑体" w:cs="Times New Roman"/>
          <w:color w:val="auto"/>
          <w:sz w:val="28"/>
          <w:szCs w:val="28"/>
          <w:highlight w:val="none"/>
          <w:lang w:val="en-US"/>
        </w:rPr>
        <w:t>p</w:t>
      </w:r>
      <w:r>
        <w:rPr>
          <w:rFonts w:hint="default" w:ascii="Times New Roman" w:hAnsi="Times New Roman" w:eastAsia="黑体" w:cs="Times New Roman"/>
          <w:color w:val="auto"/>
          <w:sz w:val="28"/>
          <w:szCs w:val="28"/>
          <w:highlight w:val="none"/>
        </w:rPr>
        <w:t>roducts</w:t>
      </w:r>
    </w:p>
    <w:p w14:paraId="3CEBE01A">
      <w:pPr>
        <w:framePr w:w="9639" w:h="4897" w:hRule="exact" w:wrap="around" w:vAnchor="page" w:hAnchor="page" w:x="1241" w:y="6371" w:anchorLock="1"/>
        <w:spacing w:line="600" w:lineRule="auto"/>
        <w:jc w:val="center"/>
        <w:rPr>
          <w:rFonts w:hint="default" w:ascii="Times New Roman" w:hAnsi="Times New Roman" w:eastAsia="黑体" w:cs="Times New Roman"/>
          <w:color w:val="auto"/>
          <w:sz w:val="28"/>
          <w:szCs w:val="28"/>
          <w:highlight w:val="none"/>
        </w:rPr>
      </w:pPr>
      <w:r>
        <w:rPr>
          <w:rFonts w:hint="eastAsia"/>
          <w:color w:val="000000"/>
          <w:sz w:val="32"/>
          <w:szCs w:val="32"/>
          <w:lang w:eastAsia="zh-CN"/>
        </w:rPr>
        <w:t>（报批稿）</w:t>
      </w:r>
    </w:p>
    <w:p w14:paraId="7DCD138E">
      <w:pPr>
        <w:framePr w:w="9639" w:h="4897" w:hRule="exact" w:wrap="around" w:vAnchor="page" w:hAnchor="page" w:x="1241" w:y="6371" w:anchorLock="1"/>
        <w:jc w:val="center"/>
        <w:rPr>
          <w:rFonts w:hint="eastAsia" w:eastAsia="宋体"/>
          <w:color w:val="auto"/>
          <w:sz w:val="32"/>
          <w:szCs w:val="32"/>
          <w:lang w:eastAsia="zh-CN"/>
        </w:rPr>
      </w:pPr>
    </w:p>
    <w:p w14:paraId="7E9B11F3">
      <w:pPr>
        <w:rPr>
          <w:color w:val="auto"/>
          <w:szCs w:val="20"/>
        </w:rPr>
      </w:pPr>
    </w:p>
    <w:tbl>
      <w:tblPr>
        <w:tblStyle w:val="2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6"/>
      </w:tblGrid>
      <w:tr w14:paraId="5CF5C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14:paraId="5880368C">
            <w:pPr>
              <w:pStyle w:val="50"/>
              <w:framePr w:wrap="around" w:x="1601" w:y="4546"/>
              <w:ind w:left="420"/>
              <w:rPr>
                <w:rFonts w:hAnsi="黑体" w:cs="黑体"/>
                <w:bCs/>
                <w:color w:val="auto"/>
              </w:rPr>
            </w:pPr>
            <w:bookmarkStart w:id="1" w:name="DT"/>
            <w:r>
              <w:rPr>
                <w:rFonts w:hAnsi="黑体" w:cs="黑体"/>
                <w:bCs/>
                <w:color w:val="auto"/>
              </w:rPr>
              <mc:AlternateContent>
                <mc:Choice Requires="wps">
                  <w:drawing>
                    <wp:anchor distT="0" distB="0" distL="0" distR="0" simplePos="0" relativeHeight="251659264" behindDoc="0" locked="0" layoutInCell="1" allowOverlap="1">
                      <wp:simplePos x="0" y="0"/>
                      <wp:positionH relativeFrom="column">
                        <wp:posOffset>-172085</wp:posOffset>
                      </wp:positionH>
                      <wp:positionV relativeFrom="paragraph">
                        <wp:posOffset>519430</wp:posOffset>
                      </wp:positionV>
                      <wp:extent cx="6120130" cy="0"/>
                      <wp:effectExtent l="0" t="6350" r="0" b="6350"/>
                      <wp:wrapNone/>
                      <wp:docPr id="1028" name="直接连接符 4"/>
                      <wp:cNvGraphicFramePr/>
                      <a:graphic xmlns:a="http://schemas.openxmlformats.org/drawingml/2006/main">
                        <a:graphicData uri="http://schemas.microsoft.com/office/word/2010/wordprocessingShape">
                          <wps:wsp>
                            <wps:cNvCnPr/>
                            <wps:spPr>
                              <a:xfrm>
                                <a:off x="0" y="0"/>
                                <a:ext cx="6120130" cy="0"/>
                              </a:xfrm>
                              <a:prstGeom prst="line">
                                <a:avLst/>
                              </a:prstGeom>
                              <a:ln w="12700" cap="flat" cmpd="sng">
                                <a:solidFill>
                                  <a:srgbClr val="000000"/>
                                </a:solidFill>
                                <a:prstDash val="solid"/>
                                <a:round/>
                              </a:ln>
                            </wps:spPr>
                            <wps:bodyPr/>
                          </wps:wsp>
                        </a:graphicData>
                      </a:graphic>
                    </wp:anchor>
                  </w:drawing>
                </mc:Choice>
                <mc:Fallback>
                  <w:pict>
                    <v:line id="直接连接符 4" o:spid="_x0000_s1026" o:spt="20" style="position:absolute;left:0pt;margin-left:-13.55pt;margin-top:40.9pt;height:0pt;width:481.9pt;z-index:251659264;mso-width-relative:page;mso-height-relative:page;" filled="f" stroked="t" coordsize="21600,21600" o:gfxdata="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g1qDo9gAAAAJAQAADwAAAAAAAAABACAAAAAi&#10;AAAAZHJzL2Rvd25yZXYueG1sUEsBAhQAFAAAAAgAh07iQDqxeiTRAQAAkgMAAA4AAAAAAAAAAQAg&#10;AAAAJwEAAGRycy9lMm9Eb2MueG1sUEsFBgAAAAAGAAYAWQEAAGoFAAAAAA==&#10;">
                      <v:fill on="f" focussize="0,0"/>
                      <v:stroke weight="1pt" color="#000000" joinstyle="round"/>
                      <v:imagedata o:title=""/>
                      <o:lock v:ext="edit" aspectratio="f"/>
                    </v:line>
                  </w:pict>
                </mc:Fallback>
              </mc:AlternateContent>
            </w:r>
            <w:r>
              <w:rPr>
                <w:rFonts w:hAnsi="黑体" w:cs="黑体"/>
                <w:bCs/>
                <w:color w:val="auto"/>
              </w:rPr>
              <w:t>T/CSF</w:t>
            </w:r>
            <w:r>
              <w:rPr>
                <w:rFonts w:hAnsi="黑体" w:cs="黑体"/>
                <w:bCs/>
                <w:color w:val="auto"/>
              </w:rPr>
              <mc:AlternateContent>
                <mc:Choice Requires="wps">
                  <w:drawing>
                    <wp:anchor distT="0" distB="0" distL="0" distR="0" simplePos="0" relativeHeight="251659264" behindDoc="1" locked="0" layoutInCell="1" allowOverlap="1">
                      <wp:simplePos x="0" y="0"/>
                      <wp:positionH relativeFrom="column">
                        <wp:posOffset>4734560</wp:posOffset>
                      </wp:positionH>
                      <wp:positionV relativeFrom="paragraph">
                        <wp:posOffset>34290</wp:posOffset>
                      </wp:positionV>
                      <wp:extent cx="1143000" cy="228600"/>
                      <wp:effectExtent l="0" t="0" r="0" b="0"/>
                      <wp:wrapNone/>
                      <wp:docPr id="1029" name="矩形 3"/>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wps:spPr>
                            <wps:bodyPr/>
                          </wps:wsp>
                        </a:graphicData>
                      </a:graphic>
                    </wp:anchor>
                  </w:drawing>
                </mc:Choice>
                <mc:Fallback>
                  <w:pict>
                    <v:rect id="矩形 3" o:spid="_x0000_s1026" o:spt="1" style="position:absolute;left:0pt;margin-left:372.8pt;margin-top:2.7pt;height:18pt;width:90pt;z-index:-251657216;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B5g8svWAAAACAEA&#10;AA8AAAAAAAAAAQAgAAAAIgAAAGRycy9kb3ducmV2LnhtbFBLAQIUABQAAAAIAIdO4kB5lrIlqgEA&#10;AFYDAAAOAAAAAAAAAAEAIAAAACUBAABkcnMvZTJvRG9jLnhtbFBLBQYAAAAABgAGAFkBAABBBQAA&#10;AAA=&#10;">
                      <v:fill on="t" focussize="0,0"/>
                      <v:stroke on="f"/>
                      <v:imagedata o:title=""/>
                      <o:lock v:ext="edit" aspectratio="f"/>
                    </v:rect>
                  </w:pict>
                </mc:Fallback>
              </mc:AlternateContent>
            </w:r>
            <w:bookmarkEnd w:id="1"/>
            <w:r>
              <w:rPr>
                <w:rFonts w:hint="eastAsia" w:hAnsi="黑体" w:cs="黑体"/>
                <w:bCs/>
                <w:color w:val="auto"/>
              </w:rPr>
              <w:t xml:space="preserve"> </w:t>
            </w:r>
            <w:r>
              <w:rPr>
                <w:rFonts w:hAnsi="黑体" w:cs="黑体"/>
                <w:bCs/>
                <w:color w:val="auto"/>
              </w:rPr>
              <w:t>×××</w:t>
            </w:r>
            <w:r>
              <w:rPr>
                <w:rFonts w:hint="eastAsia" w:hAnsi="黑体" w:cs="黑体"/>
                <w:bCs/>
                <w:color w:val="auto"/>
              </w:rPr>
              <w:t>—</w:t>
            </w:r>
            <w:r>
              <w:rPr>
                <w:rFonts w:hAnsi="黑体" w:cs="黑体"/>
                <w:bCs/>
                <w:color w:val="auto"/>
              </w:rPr>
              <w:t>××××</w:t>
            </w:r>
          </w:p>
        </w:tc>
      </w:tr>
    </w:tbl>
    <w:p w14:paraId="379669E2">
      <w:pPr>
        <w:rPr>
          <w:color w:val="auto"/>
        </w:rPr>
      </w:pPr>
    </w:p>
    <w:p w14:paraId="0E2506B7">
      <w:pPr>
        <w:rPr>
          <w:color w:val="auto"/>
        </w:rPr>
      </w:pPr>
    </w:p>
    <w:p w14:paraId="48B33742">
      <w:pPr>
        <w:rPr>
          <w:color w:val="auto"/>
        </w:rPr>
      </w:pPr>
      <w:r>
        <w:rPr>
          <w:color w:val="auto"/>
        </w:rPr>
        <mc:AlternateContent>
          <mc:Choice Requires="wps">
            <w:drawing>
              <wp:anchor distT="0" distB="0" distL="0" distR="0" simplePos="0" relativeHeight="251659264" behindDoc="0" locked="0" layoutInCell="1" allowOverlap="1">
                <wp:simplePos x="0" y="0"/>
                <wp:positionH relativeFrom="column">
                  <wp:posOffset>1548130</wp:posOffset>
                </wp:positionH>
                <wp:positionV relativeFrom="paragraph">
                  <wp:posOffset>7267575</wp:posOffset>
                </wp:positionV>
                <wp:extent cx="1983740" cy="446405"/>
                <wp:effectExtent l="0" t="0" r="12700" b="10795"/>
                <wp:wrapNone/>
                <wp:docPr id="1030" name="文本框 23"/>
                <wp:cNvGraphicFramePr/>
                <a:graphic xmlns:a="http://schemas.openxmlformats.org/drawingml/2006/main">
                  <a:graphicData uri="http://schemas.microsoft.com/office/word/2010/wordprocessingShape">
                    <wps:wsp>
                      <wps:cNvSpPr/>
                      <wps:spPr>
                        <a:xfrm>
                          <a:off x="0" y="0"/>
                          <a:ext cx="1983740" cy="446405"/>
                        </a:xfrm>
                        <a:prstGeom prst="rect">
                          <a:avLst/>
                        </a:prstGeom>
                        <a:solidFill>
                          <a:srgbClr val="FFFFFF"/>
                        </a:solidFill>
                        <a:ln>
                          <a:noFill/>
                        </a:ln>
                      </wps:spPr>
                      <wps:txbx>
                        <w:txbxContent>
                          <w:p w14:paraId="40B0BA99">
                            <w:pPr>
                              <w:rPr>
                                <w:rFonts w:ascii="黑体" w:hAnsi="黑体" w:eastAsia="黑体"/>
                                <w:sz w:val="28"/>
                              </w:rPr>
                            </w:pPr>
                            <w:r>
                              <w:rPr>
                                <w:rFonts w:hint="eastAsia" w:ascii="黑体" w:hAnsi="黑体" w:eastAsia="黑体"/>
                                <w:sz w:val="28"/>
                              </w:rPr>
                              <w:t>2018—xx-xx 发布</w:t>
                            </w:r>
                          </w:p>
                        </w:txbxContent>
                      </wps:txbx>
                      <wps:bodyPr vert="horz" wrap="square" lIns="91440" tIns="45720" rIns="91440" bIns="45720" anchor="t" upright="1">
                        <a:noAutofit/>
                      </wps:bodyPr>
                    </wps:wsp>
                  </a:graphicData>
                </a:graphic>
              </wp:anchor>
            </w:drawing>
          </mc:Choice>
          <mc:Fallback>
            <w:pict>
              <v:rect id="文本框 23" o:spid="_x0000_s1026" o:spt="1" style="position:absolute;left:0pt;margin-left:121.9pt;margin-top:572.25pt;height:35.15pt;width:156.2pt;z-index:251659264;mso-width-relative:page;mso-height-relative:page;" fillcolor="#FFFFFF" filled="t" stroked="f" coordsize="21600,21600" o:gfxdata="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6lzwC2gAAAA0BAAAPAAAAAAAAAAEAIAAAACIAAABkcnMvZG93bnJldi54&#10;bWxQSwECFAAUAAAACACHTuJAGh79wfgBAADkAwAADgAAAAAAAAABACAAAAApAQAAZHJzL2Uyb0Rv&#10;Yy54bWxQSwUGAAAAAAYABgBZAQAAkwUAAAAA&#10;">
                <v:fill on="t" focussize="0,0"/>
                <v:stroke on="f"/>
                <v:imagedata o:title=""/>
                <o:lock v:ext="edit" aspectratio="f"/>
                <v:textbox>
                  <w:txbxContent>
                    <w:p w14:paraId="40B0BA99">
                      <w:pPr>
                        <w:rPr>
                          <w:rFonts w:ascii="黑体" w:hAnsi="黑体" w:eastAsia="黑体"/>
                          <w:sz w:val="28"/>
                        </w:rPr>
                      </w:pPr>
                      <w:r>
                        <w:rPr>
                          <w:rFonts w:hint="eastAsia" w:ascii="黑体" w:hAnsi="黑体" w:eastAsia="黑体"/>
                          <w:sz w:val="28"/>
                        </w:rPr>
                        <w:t>2018—xx-xx 发布</w:t>
                      </w:r>
                    </w:p>
                  </w:txbxContent>
                </v:textbox>
              </v:rect>
            </w:pict>
          </mc:Fallback>
        </mc:AlternateContent>
      </w:r>
    </w:p>
    <w:p w14:paraId="20E1D3F2">
      <w:pPr>
        <w:rPr>
          <w:color w:val="auto"/>
        </w:rPr>
      </w:pPr>
      <w:r>
        <w:rPr>
          <w:color w:val="auto"/>
        </w:rPr>
        <mc:AlternateContent>
          <mc:Choice Requires="wps">
            <w:drawing>
              <wp:anchor distT="0" distB="0" distL="0" distR="0" simplePos="0" relativeHeight="251659264" behindDoc="0" locked="0" layoutInCell="1" allowOverlap="1">
                <wp:simplePos x="0" y="0"/>
                <wp:positionH relativeFrom="column">
                  <wp:posOffset>-42545</wp:posOffset>
                </wp:positionH>
                <wp:positionV relativeFrom="paragraph">
                  <wp:posOffset>4705985</wp:posOffset>
                </wp:positionV>
                <wp:extent cx="6120130" cy="0"/>
                <wp:effectExtent l="0" t="6350" r="0" b="6350"/>
                <wp:wrapNone/>
                <wp:docPr id="1031" name="直接箭头连接符 14"/>
                <wp:cNvGraphicFramePr/>
                <a:graphic xmlns:a="http://schemas.openxmlformats.org/drawingml/2006/main">
                  <a:graphicData uri="http://schemas.microsoft.com/office/word/2010/wordprocessingShape">
                    <wps:wsp>
                      <wps:cNvCnPr/>
                      <wps:spPr>
                        <a:xfrm>
                          <a:off x="0" y="0"/>
                          <a:ext cx="6120130" cy="0"/>
                        </a:xfrm>
                        <a:prstGeom prst="straightConnector1">
                          <a:avLst/>
                        </a:prstGeom>
                        <a:ln w="12700" cap="flat" cmpd="sng">
                          <a:solidFill>
                            <a:srgbClr val="000000"/>
                          </a:solidFill>
                          <a:prstDash val="solid"/>
                          <a:round/>
                        </a:ln>
                      </wps:spPr>
                      <wps:bodyPr/>
                    </wps:wsp>
                  </a:graphicData>
                </a:graphic>
              </wp:anchor>
            </w:drawing>
          </mc:Choice>
          <mc:Fallback>
            <w:pict>
              <v:shape id="直接箭头连接符 14" o:spid="_x0000_s1026" o:spt="32" type="#_x0000_t32" style="position:absolute;left:0pt;margin-left:-3.35pt;margin-top:370.55pt;height:0pt;width:481.9pt;z-index:251659264;mso-width-relative:page;mso-height-relative:page;" filled="f" stroked="t" coordsize="21600,21600" o:gfxdata="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0qUafUAAAACgEAAA8A&#10;AAAAAAAAAQAgAAAAIgAAAGRycy9kb3ducmV2LnhtbFBLAQIUABQAAAAIAIdO4kA+GbiM4gEAAKcD&#10;AAAOAAAAAAAAAAEAIAAAACMBAABkcnMvZTJvRG9jLnhtbFBLBQYAAAAABgAGAFkBAAB3BQAAAAA=&#10;">
                <v:fill on="f" focussize="0,0"/>
                <v:stroke weight="1pt" color="#000000" joinstyle="round"/>
                <v:imagedata o:title=""/>
                <o:lock v:ext="edit" aspectratio="f"/>
              </v:shape>
            </w:pict>
          </mc:Fallback>
        </mc:AlternateContent>
      </w:r>
    </w:p>
    <w:p w14:paraId="7994DDE8">
      <w:pPr>
        <w:rPr>
          <w:color w:val="auto"/>
        </w:rPr>
      </w:pPr>
    </w:p>
    <w:p w14:paraId="1F58EEEB">
      <w:pPr>
        <w:rPr>
          <w:color w:val="auto"/>
        </w:rPr>
      </w:pPr>
      <w:r>
        <w:rPr>
          <w:color w:val="auto"/>
        </w:rPr>
        <mc:AlternateContent>
          <mc:Choice Requires="wps">
            <w:drawing>
              <wp:anchor distT="0" distB="0" distL="0" distR="0" simplePos="0" relativeHeight="251659264" behindDoc="0" locked="0" layoutInCell="1" allowOverlap="1">
                <wp:simplePos x="0" y="0"/>
                <wp:positionH relativeFrom="column">
                  <wp:posOffset>4410075</wp:posOffset>
                </wp:positionH>
                <wp:positionV relativeFrom="paragraph">
                  <wp:posOffset>60325</wp:posOffset>
                </wp:positionV>
                <wp:extent cx="1840230" cy="401955"/>
                <wp:effectExtent l="0" t="0" r="3810" b="9525"/>
                <wp:wrapNone/>
                <wp:docPr id="1032" name="文本框 25"/>
                <wp:cNvGraphicFramePr/>
                <a:graphic xmlns:a="http://schemas.openxmlformats.org/drawingml/2006/main">
                  <a:graphicData uri="http://schemas.microsoft.com/office/word/2010/wordprocessingShape">
                    <wps:wsp>
                      <wps:cNvSpPr/>
                      <wps:spPr>
                        <a:xfrm>
                          <a:off x="0" y="0"/>
                          <a:ext cx="1840230" cy="401955"/>
                        </a:xfrm>
                        <a:prstGeom prst="rect">
                          <a:avLst/>
                        </a:prstGeom>
                        <a:solidFill>
                          <a:srgbClr val="FFFFFF"/>
                        </a:solidFill>
                        <a:ln>
                          <a:noFill/>
                        </a:ln>
                      </wps:spPr>
                      <wps:txbx>
                        <w:txbxContent>
                          <w:p w14:paraId="7C7B7648">
                            <w:pPr>
                              <w:rPr>
                                <w:rFonts w:ascii="黑体" w:hAnsi="黑体" w:eastAsia="黑体"/>
                                <w:b/>
                                <w:sz w:val="28"/>
                              </w:rPr>
                            </w:pPr>
                            <w:r>
                              <w:rPr>
                                <w:rFonts w:ascii="黑体" w:hAnsi="黑体" w:eastAsia="黑体" w:cs="Arial"/>
                                <w:sz w:val="28"/>
                              </w:rPr>
                              <w:t>xxxx -xx-xx</w:t>
                            </w:r>
                            <w:r>
                              <w:rPr>
                                <w:rFonts w:hint="eastAsia" w:ascii="黑体" w:hAnsi="黑体" w:eastAsia="黑体"/>
                                <w:sz w:val="28"/>
                              </w:rPr>
                              <w:t xml:space="preserve"> 实施</w:t>
                            </w:r>
                          </w:p>
                          <w:p w14:paraId="2BC367F5"/>
                        </w:txbxContent>
                      </wps:txbx>
                      <wps:bodyPr upright="1"/>
                    </wps:wsp>
                  </a:graphicData>
                </a:graphic>
              </wp:anchor>
            </w:drawing>
          </mc:Choice>
          <mc:Fallback>
            <w:pict>
              <v:rect id="文本框 25" o:spid="_x0000_s1026" o:spt="1" style="position:absolute;left:0pt;margin-left:347.25pt;margin-top:4.75pt;height:31.65pt;width:144.9pt;z-index:251659264;mso-width-relative:page;mso-height-relative:page;" fillcolor="#FFFFFF" filled="t" stroked="f" coordsize="21600,21600" o:gfxdata="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TAMx+1wAAAAgBAAAPAAAAAAAAAAEAIAAAACIAAABkcnMvZG93bnJldi54bWxQ&#10;SwECFAAUAAAACACHTuJAjuNNzL8BAABxAwAADgAAAAAAAAABACAAAAAmAQAAZHJzL2Uyb0RvYy54&#10;bWxQSwUGAAAAAAYABgBZAQAAVwUAAAAA&#10;">
                <v:fill on="t" focussize="0,0"/>
                <v:stroke on="f"/>
                <v:imagedata o:title=""/>
                <o:lock v:ext="edit" aspectratio="f"/>
                <v:textbox>
                  <w:txbxContent>
                    <w:p w14:paraId="7C7B7648">
                      <w:pPr>
                        <w:rPr>
                          <w:rFonts w:ascii="黑体" w:hAnsi="黑体" w:eastAsia="黑体"/>
                          <w:b/>
                          <w:sz w:val="28"/>
                        </w:rPr>
                      </w:pPr>
                      <w:r>
                        <w:rPr>
                          <w:rFonts w:ascii="黑体" w:hAnsi="黑体" w:eastAsia="黑体" w:cs="Arial"/>
                          <w:sz w:val="28"/>
                        </w:rPr>
                        <w:t>xxxx -xx-xx</w:t>
                      </w:r>
                      <w:r>
                        <w:rPr>
                          <w:rFonts w:hint="eastAsia" w:ascii="黑体" w:hAnsi="黑体" w:eastAsia="黑体"/>
                          <w:sz w:val="28"/>
                        </w:rPr>
                        <w:t xml:space="preserve"> 实施</w:t>
                      </w:r>
                    </w:p>
                    <w:p w14:paraId="2BC367F5"/>
                  </w:txbxContent>
                </v:textbox>
              </v:rect>
            </w:pict>
          </mc:Fallback>
        </mc:AlternateContent>
      </w:r>
      <w:r>
        <w:rPr>
          <w:color w:val="auto"/>
        </w:rPr>
        <mc:AlternateContent>
          <mc:Choice Requires="wps">
            <w:drawing>
              <wp:anchor distT="0" distB="0" distL="0" distR="0" simplePos="0" relativeHeight="251659264" behindDoc="0" locked="0" layoutInCell="1" allowOverlap="1">
                <wp:simplePos x="0" y="0"/>
                <wp:positionH relativeFrom="column">
                  <wp:posOffset>-26035</wp:posOffset>
                </wp:positionH>
                <wp:positionV relativeFrom="paragraph">
                  <wp:posOffset>60325</wp:posOffset>
                </wp:positionV>
                <wp:extent cx="1840230" cy="492125"/>
                <wp:effectExtent l="0" t="0" r="3810" b="10795"/>
                <wp:wrapNone/>
                <wp:docPr id="1033" name="文本框 24"/>
                <wp:cNvGraphicFramePr/>
                <a:graphic xmlns:a="http://schemas.openxmlformats.org/drawingml/2006/main">
                  <a:graphicData uri="http://schemas.microsoft.com/office/word/2010/wordprocessingShape">
                    <wps:wsp>
                      <wps:cNvSpPr/>
                      <wps:spPr>
                        <a:xfrm>
                          <a:off x="0" y="0"/>
                          <a:ext cx="1840230" cy="492124"/>
                        </a:xfrm>
                        <a:prstGeom prst="rect">
                          <a:avLst/>
                        </a:prstGeom>
                        <a:solidFill>
                          <a:srgbClr val="FFFFFF"/>
                        </a:solidFill>
                        <a:ln>
                          <a:noFill/>
                        </a:ln>
                      </wps:spPr>
                      <wps:txbx>
                        <w:txbxContent>
                          <w:p w14:paraId="19F37BBE">
                            <w:pPr>
                              <w:rPr>
                                <w:rFonts w:ascii="黑体" w:hAnsi="黑体" w:eastAsia="黑体"/>
                                <w:sz w:val="28"/>
                              </w:rPr>
                            </w:pPr>
                            <w:r>
                              <w:rPr>
                                <w:rFonts w:ascii="黑体" w:hAnsi="黑体" w:eastAsia="黑体" w:cs="Arial"/>
                                <w:sz w:val="28"/>
                              </w:rPr>
                              <w:t>xxxx -xx-xx</w:t>
                            </w:r>
                            <w:r>
                              <w:rPr>
                                <w:rFonts w:hint="eastAsia" w:ascii="黑体" w:hAnsi="黑体" w:eastAsia="黑体"/>
                                <w:sz w:val="28"/>
                              </w:rPr>
                              <w:t xml:space="preserve"> 发布</w:t>
                            </w:r>
                          </w:p>
                          <w:p w14:paraId="4CFB25D4"/>
                        </w:txbxContent>
                      </wps:txbx>
                      <wps:bodyPr upright="1"/>
                    </wps:wsp>
                  </a:graphicData>
                </a:graphic>
              </wp:anchor>
            </w:drawing>
          </mc:Choice>
          <mc:Fallback>
            <w:pict>
              <v:rect id="文本框 24" o:spid="_x0000_s1026" o:spt="1" style="position:absolute;left:0pt;margin-left:-2.05pt;margin-top:4.75pt;height:38.75pt;width:144.9pt;z-index:251659264;mso-width-relative:page;mso-height-relative:page;" fillcolor="#FFFFFF" filled="t" stroked="f" coordsize="21600,21600" o:gfxdata="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CUtQN9YAAAAHAQAADwAAAAAAAAABACAAAAAiAAAAZHJzL2Rvd25yZXYueG1sUEsB&#10;AhQAFAAAAAgAh07iQF0ZF8++AQAAcQMAAA4AAAAAAAAAAQAgAAAAJQEAAGRycy9lMm9Eb2MueG1s&#10;UEsFBgAAAAAGAAYAWQEAAFUFAAAAAA==&#10;">
                <v:fill on="t" focussize="0,0"/>
                <v:stroke on="f"/>
                <v:imagedata o:title=""/>
                <o:lock v:ext="edit" aspectratio="f"/>
                <v:textbox>
                  <w:txbxContent>
                    <w:p w14:paraId="19F37BBE">
                      <w:pPr>
                        <w:rPr>
                          <w:rFonts w:ascii="黑体" w:hAnsi="黑体" w:eastAsia="黑体"/>
                          <w:sz w:val="28"/>
                        </w:rPr>
                      </w:pPr>
                      <w:r>
                        <w:rPr>
                          <w:rFonts w:ascii="黑体" w:hAnsi="黑体" w:eastAsia="黑体" w:cs="Arial"/>
                          <w:sz w:val="28"/>
                        </w:rPr>
                        <w:t>xxxx -xx-xx</w:t>
                      </w:r>
                      <w:r>
                        <w:rPr>
                          <w:rFonts w:hint="eastAsia" w:ascii="黑体" w:hAnsi="黑体" w:eastAsia="黑体"/>
                          <w:sz w:val="28"/>
                        </w:rPr>
                        <w:t xml:space="preserve"> 发布</w:t>
                      </w:r>
                    </w:p>
                    <w:p w14:paraId="4CFB25D4"/>
                  </w:txbxContent>
                </v:textbox>
              </v:rect>
            </w:pict>
          </mc:Fallback>
        </mc:AlternateContent>
      </w:r>
    </w:p>
    <w:p w14:paraId="2667148E">
      <w:pPr>
        <w:rPr>
          <w:color w:val="auto"/>
        </w:rPr>
      </w:pPr>
    </w:p>
    <w:p w14:paraId="4141B865">
      <w:pPr>
        <w:rPr>
          <w:color w:val="auto"/>
        </w:rPr>
      </w:pPr>
    </w:p>
    <w:p w14:paraId="2A3B1F15">
      <w:pPr>
        <w:rPr>
          <w:color w:val="auto"/>
        </w:rPr>
      </w:pPr>
      <w:r>
        <w:rPr>
          <w:rFonts w:ascii="Times New Roman" w:hAnsi="Times New Roman" w:cs="Times New Roman"/>
          <w:b/>
          <w:color w:val="auto"/>
          <w:sz w:val="48"/>
          <w:szCs w:val="48"/>
        </w:rPr>
        <mc:AlternateContent>
          <mc:Choice Requires="wps">
            <w:drawing>
              <wp:anchor distT="0" distB="0" distL="0" distR="0" simplePos="0" relativeHeight="251659264" behindDoc="0" locked="0" layoutInCell="1" allowOverlap="1">
                <wp:simplePos x="0" y="0"/>
                <wp:positionH relativeFrom="column">
                  <wp:posOffset>321945</wp:posOffset>
                </wp:positionH>
                <wp:positionV relativeFrom="paragraph">
                  <wp:posOffset>33020</wp:posOffset>
                </wp:positionV>
                <wp:extent cx="5509895" cy="515620"/>
                <wp:effectExtent l="0" t="0" r="6985" b="2540"/>
                <wp:wrapNone/>
                <wp:docPr id="1034" name="文本框 28"/>
                <wp:cNvGraphicFramePr/>
                <a:graphic xmlns:a="http://schemas.openxmlformats.org/drawingml/2006/main">
                  <a:graphicData uri="http://schemas.microsoft.com/office/word/2010/wordprocessingShape">
                    <wps:wsp>
                      <wps:cNvSpPr/>
                      <wps:spPr>
                        <a:xfrm>
                          <a:off x="0" y="0"/>
                          <a:ext cx="5509895" cy="515620"/>
                        </a:xfrm>
                        <a:prstGeom prst="rect">
                          <a:avLst/>
                        </a:prstGeom>
                        <a:solidFill>
                          <a:srgbClr val="FFFFFF"/>
                        </a:solidFill>
                        <a:ln>
                          <a:noFill/>
                        </a:ln>
                      </wps:spPr>
                      <wps:txbx>
                        <w:txbxContent>
                          <w:p w14:paraId="6B5AE6E5">
                            <w:pPr>
                              <w:jc w:val="cente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txbxContent>
                      </wps:txbx>
                      <wps:bodyPr upright="1"/>
                    </wps:wsp>
                  </a:graphicData>
                </a:graphic>
              </wp:anchor>
            </w:drawing>
          </mc:Choice>
          <mc:Fallback>
            <w:pict>
              <v:rect id="文本框 28" o:spid="_x0000_s1026" o:spt="1" style="position:absolute;left:0pt;margin-left:25.35pt;margin-top:2.6pt;height:40.6pt;width:433.85pt;z-index:251659264;mso-width-relative:page;mso-height-relative:page;" fillcolor="#FFFFFF" filled="t" stroked="f" coordsize="21600,21600" o:gfxdata="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OJt3JnVAAAABwEAAA8AAAAAAAAAAQAgAAAAIgAAAGRycy9kb3ducmV2LnhtbFBL&#10;AQIUABQAAAAIAIdO4kCd/vinwAEAAHEDAAAOAAAAAAAAAAEAIAAAACQBAABkcnMvZTJvRG9jLnht&#10;bFBLBQYAAAAABgAGAFkBAABWBQAAAAA=&#10;">
                <v:fill on="t" focussize="0,0"/>
                <v:stroke on="f"/>
                <v:imagedata o:title=""/>
                <o:lock v:ext="edit" aspectratio="f"/>
                <v:textbox>
                  <w:txbxContent>
                    <w:p w14:paraId="6B5AE6E5">
                      <w:pPr>
                        <w:jc w:val="cente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txbxContent>
                </v:textbox>
              </v:rect>
            </w:pict>
          </mc:Fallback>
        </mc:AlternateContent>
      </w:r>
    </w:p>
    <w:p w14:paraId="556E4A8B">
      <w:pPr>
        <w:rPr>
          <w:color w:val="auto"/>
        </w:rPr>
      </w:pPr>
      <w:r>
        <w:rPr>
          <w:color w:val="auto"/>
        </w:rPr>
        <mc:AlternateContent>
          <mc:Choice Requires="wps">
            <w:drawing>
              <wp:anchor distT="0" distB="0" distL="0" distR="0" simplePos="0" relativeHeight="251659264" behindDoc="0" locked="0" layoutInCell="1" allowOverlap="1">
                <wp:simplePos x="0" y="0"/>
                <wp:positionH relativeFrom="column">
                  <wp:posOffset>-26035</wp:posOffset>
                </wp:positionH>
                <wp:positionV relativeFrom="paragraph">
                  <wp:posOffset>-274955</wp:posOffset>
                </wp:positionV>
                <wp:extent cx="6120130" cy="0"/>
                <wp:effectExtent l="0" t="6350" r="0" b="6350"/>
                <wp:wrapNone/>
                <wp:docPr id="1035" name="自选图形 9"/>
                <wp:cNvGraphicFramePr/>
                <a:graphic xmlns:a="http://schemas.openxmlformats.org/drawingml/2006/main">
                  <a:graphicData uri="http://schemas.microsoft.com/office/word/2010/wordprocessingShape">
                    <wps:wsp>
                      <wps:cNvCnPr/>
                      <wps:spPr>
                        <a:xfrm>
                          <a:off x="0" y="0"/>
                          <a:ext cx="6120130" cy="0"/>
                        </a:xfrm>
                        <a:prstGeom prst="straightConnector1">
                          <a:avLst/>
                        </a:prstGeom>
                        <a:ln w="12700" cap="flat" cmpd="sng">
                          <a:solidFill>
                            <a:srgbClr val="000000"/>
                          </a:solidFill>
                          <a:prstDash val="solid"/>
                          <a:round/>
                          <a:headEnd type="none" w="med" len="med"/>
                          <a:tailEnd type="none" w="med" len="med"/>
                        </a:ln>
                      </wps:spPr>
                      <wps:bodyPr/>
                    </wps:wsp>
                  </a:graphicData>
                </a:graphic>
              </wp:anchor>
            </w:drawing>
          </mc:Choice>
          <mc:Fallback>
            <w:pict>
              <v:shape id="自选图形 9" o:spid="_x0000_s1026" o:spt="32" type="#_x0000_t32" style="position:absolute;left:0pt;margin-left:-2.05pt;margin-top:-21.65pt;height:0pt;width:481.9pt;z-index:251659264;mso-width-relative:page;mso-height-relative:page;" filled="f" stroked="t" coordsize="21600,21600" o:gfxdata="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R2GUF1QAAAAoBAAAPAAAAAAAAAAEAIAAAACIAAABkcnMvZG93bnJldi54bWxQ&#10;SwECFAAUAAAACACHTuJAAGHr9voBAADxAwAADgAAAAAAAAABACAAAAAkAQAAZHJzL2Uyb0RvYy54&#10;bWxQSwUGAAAAAAYABgBZAQAAkAUAAAAA&#10;">
                <v:fill on="f" focussize="0,0"/>
                <v:stroke weight="1pt" color="#000000" joinstyle="round"/>
                <v:imagedata o:title=""/>
                <o:lock v:ext="edit" aspectratio="f"/>
              </v:shape>
            </w:pict>
          </mc:Fallback>
        </mc:AlternateContent>
      </w:r>
    </w:p>
    <w:p w14:paraId="23681785">
      <w:pPr>
        <w:rPr>
          <w:rFonts w:ascii="Times New Roman" w:hAnsi="Times New Roman" w:cs="Times New Roman"/>
          <w:b/>
          <w:color w:val="auto"/>
          <w:sz w:val="48"/>
          <w:szCs w:val="48"/>
        </w:rPr>
        <w:sectPr>
          <w:headerReference r:id="rId5" w:type="first"/>
          <w:footerReference r:id="rId8" w:type="first"/>
          <w:headerReference r:id="rId3" w:type="default"/>
          <w:footerReference r:id="rId6" w:type="default"/>
          <w:headerReference r:id="rId4" w:type="even"/>
          <w:footerReference r:id="rId7" w:type="even"/>
          <w:pgSz w:w="11906" w:h="16838"/>
          <w:pgMar w:top="567" w:right="1134" w:bottom="1134" w:left="1418" w:header="851" w:footer="992" w:gutter="0"/>
          <w:pgBorders>
            <w:top w:val="none" w:sz="0" w:space="0"/>
            <w:left w:val="none" w:sz="0" w:space="0"/>
            <w:bottom w:val="none" w:sz="0" w:space="0"/>
            <w:right w:val="none" w:sz="0" w:space="0"/>
          </w:pgBorders>
          <w:pgNumType w:start="1"/>
          <w:cols w:space="425" w:num="1"/>
          <w:titlePg/>
          <w:docGrid w:type="lines" w:linePitch="312" w:charSpace="0"/>
        </w:sectPr>
      </w:pPr>
    </w:p>
    <w:p w14:paraId="7D49189E">
      <w:pPr>
        <w:pStyle w:val="36"/>
        <w:tabs>
          <w:tab w:val="left" w:pos="323"/>
          <w:tab w:val="center" w:pos="4677"/>
        </w:tabs>
        <w:rPr>
          <w:rFonts w:hAnsi="黑体"/>
          <w:color w:val="auto"/>
          <w:szCs w:val="32"/>
        </w:rPr>
      </w:pPr>
      <w:bookmarkStart w:id="2" w:name="_Toc32687"/>
      <w:bookmarkStart w:id="3" w:name="_Toc23570"/>
      <w:bookmarkStart w:id="4" w:name="_Toc31258"/>
      <w:bookmarkStart w:id="5" w:name="_Toc6311"/>
      <w:bookmarkStart w:id="6" w:name="_Toc6419"/>
      <w:bookmarkStart w:id="7" w:name="_Toc20462"/>
      <w:r>
        <w:rPr>
          <w:rFonts w:hint="eastAsia" w:hAnsi="黑体"/>
          <w:color w:val="auto"/>
          <w:szCs w:val="32"/>
        </w:rPr>
        <w:t>目    次</w:t>
      </w:r>
      <w:bookmarkEnd w:id="2"/>
      <w:bookmarkEnd w:id="3"/>
      <w:bookmarkEnd w:id="4"/>
      <w:bookmarkEnd w:id="5"/>
      <w:bookmarkEnd w:id="6"/>
      <w:bookmarkEnd w:id="7"/>
    </w:p>
    <w:p w14:paraId="57C2C35D">
      <w:pPr>
        <w:pStyle w:val="16"/>
        <w:tabs>
          <w:tab w:val="right" w:leader="dot" w:pos="9354"/>
        </w:tabs>
        <w:rPr>
          <w:color w:val="auto"/>
        </w:rPr>
      </w:pPr>
      <w:r>
        <w:rPr>
          <w:rFonts w:ascii="宋体" w:hAnsi="宋体" w:eastAsia="宋体"/>
          <w:b w:val="0"/>
          <w:bCs w:val="0"/>
          <w:color w:val="auto"/>
          <w:szCs w:val="21"/>
        </w:rPr>
        <w:fldChar w:fldCharType="begin"/>
      </w:r>
      <w:r>
        <w:rPr>
          <w:rFonts w:ascii="宋体" w:hAnsi="宋体" w:eastAsia="宋体"/>
          <w:b w:val="0"/>
          <w:bCs w:val="0"/>
          <w:color w:val="auto"/>
          <w:szCs w:val="21"/>
        </w:rPr>
        <w:instrText xml:space="preserve">TOC \o "1-1" \h \u </w:instrText>
      </w:r>
      <w:r>
        <w:rPr>
          <w:rFonts w:ascii="宋体" w:hAnsi="宋体" w:eastAsia="宋体"/>
          <w:b w:val="0"/>
          <w:bCs w:val="0"/>
          <w:color w:val="auto"/>
          <w:szCs w:val="21"/>
        </w:rPr>
        <w:fldChar w:fldCharType="separate"/>
      </w:r>
    </w:p>
    <w:p w14:paraId="13CCDAF0">
      <w:pPr>
        <w:pStyle w:val="16"/>
        <w:tabs>
          <w:tab w:val="right" w:leader="dot" w:pos="9354"/>
        </w:tabs>
        <w:adjustRightInd w:val="0"/>
        <w:snapToGrid w:val="0"/>
        <w:spacing w:before="0" w:after="0"/>
        <w:rPr>
          <w:rFonts w:hint="eastAsia" w:asciiTheme="majorEastAsia" w:hAnsiTheme="majorEastAsia" w:eastAsiaTheme="majorEastAsia" w:cstheme="majorEastAsia"/>
          <w:b w:val="0"/>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_Toc21905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rPr>
        <w:t>前言</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_Toc21905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rPr>
        <w:t>II</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3475FC71">
      <w:pPr>
        <w:pStyle w:val="16"/>
        <w:tabs>
          <w:tab w:val="right" w:leader="dot" w:pos="9354"/>
        </w:tabs>
        <w:adjustRightInd w:val="0"/>
        <w:snapToGrid w:val="0"/>
        <w:spacing w:before="0" w:after="0"/>
        <w:rPr>
          <w:rFonts w:hint="eastAsia" w:asciiTheme="majorEastAsia" w:hAnsiTheme="majorEastAsia" w:eastAsiaTheme="majorEastAsia" w:cstheme="majorEastAsia"/>
          <w:b w:val="0"/>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_Toc29875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rPr>
        <w:t>1</w:t>
      </w:r>
      <w:r>
        <w:rPr>
          <w:rFonts w:hint="eastAsia" w:asciiTheme="majorEastAsia" w:hAnsiTheme="majorEastAsia" w:eastAsiaTheme="majorEastAsia" w:cstheme="majorEastAsia"/>
          <w:b w:val="0"/>
          <w:color w:val="auto"/>
          <w:kern w:val="0"/>
          <w:sz w:val="21"/>
          <w:szCs w:val="21"/>
          <w:lang w:val="en-US" w:eastAsia="zh-CN"/>
        </w:rPr>
        <w:t xml:space="preserve"> </w:t>
      </w:r>
      <w:r>
        <w:rPr>
          <w:rFonts w:hint="eastAsia" w:asciiTheme="majorEastAsia" w:hAnsiTheme="majorEastAsia" w:eastAsiaTheme="majorEastAsia" w:cstheme="majorEastAsia"/>
          <w:b w:val="0"/>
          <w:color w:val="auto"/>
          <w:kern w:val="0"/>
          <w:sz w:val="21"/>
          <w:szCs w:val="21"/>
        </w:rPr>
        <w:t>范围</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_Toc29875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rPr>
        <w:t>1</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0A50BEDA">
      <w:pPr>
        <w:pStyle w:val="16"/>
        <w:tabs>
          <w:tab w:val="right" w:leader="dot" w:pos="9354"/>
        </w:tabs>
        <w:adjustRightInd w:val="0"/>
        <w:snapToGrid w:val="0"/>
        <w:spacing w:before="0" w:after="0"/>
        <w:rPr>
          <w:rFonts w:hint="eastAsia" w:asciiTheme="majorEastAsia" w:hAnsiTheme="majorEastAsia" w:eastAsiaTheme="majorEastAsia" w:cstheme="majorEastAsia"/>
          <w:b w:val="0"/>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_Toc6048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rPr>
        <w:t>2</w:t>
      </w:r>
      <w:r>
        <w:rPr>
          <w:rFonts w:hint="eastAsia" w:asciiTheme="majorEastAsia" w:hAnsiTheme="majorEastAsia" w:eastAsiaTheme="majorEastAsia" w:cstheme="majorEastAsia"/>
          <w:b w:val="0"/>
          <w:color w:val="auto"/>
          <w:kern w:val="0"/>
          <w:sz w:val="21"/>
          <w:szCs w:val="21"/>
          <w:lang w:val="en-US" w:eastAsia="zh-CN"/>
        </w:rPr>
        <w:t xml:space="preserve"> </w:t>
      </w:r>
      <w:r>
        <w:rPr>
          <w:rFonts w:hint="eastAsia" w:asciiTheme="majorEastAsia" w:hAnsiTheme="majorEastAsia" w:eastAsiaTheme="majorEastAsia" w:cstheme="majorEastAsia"/>
          <w:b w:val="0"/>
          <w:color w:val="auto"/>
          <w:kern w:val="0"/>
          <w:sz w:val="21"/>
          <w:szCs w:val="21"/>
        </w:rPr>
        <w:t>规范性引用文件</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_Toc6048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rPr>
        <w:t>1</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0296C721">
      <w:pPr>
        <w:pStyle w:val="16"/>
        <w:tabs>
          <w:tab w:val="right" w:leader="dot" w:pos="9354"/>
        </w:tabs>
        <w:adjustRightInd w:val="0"/>
        <w:snapToGrid w:val="0"/>
        <w:spacing w:before="0" w:after="0"/>
        <w:rPr>
          <w:rFonts w:hint="eastAsia" w:asciiTheme="majorEastAsia" w:hAnsiTheme="majorEastAsia" w:eastAsiaTheme="majorEastAsia" w:cstheme="majorEastAsia"/>
          <w:b w:val="0"/>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_Toc15501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rPr>
        <w:t>3</w:t>
      </w:r>
      <w:r>
        <w:rPr>
          <w:rFonts w:hint="eastAsia" w:asciiTheme="majorEastAsia" w:hAnsiTheme="majorEastAsia" w:eastAsiaTheme="majorEastAsia" w:cstheme="majorEastAsia"/>
          <w:b w:val="0"/>
          <w:color w:val="auto"/>
          <w:kern w:val="0"/>
          <w:sz w:val="21"/>
          <w:szCs w:val="21"/>
          <w:lang w:val="en-US" w:eastAsia="zh-CN"/>
        </w:rPr>
        <w:t xml:space="preserve"> </w:t>
      </w:r>
      <w:r>
        <w:rPr>
          <w:rFonts w:hint="eastAsia" w:asciiTheme="majorEastAsia" w:hAnsiTheme="majorEastAsia" w:eastAsiaTheme="majorEastAsia" w:cstheme="majorEastAsia"/>
          <w:b w:val="0"/>
          <w:color w:val="auto"/>
          <w:kern w:val="0"/>
          <w:sz w:val="21"/>
          <w:szCs w:val="21"/>
        </w:rPr>
        <w:t>术语和定义</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_Toc15501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rPr>
        <w:t>1</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1C225DB0">
      <w:pPr>
        <w:pStyle w:val="16"/>
        <w:tabs>
          <w:tab w:val="right" w:leader="dot" w:pos="9354"/>
        </w:tabs>
        <w:adjustRightInd w:val="0"/>
        <w:snapToGrid w:val="0"/>
        <w:spacing w:before="0" w:after="0"/>
        <w:rPr>
          <w:rFonts w:hint="eastAsia" w:asciiTheme="majorEastAsia" w:hAnsiTheme="majorEastAsia" w:eastAsiaTheme="majorEastAsia" w:cstheme="majorEastAsia"/>
          <w:b w:val="0"/>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_Toc14489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lang w:val="en-US" w:eastAsia="zh-CN"/>
        </w:rPr>
        <w:t>4 分类体系</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_Toc14489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rPr>
        <w:t>2</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6A32F501">
      <w:pPr>
        <w:pStyle w:val="16"/>
        <w:tabs>
          <w:tab w:val="right" w:leader="dot" w:pos="9354"/>
        </w:tabs>
        <w:adjustRightInd w:val="0"/>
        <w:snapToGrid w:val="0"/>
        <w:spacing w:before="0" w:after="0"/>
        <w:rPr>
          <w:rFonts w:hint="eastAsia" w:asciiTheme="majorEastAsia" w:hAnsiTheme="majorEastAsia" w:eastAsiaTheme="majorEastAsia" w:cstheme="majorEastAsia"/>
          <w:b w:val="0"/>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_Toc2091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lang w:val="en-US" w:eastAsia="zh-CN"/>
        </w:rPr>
        <w:t>5 认定条件</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_Toc2091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rPr>
        <w:t>3</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6E451791">
      <w:pPr>
        <w:pStyle w:val="16"/>
        <w:tabs>
          <w:tab w:val="right" w:leader="dot" w:pos="9354"/>
        </w:tabs>
        <w:adjustRightInd w:val="0"/>
        <w:snapToGrid w:val="0"/>
        <w:spacing w:before="0" w:after="0"/>
        <w:rPr>
          <w:rFonts w:hint="eastAsia" w:asciiTheme="majorEastAsia" w:hAnsiTheme="majorEastAsia" w:eastAsiaTheme="majorEastAsia" w:cstheme="majorEastAsia"/>
          <w:b w:val="0"/>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_Toc450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lang w:val="en-US" w:eastAsia="zh-CN"/>
        </w:rPr>
        <w:t>6 认定依据</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_Toc450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rPr>
        <w:t>4</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2F724907">
      <w:pPr>
        <w:pStyle w:val="16"/>
        <w:tabs>
          <w:tab w:val="right" w:leader="dot" w:pos="9354"/>
        </w:tabs>
        <w:adjustRightInd w:val="0"/>
        <w:snapToGrid w:val="0"/>
        <w:spacing w:before="0" w:after="0"/>
        <w:rPr>
          <w:rFonts w:hint="eastAsia" w:asciiTheme="majorEastAsia" w:hAnsiTheme="majorEastAsia" w:eastAsiaTheme="majorEastAsia" w:cstheme="majorEastAsia"/>
          <w:b w:val="0"/>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_Toc454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lang w:val="en-US" w:eastAsia="zh-CN"/>
        </w:rPr>
        <w:t>7 认定流程</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_Toc454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rPr>
        <w:t>5</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7D16A33D">
      <w:pPr>
        <w:pStyle w:val="16"/>
        <w:tabs>
          <w:tab w:val="right" w:leader="dot" w:pos="9354"/>
        </w:tabs>
        <w:adjustRightInd w:val="0"/>
        <w:snapToGrid w:val="0"/>
        <w:spacing w:before="0" w:after="0"/>
        <w:rPr>
          <w:rFonts w:hint="eastAsia" w:asciiTheme="majorEastAsia" w:hAnsiTheme="majorEastAsia" w:eastAsiaTheme="majorEastAsia" w:cstheme="majorEastAsia"/>
          <w:b w:val="0"/>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_Toc2644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lang w:val="en-US" w:eastAsia="zh-CN"/>
        </w:rPr>
        <w:t>8 产品目录</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_Toc2644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rPr>
        <w:t>5</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179F49A2">
      <w:pPr>
        <w:pStyle w:val="16"/>
        <w:tabs>
          <w:tab w:val="right" w:leader="dot" w:pos="9354"/>
        </w:tabs>
        <w:adjustRightInd w:val="0"/>
        <w:snapToGrid w:val="0"/>
        <w:spacing w:before="0" w:after="0"/>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sz w:val="21"/>
          <w:szCs w:val="21"/>
        </w:rPr>
        <w:fldChar w:fldCharType="begin"/>
      </w:r>
      <w:r>
        <w:rPr>
          <w:rFonts w:hint="eastAsia" w:asciiTheme="majorEastAsia" w:hAnsiTheme="majorEastAsia" w:eastAsiaTheme="majorEastAsia" w:cstheme="majorEastAsia"/>
          <w:b w:val="0"/>
          <w:bCs/>
          <w:color w:val="auto"/>
          <w:sz w:val="21"/>
          <w:szCs w:val="21"/>
        </w:rPr>
        <w:instrText xml:space="preserve"> HYPERLINK \l _Toc10762 </w:instrText>
      </w:r>
      <w:r>
        <w:rPr>
          <w:rFonts w:hint="eastAsia" w:asciiTheme="majorEastAsia" w:hAnsiTheme="majorEastAsia" w:eastAsiaTheme="majorEastAsia" w:cstheme="majorEastAsia"/>
          <w:b w:val="0"/>
          <w:bCs/>
          <w:color w:val="auto"/>
          <w:sz w:val="21"/>
          <w:szCs w:val="21"/>
        </w:rPr>
        <w:fldChar w:fldCharType="separate"/>
      </w:r>
      <w:r>
        <w:rPr>
          <w:rFonts w:hint="eastAsia" w:asciiTheme="majorEastAsia" w:hAnsiTheme="majorEastAsia" w:eastAsiaTheme="majorEastAsia" w:cstheme="majorEastAsia"/>
          <w:b w:val="0"/>
          <w:color w:val="auto"/>
          <w:kern w:val="0"/>
          <w:sz w:val="21"/>
          <w:szCs w:val="21"/>
          <w:lang w:val="en-US" w:eastAsia="zh-CN"/>
        </w:rPr>
        <w:t>附录A（规范性） 林下经济产品目录</w:t>
      </w:r>
      <w:r>
        <w:rPr>
          <w:rFonts w:hint="eastAsia" w:asciiTheme="majorEastAsia" w:hAnsiTheme="majorEastAsia" w:eastAsiaTheme="majorEastAsia" w:cstheme="majorEastAsia"/>
          <w:b w:val="0"/>
          <w:color w:val="auto"/>
          <w:sz w:val="21"/>
          <w:szCs w:val="21"/>
        </w:rPr>
        <w:tab/>
      </w:r>
      <w:r>
        <w:rPr>
          <w:rFonts w:hint="eastAsia" w:asciiTheme="majorEastAsia" w:hAnsiTheme="majorEastAsia" w:eastAsiaTheme="majorEastAsia" w:cstheme="majorEastAsia"/>
          <w:b w:val="0"/>
          <w:color w:val="auto"/>
          <w:sz w:val="21"/>
          <w:szCs w:val="21"/>
          <w:lang w:val="en-US" w:eastAsia="zh-CN"/>
        </w:rPr>
        <w:t>.....</w:t>
      </w:r>
      <w:r>
        <w:rPr>
          <w:rFonts w:hint="eastAsia" w:asciiTheme="majorEastAsia" w:hAnsiTheme="majorEastAsia" w:eastAsiaTheme="majorEastAsia" w:cstheme="majorEastAsia"/>
          <w:b w:val="0"/>
          <w:color w:val="auto"/>
          <w:sz w:val="21"/>
          <w:szCs w:val="21"/>
        </w:rPr>
        <w:fldChar w:fldCharType="begin"/>
      </w:r>
      <w:r>
        <w:rPr>
          <w:rFonts w:hint="eastAsia" w:asciiTheme="majorEastAsia" w:hAnsiTheme="majorEastAsia" w:eastAsiaTheme="majorEastAsia" w:cstheme="majorEastAsia"/>
          <w:b w:val="0"/>
          <w:color w:val="auto"/>
          <w:sz w:val="21"/>
          <w:szCs w:val="21"/>
        </w:rPr>
        <w:instrText xml:space="preserve"> PAGEREF _Toc10762 \h </w:instrText>
      </w:r>
      <w:r>
        <w:rPr>
          <w:rFonts w:hint="eastAsia" w:asciiTheme="majorEastAsia" w:hAnsiTheme="majorEastAsia" w:eastAsiaTheme="majorEastAsia" w:cstheme="majorEastAsia"/>
          <w:b w:val="0"/>
          <w:color w:val="auto"/>
          <w:sz w:val="21"/>
          <w:szCs w:val="21"/>
        </w:rPr>
        <w:fldChar w:fldCharType="separate"/>
      </w:r>
      <w:r>
        <w:rPr>
          <w:rFonts w:hint="eastAsia" w:asciiTheme="majorEastAsia" w:hAnsiTheme="majorEastAsia" w:eastAsiaTheme="majorEastAsia" w:cstheme="majorEastAsia"/>
          <w:b w:val="0"/>
          <w:color w:val="auto"/>
          <w:sz w:val="21"/>
          <w:szCs w:val="21"/>
          <w:lang w:val="en-US" w:eastAsia="zh-CN"/>
        </w:rPr>
        <w:t>7</w:t>
      </w:r>
      <w:r>
        <w:rPr>
          <w:rFonts w:hint="eastAsia" w:asciiTheme="majorEastAsia" w:hAnsiTheme="majorEastAsia" w:eastAsiaTheme="majorEastAsia" w:cstheme="majorEastAsia"/>
          <w:b w:val="0"/>
          <w:color w:val="auto"/>
          <w:sz w:val="21"/>
          <w:szCs w:val="21"/>
        </w:rPr>
        <w:fldChar w:fldCharType="end"/>
      </w:r>
      <w:r>
        <w:rPr>
          <w:rFonts w:hint="eastAsia" w:asciiTheme="majorEastAsia" w:hAnsiTheme="majorEastAsia" w:eastAsiaTheme="majorEastAsia" w:cstheme="majorEastAsia"/>
          <w:b w:val="0"/>
          <w:bCs/>
          <w:color w:val="auto"/>
          <w:sz w:val="21"/>
          <w:szCs w:val="21"/>
        </w:rPr>
        <w:fldChar w:fldCharType="end"/>
      </w:r>
    </w:p>
    <w:p w14:paraId="2BFF8B3C">
      <w:pPr>
        <w:spacing w:before="0" w:after="0" w:line="240" w:lineRule="auto"/>
        <w:ind w:left="0" w:leftChars="0" w:right="0" w:rightChars="0" w:firstLine="0" w:firstLineChars="0"/>
        <w:jc w:val="center"/>
        <w:rPr>
          <w:rFonts w:ascii="宋体" w:hAnsi="宋体" w:eastAsia="宋体" w:cs="宋体"/>
          <w:b w:val="0"/>
          <w:bCs w:val="0"/>
          <w:color w:val="auto"/>
          <w:kern w:val="2"/>
          <w:sz w:val="21"/>
          <w:szCs w:val="21"/>
          <w:lang w:val="en-US" w:eastAsia="zh-CN" w:bidi="ar-SA"/>
        </w:rPr>
      </w:pPr>
      <w:r>
        <w:rPr>
          <w:rFonts w:ascii="宋体" w:hAnsi="宋体" w:eastAsia="宋体"/>
          <w:bCs w:val="0"/>
          <w:color w:val="auto"/>
          <w:szCs w:val="21"/>
        </w:rPr>
        <w:fldChar w:fldCharType="end"/>
      </w:r>
    </w:p>
    <w:p w14:paraId="42C6EF73">
      <w:pPr>
        <w:jc w:val="left"/>
        <w:rPr>
          <w:rFonts w:ascii="宋体" w:hAnsi="宋体" w:eastAsia="宋体" w:cs="宋体"/>
          <w:color w:val="auto"/>
          <w:kern w:val="2"/>
          <w:sz w:val="21"/>
          <w:szCs w:val="21"/>
          <w:lang w:val="en-US" w:eastAsia="zh-CN" w:bidi="ar-SA"/>
        </w:rPr>
      </w:pPr>
    </w:p>
    <w:p w14:paraId="2E8519E6">
      <w:pPr>
        <w:jc w:val="left"/>
        <w:rPr>
          <w:rFonts w:ascii="宋体" w:hAnsi="宋体" w:eastAsia="宋体"/>
          <w:color w:val="auto"/>
          <w:szCs w:val="21"/>
        </w:rPr>
      </w:pPr>
    </w:p>
    <w:p w14:paraId="1629AD04">
      <w:pPr>
        <w:jc w:val="left"/>
        <w:rPr>
          <w:rFonts w:ascii="宋体" w:hAnsi="宋体" w:eastAsia="宋体"/>
          <w:color w:val="auto"/>
          <w:szCs w:val="21"/>
        </w:rPr>
      </w:pPr>
    </w:p>
    <w:p w14:paraId="18F1CD03">
      <w:pPr>
        <w:bidi w:val="0"/>
        <w:rPr>
          <w:rFonts w:ascii="Calibri" w:hAnsi="Calibri" w:eastAsia="宋体" w:cs="宋体"/>
          <w:color w:val="auto"/>
          <w:kern w:val="2"/>
          <w:sz w:val="21"/>
          <w:szCs w:val="22"/>
          <w:lang w:val="en-US" w:eastAsia="zh-CN" w:bidi="ar-SA"/>
        </w:rPr>
      </w:pPr>
    </w:p>
    <w:p w14:paraId="7C8CB463">
      <w:pPr>
        <w:bidi w:val="0"/>
        <w:rPr>
          <w:color w:val="auto"/>
          <w:lang w:val="en-US" w:eastAsia="zh-CN"/>
        </w:rPr>
      </w:pPr>
    </w:p>
    <w:p w14:paraId="5DE4DEA2">
      <w:pPr>
        <w:bidi w:val="0"/>
        <w:rPr>
          <w:color w:val="auto"/>
          <w:lang w:val="en-US" w:eastAsia="zh-CN"/>
        </w:rPr>
      </w:pPr>
    </w:p>
    <w:p w14:paraId="63F90824">
      <w:pPr>
        <w:bidi w:val="0"/>
        <w:rPr>
          <w:color w:val="auto"/>
          <w:lang w:val="en-US" w:eastAsia="zh-CN"/>
        </w:rPr>
      </w:pPr>
    </w:p>
    <w:p w14:paraId="08BF3DFD">
      <w:pPr>
        <w:bidi w:val="0"/>
        <w:jc w:val="center"/>
        <w:rPr>
          <w:color w:val="auto"/>
          <w:lang w:val="en-US" w:eastAsia="zh-CN"/>
        </w:rPr>
      </w:pPr>
    </w:p>
    <w:p w14:paraId="7B2B2768">
      <w:pPr>
        <w:keepNext/>
        <w:pageBreakBefore/>
        <w:widowControl/>
        <w:shd w:val="clear" w:color="FFFFFF" w:fill="FFFFFF"/>
        <w:spacing w:before="640" w:after="560"/>
        <w:jc w:val="center"/>
        <w:outlineLvl w:val="0"/>
        <w:rPr>
          <w:rFonts w:ascii="Times New Roman" w:hAnsi="Times New Roman" w:eastAsia="黑体" w:cs="Times New Roman"/>
          <w:color w:val="auto"/>
          <w:kern w:val="0"/>
          <w:sz w:val="32"/>
        </w:rPr>
      </w:pPr>
      <w:bookmarkStart w:id="8" w:name="_Toc123923793"/>
      <w:bookmarkStart w:id="9" w:name="_Toc21905"/>
      <w:r>
        <w:rPr>
          <w:rFonts w:hint="eastAsia" w:ascii="Times New Roman" w:hAnsi="Times New Roman" w:eastAsia="黑体" w:cs="Times New Roman"/>
          <w:color w:val="auto"/>
          <w:kern w:val="0"/>
          <w:sz w:val="32"/>
        </w:rPr>
        <w:t>前</w:t>
      </w:r>
      <w:bookmarkStart w:id="10" w:name="BKQY"/>
      <w:r>
        <w:rPr>
          <w:rFonts w:hint="eastAsia" w:ascii="Times New Roman" w:hAnsi="Times New Roman" w:eastAsia="黑体" w:cs="Times New Roman"/>
          <w:color w:val="auto"/>
          <w:kern w:val="0"/>
          <w:sz w:val="32"/>
        </w:rPr>
        <w:t xml:space="preserve">    言</w:t>
      </w:r>
      <w:bookmarkEnd w:id="8"/>
      <w:bookmarkEnd w:id="9"/>
      <w:bookmarkEnd w:id="10"/>
    </w:p>
    <w:p w14:paraId="0766E4E8">
      <w:pPr>
        <w:widowControl/>
        <w:tabs>
          <w:tab w:val="center" w:pos="4201"/>
          <w:tab w:val="right" w:leader="dot" w:pos="9298"/>
        </w:tabs>
        <w:autoSpaceDE w:val="0"/>
        <w:autoSpaceDN w:val="0"/>
        <w:adjustRightInd w:val="0"/>
        <w:snapToGrid w:val="0"/>
        <w:ind w:firstLine="420" w:firstLineChars="200"/>
        <w:rPr>
          <w:rFonts w:ascii="宋体" w:hAnsi="Times New Roman" w:eastAsia="宋体" w:cs="Times New Roman"/>
          <w:color w:val="auto"/>
          <w:kern w:val="0"/>
          <w:szCs w:val="24"/>
        </w:rPr>
      </w:pPr>
      <w:r>
        <w:rPr>
          <w:rFonts w:hint="eastAsia" w:ascii="宋体" w:hAnsi="Times New Roman" w:eastAsia="宋体" w:cs="Times New Roman"/>
          <w:color w:val="auto"/>
          <w:kern w:val="0"/>
          <w:szCs w:val="24"/>
        </w:rPr>
        <w:t>本文件按照 GB/T 1.1-2020《标准化工作导则</w:t>
      </w:r>
      <w:r>
        <w:rPr>
          <w:rFonts w:hint="eastAsia" w:ascii="宋体" w:hAnsi="Times New Roman" w:eastAsia="宋体" w:cs="Times New Roman"/>
          <w:color w:val="auto"/>
          <w:kern w:val="0"/>
          <w:szCs w:val="24"/>
        </w:rPr>
        <w:tab/>
      </w:r>
      <w:r>
        <w:rPr>
          <w:rFonts w:ascii="宋体" w:hAnsi="Times New Roman" w:eastAsia="宋体" w:cs="Times New Roman"/>
          <w:color w:val="auto"/>
          <w:kern w:val="0"/>
          <w:szCs w:val="24"/>
        </w:rPr>
        <w:t xml:space="preserve"> </w:t>
      </w:r>
      <w:r>
        <w:rPr>
          <w:rFonts w:hint="eastAsia" w:ascii="宋体" w:hAnsi="Times New Roman" w:eastAsia="宋体" w:cs="Times New Roman"/>
          <w:color w:val="auto"/>
          <w:kern w:val="0"/>
          <w:szCs w:val="24"/>
        </w:rPr>
        <w:t>第1部分：标准化文件的结构和起草规则》的规定起草。</w:t>
      </w:r>
    </w:p>
    <w:p w14:paraId="2D245E19">
      <w:pPr>
        <w:widowControl/>
        <w:tabs>
          <w:tab w:val="center" w:pos="4201"/>
          <w:tab w:val="right" w:leader="dot" w:pos="9298"/>
        </w:tabs>
        <w:autoSpaceDE w:val="0"/>
        <w:autoSpaceDN w:val="0"/>
        <w:adjustRightInd w:val="0"/>
        <w:snapToGrid w:val="0"/>
        <w:ind w:firstLine="420" w:firstLineChars="200"/>
        <w:rPr>
          <w:rFonts w:ascii="宋体" w:hAnsi="Times New Roman" w:eastAsia="宋体" w:cs="Times New Roman"/>
          <w:color w:val="auto"/>
          <w:kern w:val="0"/>
          <w:szCs w:val="24"/>
        </w:rPr>
      </w:pPr>
      <w:r>
        <w:rPr>
          <w:rFonts w:hint="eastAsia" w:ascii="宋体" w:hAnsi="宋体" w:eastAsia="宋体" w:cs="Times New Roman"/>
          <w:bCs/>
          <w:color w:val="auto"/>
          <w:szCs w:val="21"/>
        </w:rPr>
        <w:t>请注意本文件的某些内容可能涉及专利。本文件的发布机构不承担识别专利的责任。</w:t>
      </w:r>
    </w:p>
    <w:p w14:paraId="15C2A18D">
      <w:pPr>
        <w:widowControl/>
        <w:tabs>
          <w:tab w:val="center" w:pos="4201"/>
          <w:tab w:val="right" w:leader="dot" w:pos="9298"/>
        </w:tabs>
        <w:autoSpaceDE w:val="0"/>
        <w:autoSpaceDN w:val="0"/>
        <w:adjustRightInd w:val="0"/>
        <w:snapToGrid w:val="0"/>
        <w:ind w:firstLine="420" w:firstLineChars="200"/>
        <w:rPr>
          <w:rFonts w:hint="eastAsia" w:ascii="宋体" w:hAnsi="Times New Roman" w:eastAsia="宋体" w:cs="Times New Roman"/>
          <w:color w:val="auto"/>
          <w:kern w:val="0"/>
          <w:szCs w:val="24"/>
        </w:rPr>
      </w:pPr>
      <w:r>
        <w:rPr>
          <w:rFonts w:hint="eastAsia" w:ascii="宋体" w:hAnsi="Times New Roman" w:eastAsia="宋体" w:cs="Times New Roman"/>
          <w:color w:val="auto"/>
          <w:kern w:val="0"/>
          <w:szCs w:val="24"/>
        </w:rPr>
        <w:t>本文件由中国林学会</w:t>
      </w:r>
      <w:r>
        <w:rPr>
          <w:rFonts w:hint="eastAsia" w:ascii="宋体" w:hAnsi="Times New Roman" w:cs="Times New Roman"/>
          <w:color w:val="auto"/>
          <w:kern w:val="0"/>
          <w:szCs w:val="24"/>
          <w:lang w:eastAsia="zh-CN"/>
        </w:rPr>
        <w:t>提出并</w:t>
      </w:r>
      <w:r>
        <w:rPr>
          <w:rFonts w:hint="eastAsia" w:ascii="宋体" w:hAnsi="Times New Roman" w:eastAsia="宋体" w:cs="Times New Roman"/>
          <w:color w:val="auto"/>
          <w:kern w:val="0"/>
          <w:szCs w:val="24"/>
        </w:rPr>
        <w:t>归口。</w:t>
      </w:r>
    </w:p>
    <w:p w14:paraId="70848271">
      <w:pPr>
        <w:widowControl/>
        <w:tabs>
          <w:tab w:val="center" w:pos="4201"/>
          <w:tab w:val="right" w:leader="dot" w:pos="9298"/>
        </w:tabs>
        <w:autoSpaceDE w:val="0"/>
        <w:autoSpaceDN w:val="0"/>
        <w:adjustRightInd w:val="0"/>
        <w:snapToGrid w:val="0"/>
        <w:ind w:firstLine="420" w:firstLineChars="200"/>
        <w:rPr>
          <w:rFonts w:hint="default" w:ascii="宋体" w:hAnsi="Times New Roman" w:eastAsia="宋体" w:cs="Times New Roman"/>
          <w:color w:val="auto"/>
          <w:kern w:val="0"/>
          <w:szCs w:val="24"/>
          <w:lang w:val="en-US"/>
        </w:rPr>
      </w:pPr>
      <w:r>
        <w:rPr>
          <w:rFonts w:hint="eastAsia" w:ascii="宋体" w:hAnsi="Times New Roman" w:eastAsia="宋体" w:cs="Times New Roman"/>
          <w:color w:val="auto"/>
          <w:kern w:val="0"/>
          <w:szCs w:val="24"/>
        </w:rPr>
        <w:t>本文件起草单位：</w:t>
      </w:r>
      <w:r>
        <w:rPr>
          <w:rFonts w:hint="eastAsia" w:ascii="宋体" w:hAnsi="Times New Roman" w:eastAsia="宋体" w:cs="Times New Roman"/>
          <w:color w:val="auto"/>
          <w:kern w:val="0"/>
          <w:szCs w:val="24"/>
          <w:lang w:val="en-US" w:eastAsia="zh-CN"/>
        </w:rPr>
        <w:t>中国林业科学研究院林业科技信息研究所、</w:t>
      </w:r>
      <w:r>
        <w:rPr>
          <w:rFonts w:hint="eastAsia" w:ascii="宋体" w:hAnsi="Times New Roman" w:cs="Times New Roman"/>
          <w:color w:val="auto"/>
          <w:kern w:val="0"/>
          <w:szCs w:val="24"/>
          <w:lang w:val="en-US" w:eastAsia="zh-CN"/>
        </w:rPr>
        <w:t>中国林业科学研究院、泰顺县农业农村局、</w:t>
      </w:r>
      <w:r>
        <w:rPr>
          <w:rFonts w:hint="eastAsia" w:ascii="宋体" w:hAnsi="Times New Roman" w:eastAsia="宋体" w:cs="Times New Roman"/>
          <w:color w:val="auto"/>
          <w:kern w:val="0"/>
          <w:szCs w:val="24"/>
          <w:lang w:val="en-US" w:eastAsia="zh-CN"/>
        </w:rPr>
        <w:t>西南林业大学、</w:t>
      </w:r>
      <w:r>
        <w:rPr>
          <w:rFonts w:hint="default" w:ascii="宋体" w:hAnsi="Times New Roman" w:eastAsia="宋体" w:cs="Times New Roman"/>
          <w:color w:val="auto"/>
          <w:kern w:val="0"/>
          <w:szCs w:val="24"/>
          <w:lang w:val="en-US" w:eastAsia="zh-CN"/>
        </w:rPr>
        <w:t>中国人民大学</w:t>
      </w:r>
      <w:r>
        <w:rPr>
          <w:rFonts w:hint="eastAsia" w:ascii="宋体" w:hAnsi="Times New Roman" w:cs="Times New Roman"/>
          <w:color w:val="auto"/>
          <w:kern w:val="0"/>
          <w:szCs w:val="24"/>
          <w:lang w:val="en-US" w:eastAsia="zh-CN"/>
        </w:rPr>
        <w:t>、</w:t>
      </w:r>
      <w:r>
        <w:rPr>
          <w:rFonts w:hint="eastAsia" w:ascii="宋体" w:hAnsi="Times New Roman" w:eastAsia="宋体" w:cs="Times New Roman"/>
          <w:color w:val="auto"/>
          <w:kern w:val="0"/>
          <w:szCs w:val="24"/>
          <w:lang w:val="en-US" w:eastAsia="zh-CN"/>
        </w:rPr>
        <w:t>中国林学会</w:t>
      </w:r>
      <w:r>
        <w:rPr>
          <w:rFonts w:hint="default" w:ascii="宋体" w:hAnsi="Times New Roman" w:eastAsia="宋体" w:cs="Times New Roman"/>
          <w:color w:val="auto"/>
          <w:kern w:val="0"/>
          <w:szCs w:val="24"/>
          <w:lang w:val="en-US" w:eastAsia="zh-CN"/>
        </w:rPr>
        <w:t>、国家林业和草原局管理干部学院、</w:t>
      </w:r>
      <w:r>
        <w:rPr>
          <w:rFonts w:hint="eastAsia" w:ascii="宋体" w:hAnsi="Times New Roman" w:cs="Times New Roman"/>
          <w:color w:val="auto"/>
          <w:kern w:val="0"/>
          <w:szCs w:val="24"/>
          <w:lang w:val="en-US" w:eastAsia="zh-CN"/>
        </w:rPr>
        <w:t>中国林业科学研究院经济林研究所、</w:t>
      </w:r>
      <w:r>
        <w:rPr>
          <w:rFonts w:hint="default" w:ascii="宋体" w:hAnsi="Times New Roman" w:eastAsia="宋体" w:cs="Times New Roman"/>
          <w:color w:val="auto"/>
          <w:kern w:val="0"/>
          <w:szCs w:val="24"/>
          <w:lang w:val="en-US" w:eastAsia="zh-CN"/>
        </w:rPr>
        <w:t>广西壮族自治区</w:t>
      </w:r>
      <w:r>
        <w:rPr>
          <w:rFonts w:hint="eastAsia" w:ascii="宋体" w:hAnsi="Times New Roman" w:cs="Times New Roman"/>
          <w:color w:val="auto"/>
          <w:kern w:val="0"/>
          <w:szCs w:val="24"/>
          <w:lang w:val="en-US" w:eastAsia="zh-CN"/>
        </w:rPr>
        <w:t>林业科学研究院、皖西学院、</w:t>
      </w:r>
      <w:r>
        <w:rPr>
          <w:rFonts w:hint="default" w:ascii="宋体" w:hAnsi="Times New Roman" w:eastAsia="宋体" w:cs="Times New Roman"/>
          <w:color w:val="auto"/>
          <w:kern w:val="0"/>
          <w:szCs w:val="24"/>
          <w:lang w:val="en-US" w:eastAsia="zh-CN"/>
        </w:rPr>
        <w:t>中国林业科学研究院亚热带林业实验中心、</w:t>
      </w:r>
      <w:r>
        <w:rPr>
          <w:rFonts w:hint="eastAsia" w:ascii="宋体" w:hAnsi="Times New Roman" w:cs="Times New Roman"/>
          <w:color w:val="auto"/>
          <w:kern w:val="0"/>
          <w:szCs w:val="24"/>
          <w:lang w:val="en-US" w:eastAsia="zh-CN"/>
        </w:rPr>
        <w:t>浙江农林大学、中林联林业规划设计研究院。</w:t>
      </w:r>
    </w:p>
    <w:p w14:paraId="5C864904">
      <w:pPr>
        <w:widowControl/>
        <w:tabs>
          <w:tab w:val="center" w:pos="4201"/>
          <w:tab w:val="right" w:leader="dot" w:pos="9298"/>
        </w:tabs>
        <w:autoSpaceDE w:val="0"/>
        <w:autoSpaceDN w:val="0"/>
        <w:adjustRightInd w:val="0"/>
        <w:snapToGrid w:val="0"/>
        <w:ind w:firstLine="420" w:firstLineChars="200"/>
        <w:rPr>
          <w:rFonts w:hint="eastAsia" w:ascii="宋体" w:hAnsi="Times New Roman" w:eastAsia="宋体" w:cs="Times New Roman"/>
          <w:color w:val="auto"/>
          <w:kern w:val="0"/>
          <w:szCs w:val="24"/>
          <w:lang w:eastAsia="zh-CN"/>
        </w:rPr>
      </w:pPr>
      <w:r>
        <w:rPr>
          <w:rFonts w:hint="eastAsia" w:ascii="宋体" w:hAnsi="Times New Roman" w:eastAsia="宋体" w:cs="Times New Roman"/>
          <w:color w:val="auto"/>
          <w:kern w:val="0"/>
          <w:szCs w:val="24"/>
        </w:rPr>
        <w:t>本文件主要起草人：</w:t>
      </w:r>
      <w:r>
        <w:rPr>
          <w:rFonts w:hint="eastAsia" w:ascii="宋体" w:hAnsi="Times New Roman" w:eastAsia="宋体" w:cs="Times New Roman"/>
          <w:color w:val="auto"/>
          <w:kern w:val="0"/>
          <w:szCs w:val="24"/>
          <w:lang w:val="en-US" w:eastAsia="zh-CN"/>
        </w:rPr>
        <w:t>窦亚权、贺顺钦、</w:t>
      </w:r>
      <w:r>
        <w:rPr>
          <w:rFonts w:hint="default" w:ascii="宋体" w:hAnsi="Times New Roman" w:eastAsia="宋体" w:cs="Times New Roman"/>
          <w:color w:val="auto"/>
          <w:kern w:val="0"/>
          <w:szCs w:val="24"/>
          <w:lang w:val="en-US"/>
        </w:rPr>
        <w:t>陈幸良、</w:t>
      </w:r>
      <w:r>
        <w:rPr>
          <w:rFonts w:hint="eastAsia" w:ascii="宋体" w:hAnsi="Times New Roman" w:cs="Times New Roman"/>
          <w:color w:val="auto"/>
          <w:kern w:val="0"/>
          <w:szCs w:val="24"/>
          <w:lang w:val="en-US" w:eastAsia="zh-CN"/>
        </w:rPr>
        <w:t>宿海颖、张素雅、</w:t>
      </w:r>
      <w:r>
        <w:rPr>
          <w:rFonts w:hint="eastAsia" w:ascii="宋体" w:hAnsi="Times New Roman" w:eastAsia="宋体" w:cs="Times New Roman"/>
          <w:color w:val="auto"/>
          <w:kern w:val="0"/>
          <w:szCs w:val="24"/>
          <w:lang w:val="en-US" w:eastAsia="zh-CN"/>
        </w:rPr>
        <w:t>李娅、</w:t>
      </w:r>
      <w:r>
        <w:rPr>
          <w:rFonts w:hint="eastAsia" w:ascii="宋体" w:hAnsi="Times New Roman" w:cs="Times New Roman"/>
          <w:color w:val="auto"/>
          <w:kern w:val="0"/>
          <w:szCs w:val="24"/>
          <w:lang w:val="en-US" w:eastAsia="zh-CN"/>
        </w:rPr>
        <w:t>柯水发、</w:t>
      </w:r>
      <w:r>
        <w:rPr>
          <w:rFonts w:hint="eastAsia" w:ascii="宋体" w:hAnsi="Times New Roman" w:eastAsia="宋体" w:cs="Times New Roman"/>
          <w:color w:val="auto"/>
          <w:kern w:val="0"/>
          <w:szCs w:val="24"/>
        </w:rPr>
        <w:t>王妍、</w:t>
      </w:r>
      <w:r>
        <w:rPr>
          <w:rFonts w:hint="eastAsia" w:ascii="宋体" w:hAnsi="Times New Roman" w:eastAsia="宋体" w:cs="Times New Roman"/>
          <w:color w:val="auto"/>
          <w:kern w:val="0"/>
          <w:szCs w:val="24"/>
          <w:lang w:val="en-US" w:eastAsia="zh-CN"/>
        </w:rPr>
        <w:t>李莉、</w:t>
      </w:r>
      <w:r>
        <w:rPr>
          <w:rFonts w:hint="default" w:ascii="宋体" w:hAnsi="Times New Roman" w:eastAsia="宋体" w:cs="Times New Roman"/>
          <w:color w:val="auto"/>
          <w:kern w:val="0"/>
          <w:szCs w:val="24"/>
          <w:lang w:val="en-US" w:eastAsia="zh-CN"/>
        </w:rPr>
        <w:t>边明明、</w:t>
      </w:r>
      <w:r>
        <w:rPr>
          <w:rFonts w:hint="eastAsia" w:ascii="宋体" w:hAnsi="Times New Roman" w:cs="Times New Roman"/>
          <w:color w:val="auto"/>
          <w:kern w:val="0"/>
          <w:szCs w:val="24"/>
          <w:lang w:val="en-US" w:eastAsia="zh-CN"/>
        </w:rPr>
        <w:t>刁松锋、</w:t>
      </w:r>
      <w:r>
        <w:rPr>
          <w:rFonts w:hint="eastAsia" w:ascii="宋体" w:hAnsi="Times New Roman" w:eastAsia="宋体" w:cs="Times New Roman"/>
          <w:color w:val="auto"/>
          <w:kern w:val="0"/>
          <w:szCs w:val="24"/>
          <w:lang w:val="en-US" w:eastAsia="zh-CN"/>
        </w:rPr>
        <w:t>杨文娟、</w:t>
      </w:r>
      <w:r>
        <w:rPr>
          <w:rFonts w:hint="default" w:ascii="宋体" w:hAnsi="Times New Roman" w:eastAsia="宋体" w:cs="Times New Roman"/>
          <w:color w:val="auto"/>
          <w:kern w:val="0"/>
          <w:szCs w:val="24"/>
          <w:lang w:val="en-US" w:eastAsia="zh-CN"/>
        </w:rPr>
        <w:t>杨开太、</w:t>
      </w:r>
      <w:r>
        <w:rPr>
          <w:rFonts w:hint="eastAsia" w:ascii="宋体" w:hAnsi="Times New Roman" w:cs="Times New Roman"/>
          <w:color w:val="auto"/>
          <w:kern w:val="0"/>
          <w:szCs w:val="24"/>
          <w:lang w:val="en-US" w:eastAsia="zh-CN"/>
        </w:rPr>
        <w:t>陈乃东、</w:t>
      </w:r>
      <w:r>
        <w:rPr>
          <w:rFonts w:hint="default" w:ascii="宋体" w:hAnsi="Times New Roman" w:eastAsia="宋体" w:cs="Times New Roman"/>
          <w:color w:val="auto"/>
          <w:kern w:val="0"/>
          <w:szCs w:val="24"/>
          <w:lang w:val="en-US" w:eastAsia="zh-CN"/>
        </w:rPr>
        <w:t>李峰卿、</w:t>
      </w:r>
      <w:r>
        <w:rPr>
          <w:rFonts w:hint="eastAsia" w:ascii="宋体" w:hAnsi="Times New Roman" w:eastAsia="宋体" w:cs="Times New Roman"/>
          <w:color w:val="auto"/>
          <w:kern w:val="0"/>
          <w:szCs w:val="24"/>
        </w:rPr>
        <w:t>赵麟萱</w:t>
      </w:r>
      <w:r>
        <w:rPr>
          <w:rFonts w:hint="default" w:ascii="宋体" w:hAnsi="Times New Roman" w:eastAsia="宋体" w:cs="Times New Roman"/>
          <w:color w:val="auto"/>
          <w:kern w:val="0"/>
          <w:szCs w:val="24"/>
          <w:lang w:val="en-US"/>
        </w:rPr>
        <w:t>、</w:t>
      </w:r>
      <w:r>
        <w:rPr>
          <w:rFonts w:hint="default" w:ascii="宋体" w:hAnsi="Times New Roman" w:eastAsia="宋体" w:cs="Times New Roman"/>
          <w:color w:val="auto"/>
          <w:kern w:val="0"/>
          <w:szCs w:val="24"/>
          <w:lang w:val="en-US" w:eastAsia="zh-CN"/>
        </w:rPr>
        <w:t>石焱、</w:t>
      </w:r>
      <w:r>
        <w:rPr>
          <w:rFonts w:hint="eastAsia" w:ascii="宋体" w:hAnsi="Times New Roman" w:cs="Times New Roman"/>
          <w:color w:val="auto"/>
          <w:kern w:val="0"/>
          <w:szCs w:val="24"/>
          <w:lang w:val="en-US" w:eastAsia="zh-CN"/>
        </w:rPr>
        <w:t>刘京晶、芮飞燕、</w:t>
      </w:r>
      <w:r>
        <w:rPr>
          <w:rFonts w:hint="default" w:ascii="宋体" w:hAnsi="Times New Roman" w:eastAsia="宋体" w:cs="Times New Roman"/>
          <w:color w:val="auto"/>
          <w:kern w:val="0"/>
          <w:szCs w:val="24"/>
          <w:lang w:val="en-US"/>
        </w:rPr>
        <w:t>梁金水</w:t>
      </w:r>
      <w:r>
        <w:rPr>
          <w:rFonts w:hint="eastAsia" w:ascii="宋体" w:hAnsi="Times New Roman" w:cs="Times New Roman"/>
          <w:color w:val="auto"/>
          <w:kern w:val="0"/>
          <w:szCs w:val="24"/>
          <w:lang w:val="en-US" w:eastAsia="zh-CN"/>
        </w:rPr>
        <w:t>。</w:t>
      </w:r>
    </w:p>
    <w:p w14:paraId="102EC5C5">
      <w:pPr>
        <w:widowControl/>
        <w:tabs>
          <w:tab w:val="center" w:pos="4201"/>
          <w:tab w:val="right" w:leader="dot" w:pos="9298"/>
        </w:tabs>
        <w:autoSpaceDE w:val="0"/>
        <w:autoSpaceDN w:val="0"/>
        <w:adjustRightInd w:val="0"/>
        <w:snapToGrid w:val="0"/>
        <w:rPr>
          <w:rFonts w:hint="eastAsia" w:ascii="宋体" w:hAnsi="Times New Roman" w:eastAsia="宋体" w:cs="Times New Roman"/>
          <w:color w:val="auto"/>
          <w:kern w:val="0"/>
          <w:szCs w:val="24"/>
          <w:lang w:eastAsia="zh-CN"/>
        </w:rPr>
        <w:sectPr>
          <w:headerReference r:id="rId9" w:type="first"/>
          <w:footerReference r:id="rId10" w:type="first"/>
          <w:pgSz w:w="11906" w:h="16838"/>
          <w:pgMar w:top="567" w:right="1134" w:bottom="1134" w:left="1418" w:header="1417" w:footer="1134" w:gutter="0"/>
          <w:pgBorders>
            <w:top w:val="none" w:sz="0" w:space="0"/>
            <w:left w:val="none" w:sz="0" w:space="0"/>
            <w:bottom w:val="none" w:sz="0" w:space="0"/>
            <w:right w:val="none" w:sz="0" w:space="0"/>
          </w:pgBorders>
          <w:pgNumType w:fmt="upperRoman" w:start="1"/>
          <w:cols w:space="425" w:num="1"/>
          <w:titlePg/>
          <w:docGrid w:type="lines" w:linePitch="312" w:charSpace="0"/>
        </w:sectPr>
      </w:pPr>
    </w:p>
    <w:p w14:paraId="502868DC">
      <w:pPr>
        <w:pStyle w:val="33"/>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textAlignment w:val="auto"/>
        <w:rPr>
          <w:rFonts w:hint="default" w:ascii="Times New Roman" w:hAnsi="Times New Roman" w:eastAsia="黑体" w:cs="Times New Roman"/>
          <w:color w:val="auto"/>
          <w:sz w:val="32"/>
          <w:szCs w:val="32"/>
          <w:lang w:val="en-US" w:eastAsia="zh-CN"/>
        </w:rPr>
      </w:pPr>
      <w:r>
        <w:rPr>
          <w:rFonts w:ascii="Times New Roman" w:hAnsi="Times New Roman" w:eastAsia="黑体" w:cs="Times New Roman"/>
          <w:color w:val="auto"/>
          <w:sz w:val="32"/>
          <w:szCs w:val="32"/>
        </w:rPr>
        <mc:AlternateContent>
          <mc:Choice Requires="wps">
            <w:drawing>
              <wp:anchor distT="0" distB="0" distL="0" distR="0" simplePos="0" relativeHeight="251659264" behindDoc="0" locked="0" layoutInCell="1" allowOverlap="1">
                <wp:simplePos x="0" y="0"/>
                <wp:positionH relativeFrom="column">
                  <wp:posOffset>1388110</wp:posOffset>
                </wp:positionH>
                <wp:positionV relativeFrom="paragraph">
                  <wp:posOffset>9328785</wp:posOffset>
                </wp:positionV>
                <wp:extent cx="5250180" cy="544195"/>
                <wp:effectExtent l="0" t="0" r="7620" b="4445"/>
                <wp:wrapNone/>
                <wp:docPr id="1036" name="文本框 21"/>
                <wp:cNvGraphicFramePr/>
                <a:graphic xmlns:a="http://schemas.openxmlformats.org/drawingml/2006/main">
                  <a:graphicData uri="http://schemas.microsoft.com/office/word/2010/wordprocessingShape">
                    <wps:wsp>
                      <wps:cNvSpPr/>
                      <wps:spPr>
                        <a:xfrm>
                          <a:off x="0" y="0"/>
                          <a:ext cx="5250180" cy="544194"/>
                        </a:xfrm>
                        <a:prstGeom prst="rect">
                          <a:avLst/>
                        </a:prstGeom>
                        <a:solidFill>
                          <a:srgbClr val="FFFFFF"/>
                        </a:solidFill>
                        <a:ln>
                          <a:noFill/>
                        </a:ln>
                      </wps:spPr>
                      <wps:txbx>
                        <w:txbxContent>
                          <w:p w14:paraId="2BFA6881">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30F935B8">
                            <w:pPr>
                              <w:jc w:val="center"/>
                              <w:rPr>
                                <w:sz w:val="28"/>
                              </w:rPr>
                            </w:pPr>
                          </w:p>
                        </w:txbxContent>
                      </wps:txbx>
                      <wps:bodyPr vert="horz" wrap="square" lIns="91440" tIns="45720" rIns="91440" bIns="45720" anchor="t" upright="1">
                        <a:noAutofit/>
                      </wps:bodyPr>
                    </wps:wsp>
                  </a:graphicData>
                </a:graphic>
              </wp:anchor>
            </w:drawing>
          </mc:Choice>
          <mc:Fallback>
            <w:pict>
              <v:rect id="文本框 21" o:spid="_x0000_s1026" o:spt="1" style="position:absolute;left:0pt;margin-left:109.3pt;margin-top:734.55pt;height:42.85pt;width:413.4pt;z-index:251659264;mso-width-relative:page;mso-height-relative:page;" fillcolor="#FFFFFF" filled="t" stroked="f" coordsize="21600,21600" o:gfxdata="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szXkvaAAAADgEAAA8AAAAAAAAAAQAgAAAAIgAAAGRycy9kb3ducmV2&#10;LnhtbFBLAQIUABQAAAAIAIdO4kCpGp29+gEAAOQDAAAOAAAAAAAAAAEAIAAAACkBAABkcnMvZTJv&#10;RG9jLnhtbFBLBQYAAAAABgAGAFkBAACVBQAAAAA=&#10;">
                <v:fill on="t" focussize="0,0"/>
                <v:stroke on="f"/>
                <v:imagedata o:title=""/>
                <o:lock v:ext="edit" aspectratio="f"/>
                <v:textbox>
                  <w:txbxContent>
                    <w:p w14:paraId="2BFA6881">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30F935B8">
                      <w:pPr>
                        <w:jc w:val="center"/>
                        <w:rPr>
                          <w:sz w:val="28"/>
                        </w:rPr>
                      </w:pPr>
                    </w:p>
                  </w:txbxContent>
                </v:textbox>
              </v:rect>
            </w:pict>
          </mc:Fallback>
        </mc:AlternateContent>
      </w:r>
      <w:r>
        <w:rPr>
          <w:rFonts w:ascii="Times New Roman" w:hAnsi="Times New Roman" w:eastAsia="黑体" w:cs="Times New Roman"/>
          <w:color w:val="auto"/>
          <w:sz w:val="32"/>
          <w:szCs w:val="32"/>
        </w:rPr>
        <mc:AlternateContent>
          <mc:Choice Requires="wps">
            <w:drawing>
              <wp:anchor distT="0" distB="0" distL="0" distR="0" simplePos="0" relativeHeight="251659264" behindDoc="0" locked="0" layoutInCell="1" allowOverlap="1">
                <wp:simplePos x="0" y="0"/>
                <wp:positionH relativeFrom="column">
                  <wp:posOffset>1388110</wp:posOffset>
                </wp:positionH>
                <wp:positionV relativeFrom="paragraph">
                  <wp:posOffset>9328785</wp:posOffset>
                </wp:positionV>
                <wp:extent cx="5250180" cy="544195"/>
                <wp:effectExtent l="0" t="0" r="7620" b="4445"/>
                <wp:wrapNone/>
                <wp:docPr id="1037" name="文本框 20"/>
                <wp:cNvGraphicFramePr/>
                <a:graphic xmlns:a="http://schemas.openxmlformats.org/drawingml/2006/main">
                  <a:graphicData uri="http://schemas.microsoft.com/office/word/2010/wordprocessingShape">
                    <wps:wsp>
                      <wps:cNvSpPr/>
                      <wps:spPr>
                        <a:xfrm>
                          <a:off x="0" y="0"/>
                          <a:ext cx="5250180" cy="544194"/>
                        </a:xfrm>
                        <a:prstGeom prst="rect">
                          <a:avLst/>
                        </a:prstGeom>
                        <a:solidFill>
                          <a:srgbClr val="FFFFFF"/>
                        </a:solidFill>
                        <a:ln>
                          <a:noFill/>
                        </a:ln>
                      </wps:spPr>
                      <wps:txbx>
                        <w:txbxContent>
                          <w:p w14:paraId="2BA548F1">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07F60909">
                            <w:pPr>
                              <w:jc w:val="center"/>
                              <w:rPr>
                                <w:sz w:val="28"/>
                              </w:rPr>
                            </w:pPr>
                          </w:p>
                        </w:txbxContent>
                      </wps:txbx>
                      <wps:bodyPr vert="horz" wrap="square" lIns="91440" tIns="45720" rIns="91440" bIns="45720" anchor="t" upright="1">
                        <a:noAutofit/>
                      </wps:bodyPr>
                    </wps:wsp>
                  </a:graphicData>
                </a:graphic>
              </wp:anchor>
            </w:drawing>
          </mc:Choice>
          <mc:Fallback>
            <w:pict>
              <v:rect id="文本框 20" o:spid="_x0000_s1026" o:spt="1" style="position:absolute;left:0pt;margin-left:109.3pt;margin-top:734.55pt;height:42.85pt;width:413.4pt;z-index:251659264;mso-width-relative:page;mso-height-relative:page;" fillcolor="#FFFFFF" filled="t" stroked="f" coordsize="21600,21600" o:gfxdata="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WzNeS9oAAAAOAQAADwAAAAAAAAABACAAAAAiAAAAZHJzL2Rvd25yZXYu&#10;eG1sUEsBAhQAFAAAAAgAh07iQKvWumD5AQAA5AMAAA4AAAAAAAAAAQAgAAAAKQEAAGRycy9lMm9E&#10;b2MueG1sUEsFBgAAAAAGAAYAWQEAAJQFAAAAAA==&#10;">
                <v:fill on="t" focussize="0,0"/>
                <v:stroke on="f"/>
                <v:imagedata o:title=""/>
                <o:lock v:ext="edit" aspectratio="f"/>
                <v:textbox>
                  <w:txbxContent>
                    <w:p w14:paraId="2BA548F1">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07F60909">
                      <w:pPr>
                        <w:jc w:val="center"/>
                        <w:rPr>
                          <w:sz w:val="28"/>
                        </w:rPr>
                      </w:pPr>
                    </w:p>
                  </w:txbxContent>
                </v:textbox>
              </v:rect>
            </w:pict>
          </mc:Fallback>
        </mc:AlternateContent>
      </w:r>
      <w:r>
        <w:rPr>
          <w:rFonts w:ascii="Times New Roman" w:hAnsi="Times New Roman" w:eastAsia="黑体" w:cs="Times New Roman"/>
          <w:color w:val="auto"/>
          <w:sz w:val="32"/>
          <w:szCs w:val="32"/>
        </w:rPr>
        <mc:AlternateContent>
          <mc:Choice Requires="wps">
            <w:drawing>
              <wp:anchor distT="0" distB="0" distL="0" distR="0" simplePos="0" relativeHeight="251659264" behindDoc="0" locked="0" layoutInCell="1" allowOverlap="1">
                <wp:simplePos x="0" y="0"/>
                <wp:positionH relativeFrom="column">
                  <wp:posOffset>1388110</wp:posOffset>
                </wp:positionH>
                <wp:positionV relativeFrom="paragraph">
                  <wp:posOffset>9328785</wp:posOffset>
                </wp:positionV>
                <wp:extent cx="5250180" cy="544195"/>
                <wp:effectExtent l="0" t="0" r="7620" b="4445"/>
                <wp:wrapNone/>
                <wp:docPr id="1038" name="文本框 11"/>
                <wp:cNvGraphicFramePr/>
                <a:graphic xmlns:a="http://schemas.openxmlformats.org/drawingml/2006/main">
                  <a:graphicData uri="http://schemas.microsoft.com/office/word/2010/wordprocessingShape">
                    <wps:wsp>
                      <wps:cNvSpPr/>
                      <wps:spPr>
                        <a:xfrm>
                          <a:off x="0" y="0"/>
                          <a:ext cx="5250180" cy="544194"/>
                        </a:xfrm>
                        <a:prstGeom prst="rect">
                          <a:avLst/>
                        </a:prstGeom>
                        <a:solidFill>
                          <a:srgbClr val="FFFFFF"/>
                        </a:solidFill>
                        <a:ln>
                          <a:noFill/>
                        </a:ln>
                      </wps:spPr>
                      <wps:txbx>
                        <w:txbxContent>
                          <w:p w14:paraId="343A8372">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7D1DE8D0">
                            <w:pPr>
                              <w:jc w:val="center"/>
                              <w:rPr>
                                <w:sz w:val="28"/>
                              </w:rPr>
                            </w:pPr>
                          </w:p>
                        </w:txbxContent>
                      </wps:txbx>
                      <wps:bodyPr vert="horz" wrap="square" lIns="91440" tIns="45720" rIns="91440" bIns="45720" anchor="t" upright="1">
                        <a:noAutofit/>
                      </wps:bodyPr>
                    </wps:wsp>
                  </a:graphicData>
                </a:graphic>
              </wp:anchor>
            </w:drawing>
          </mc:Choice>
          <mc:Fallback>
            <w:pict>
              <v:rect id="文本框 11" o:spid="_x0000_s1026" o:spt="1" style="position:absolute;left:0pt;margin-left:109.3pt;margin-top:734.55pt;height:42.85pt;width:413.4pt;z-index:251659264;mso-width-relative:page;mso-height-relative:page;" fillcolor="#FFFFFF" filled="t" stroked="f" coordsize="21600,21600" o:gfxdata="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bM15L2gAAAA4BAAAPAAAAAAAAAAEAIAAAACIAAABkcnMvZG93bnJldi54&#10;bWxQSwECFAAUAAAACACHTuJAgFjjNvgBAADkAwAADgAAAAAAAAABACAAAAApAQAAZHJzL2Uyb0Rv&#10;Yy54bWxQSwUGAAAAAAYABgBZAQAAkwUAAAAA&#10;">
                <v:fill on="t" focussize="0,0"/>
                <v:stroke on="f"/>
                <v:imagedata o:title=""/>
                <o:lock v:ext="edit" aspectratio="f"/>
                <v:textbox>
                  <w:txbxContent>
                    <w:p w14:paraId="343A8372">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7D1DE8D0">
                      <w:pPr>
                        <w:jc w:val="center"/>
                        <w:rPr>
                          <w:sz w:val="28"/>
                        </w:rPr>
                      </w:pPr>
                    </w:p>
                  </w:txbxContent>
                </v:textbox>
              </v:rect>
            </w:pict>
          </mc:Fallback>
        </mc:AlternateContent>
      </w:r>
      <w:r>
        <w:rPr>
          <w:rFonts w:ascii="Times New Roman" w:hAnsi="Times New Roman" w:eastAsia="黑体" w:cs="Times New Roman"/>
          <w:color w:val="auto"/>
          <w:sz w:val="32"/>
          <w:szCs w:val="32"/>
        </w:rPr>
        <mc:AlternateContent>
          <mc:Choice Requires="wps">
            <w:drawing>
              <wp:anchor distT="0" distB="0" distL="0" distR="0" simplePos="0" relativeHeight="251659264" behindDoc="0" locked="0" layoutInCell="1" allowOverlap="1">
                <wp:simplePos x="0" y="0"/>
                <wp:positionH relativeFrom="column">
                  <wp:posOffset>1388110</wp:posOffset>
                </wp:positionH>
                <wp:positionV relativeFrom="paragraph">
                  <wp:posOffset>9328785</wp:posOffset>
                </wp:positionV>
                <wp:extent cx="5250180" cy="544195"/>
                <wp:effectExtent l="0" t="0" r="7620" b="4445"/>
                <wp:wrapNone/>
                <wp:docPr id="1039" name="文本框 10"/>
                <wp:cNvGraphicFramePr/>
                <a:graphic xmlns:a="http://schemas.openxmlformats.org/drawingml/2006/main">
                  <a:graphicData uri="http://schemas.microsoft.com/office/word/2010/wordprocessingShape">
                    <wps:wsp>
                      <wps:cNvSpPr/>
                      <wps:spPr>
                        <a:xfrm>
                          <a:off x="0" y="0"/>
                          <a:ext cx="5250180" cy="544194"/>
                        </a:xfrm>
                        <a:prstGeom prst="rect">
                          <a:avLst/>
                        </a:prstGeom>
                        <a:solidFill>
                          <a:srgbClr val="FFFFFF"/>
                        </a:solidFill>
                        <a:ln>
                          <a:noFill/>
                        </a:ln>
                      </wps:spPr>
                      <wps:txbx>
                        <w:txbxContent>
                          <w:p w14:paraId="44E382E7">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0F81B190">
                            <w:pPr>
                              <w:jc w:val="center"/>
                              <w:rPr>
                                <w:sz w:val="28"/>
                              </w:rPr>
                            </w:pPr>
                          </w:p>
                        </w:txbxContent>
                      </wps:txbx>
                      <wps:bodyPr vert="horz" wrap="square" lIns="91440" tIns="45720" rIns="91440" bIns="45720" anchor="t" upright="1">
                        <a:noAutofit/>
                      </wps:bodyPr>
                    </wps:wsp>
                  </a:graphicData>
                </a:graphic>
              </wp:anchor>
            </w:drawing>
          </mc:Choice>
          <mc:Fallback>
            <w:pict>
              <v:rect id="文本框 10" o:spid="_x0000_s1026" o:spt="1" style="position:absolute;left:0pt;margin-left:109.3pt;margin-top:734.55pt;height:42.85pt;width:413.4pt;z-index:251659264;mso-width-relative:page;mso-height-relative:page;" fillcolor="#FFFFFF" filled="t" stroked="f" coordsize="21600,21600" o:gfxdata="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bM15L2gAAAA4BAAAPAAAAAAAAAAEAIAAAACIAAABkcnMvZG93bnJldi54&#10;bWxQSwECFAAUAAAACACHTuJAgpTE6/gBAADkAwAADgAAAAAAAAABACAAAAApAQAAZHJzL2Uyb0Rv&#10;Yy54bWxQSwUGAAAAAAYABgBZAQAAkwUAAAAA&#10;">
                <v:fill on="t" focussize="0,0"/>
                <v:stroke on="f"/>
                <v:imagedata o:title=""/>
                <o:lock v:ext="edit" aspectratio="f"/>
                <v:textbox>
                  <w:txbxContent>
                    <w:p w14:paraId="44E382E7">
                      <w:pPr>
                        <w:jc w:val="center"/>
                        <w:rPr>
                          <w:sz w:val="28"/>
                          <w:szCs w:val="28"/>
                        </w:rPr>
                      </w:pPr>
                      <w:r>
                        <w:rPr>
                          <w:rFonts w:hint="eastAsia" w:ascii="黑体" w:eastAsia="黑体"/>
                          <w:spacing w:val="20"/>
                          <w:w w:val="135"/>
                          <w:kern w:val="0"/>
                          <w:sz w:val="28"/>
                          <w:szCs w:val="28"/>
                        </w:rPr>
                        <w:t>中国林学会</w:t>
                      </w:r>
                      <w:r>
                        <w:rPr>
                          <w:rFonts w:ascii="黑体" w:eastAsia="黑体"/>
                          <w:spacing w:val="20"/>
                          <w:w w:val="135"/>
                          <w:kern w:val="0"/>
                          <w:sz w:val="28"/>
                          <w:szCs w:val="28"/>
                        </w:rPr>
                        <w:t xml:space="preserve"> </w:t>
                      </w:r>
                      <w:r>
                        <w:rPr>
                          <w:rFonts w:hint="eastAsia" w:ascii="黑体" w:hAnsi="黑体" w:eastAsia="黑体"/>
                          <w:sz w:val="28"/>
                          <w:szCs w:val="28"/>
                        </w:rPr>
                        <w:t>发 布</w:t>
                      </w:r>
                    </w:p>
                    <w:p w14:paraId="0F81B190">
                      <w:pPr>
                        <w:jc w:val="center"/>
                        <w:rPr>
                          <w:sz w:val="28"/>
                        </w:rPr>
                      </w:pPr>
                    </w:p>
                  </w:txbxContent>
                </v:textbox>
              </v:rect>
            </w:pict>
          </mc:Fallback>
        </mc:AlternateContent>
      </w:r>
      <w:bookmarkEnd w:id="0"/>
      <w:r>
        <w:rPr>
          <w:rFonts w:hint="eastAsia" w:ascii="Times New Roman" w:hAnsi="Times New Roman" w:eastAsia="黑体" w:cs="Times New Roman"/>
          <w:color w:val="auto"/>
          <w:sz w:val="32"/>
          <w:szCs w:val="32"/>
        </w:rPr>
        <w:t>林下经济</w:t>
      </w:r>
      <w:r>
        <w:rPr>
          <w:rFonts w:hint="eastAsia" w:ascii="Times New Roman" w:hAnsi="Times New Roman" w:eastAsia="黑体" w:cs="Times New Roman"/>
          <w:color w:val="auto"/>
          <w:sz w:val="32"/>
          <w:szCs w:val="32"/>
          <w:lang w:val="en-US" w:eastAsia="zh-CN"/>
        </w:rPr>
        <w:t>产品目录</w:t>
      </w:r>
    </w:p>
    <w:p w14:paraId="6052ED6D">
      <w:pPr>
        <w:keepNext w:val="0"/>
        <w:keepLines w:val="0"/>
        <w:pageBreakBefore w:val="0"/>
        <w:widowControl/>
        <w:kinsoku/>
        <w:wordWrap/>
        <w:overflowPunct/>
        <w:topLinePunct w:val="0"/>
        <w:bidi w:val="0"/>
        <w:spacing w:beforeLines="100" w:afterLines="100" w:line="300" w:lineRule="exact"/>
        <w:textAlignment w:val="auto"/>
        <w:outlineLvl w:val="0"/>
        <w:rPr>
          <w:rFonts w:hint="eastAsia" w:ascii="宋体" w:hAnsi="Times New Roman" w:eastAsia="宋体" w:cs="Times New Roman"/>
          <w:color w:val="auto"/>
          <w:kern w:val="0"/>
          <w:szCs w:val="20"/>
        </w:rPr>
      </w:pPr>
      <w:bookmarkStart w:id="11" w:name="_Toc27577306"/>
      <w:bookmarkStart w:id="12" w:name="_Toc27991496"/>
      <w:bookmarkStart w:id="13" w:name="_Toc28157015"/>
      <w:bookmarkStart w:id="14" w:name="_Toc29875"/>
      <w:bookmarkStart w:id="15" w:name="_Toc123923795"/>
      <w:bookmarkStart w:id="16" w:name="_Toc27991564"/>
      <w:bookmarkStart w:id="17" w:name="_Toc27577375"/>
      <w:bookmarkStart w:id="18" w:name="_Toc25676336"/>
      <w:r>
        <w:rPr>
          <w:rFonts w:hint="eastAsia" w:ascii="黑体" w:hAnsi="Times New Roman" w:eastAsia="黑体" w:cs="Times New Roman"/>
          <w:color w:val="auto"/>
          <w:kern w:val="0"/>
          <w:szCs w:val="20"/>
        </w:rPr>
        <w:t>1</w:t>
      </w:r>
      <w:r>
        <w:rPr>
          <w:rFonts w:hint="eastAsia" w:ascii="黑体" w:hAnsi="Times New Roman" w:eastAsia="黑体" w:cs="Times New Roman"/>
          <w:color w:val="auto"/>
          <w:kern w:val="0"/>
          <w:szCs w:val="20"/>
          <w:lang w:val="en-US" w:eastAsia="zh-CN"/>
        </w:rPr>
        <w:t xml:space="preserve">  </w:t>
      </w:r>
      <w:r>
        <w:rPr>
          <w:rFonts w:hint="eastAsia" w:ascii="黑体" w:hAnsi="Times New Roman" w:eastAsia="黑体" w:cs="Times New Roman"/>
          <w:color w:val="auto"/>
          <w:kern w:val="0"/>
          <w:szCs w:val="20"/>
        </w:rPr>
        <w:t>范围</w:t>
      </w:r>
      <w:bookmarkEnd w:id="11"/>
      <w:bookmarkEnd w:id="12"/>
      <w:bookmarkEnd w:id="13"/>
      <w:bookmarkEnd w:id="14"/>
      <w:bookmarkEnd w:id="15"/>
      <w:bookmarkEnd w:id="16"/>
      <w:bookmarkEnd w:id="17"/>
      <w:bookmarkEnd w:id="18"/>
    </w:p>
    <w:p w14:paraId="5CE9B309">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rPr>
      </w:pPr>
      <w:r>
        <w:rPr>
          <w:rFonts w:hint="eastAsia" w:ascii="宋体" w:hAnsi="Times New Roman" w:eastAsia="宋体" w:cs="Times New Roman"/>
          <w:color w:val="auto"/>
          <w:kern w:val="0"/>
          <w:szCs w:val="20"/>
        </w:rPr>
        <w:t>本</w:t>
      </w:r>
      <w:r>
        <w:rPr>
          <w:rFonts w:hint="eastAsia" w:ascii="宋体" w:hAnsi="Times New Roman" w:cs="Times New Roman"/>
          <w:color w:val="auto"/>
          <w:kern w:val="0"/>
          <w:szCs w:val="20"/>
          <w:lang w:val="en-US" w:eastAsia="zh-CN"/>
        </w:rPr>
        <w:t>文件</w:t>
      </w:r>
      <w:r>
        <w:rPr>
          <w:rFonts w:hint="eastAsia" w:ascii="宋体" w:hAnsi="Times New Roman" w:eastAsia="宋体" w:cs="Times New Roman"/>
          <w:color w:val="auto"/>
          <w:kern w:val="0"/>
          <w:szCs w:val="20"/>
        </w:rPr>
        <w:t>规定了林下经济产品的</w:t>
      </w:r>
      <w:r>
        <w:rPr>
          <w:rFonts w:hint="eastAsia" w:ascii="宋体" w:hAnsi="Times New Roman" w:eastAsia="宋体" w:cs="Times New Roman"/>
          <w:color w:val="auto"/>
          <w:kern w:val="0"/>
          <w:szCs w:val="20"/>
          <w:highlight w:val="none"/>
        </w:rPr>
        <w:t>分类体系</w:t>
      </w:r>
      <w:r>
        <w:rPr>
          <w:rFonts w:hint="eastAsia" w:ascii="宋体" w:hAnsi="Times New Roman" w:cs="Times New Roman"/>
          <w:color w:val="auto"/>
          <w:kern w:val="0"/>
          <w:szCs w:val="20"/>
          <w:highlight w:val="none"/>
          <w:lang w:eastAsia="zh-CN"/>
        </w:rPr>
        <w:t>、</w:t>
      </w:r>
      <w:r>
        <w:rPr>
          <w:rFonts w:hint="eastAsia" w:ascii="宋体" w:hAnsi="Times New Roman" w:eastAsia="宋体" w:cs="Times New Roman"/>
          <w:color w:val="auto"/>
          <w:kern w:val="0"/>
          <w:szCs w:val="20"/>
          <w:highlight w:val="none"/>
        </w:rPr>
        <w:t>认定条件</w:t>
      </w:r>
      <w:r>
        <w:rPr>
          <w:rFonts w:hint="eastAsia" w:ascii="宋体" w:hAnsi="Times New Roman" w:cs="Times New Roman"/>
          <w:color w:val="auto"/>
          <w:kern w:val="0"/>
          <w:szCs w:val="20"/>
          <w:highlight w:val="none"/>
          <w:lang w:eastAsia="zh-CN"/>
        </w:rPr>
        <w:t>、</w:t>
      </w:r>
      <w:r>
        <w:rPr>
          <w:rFonts w:hint="eastAsia" w:ascii="宋体" w:hAnsi="Times New Roman" w:eastAsia="宋体" w:cs="Times New Roman"/>
          <w:color w:val="auto"/>
          <w:kern w:val="0"/>
          <w:szCs w:val="20"/>
          <w:highlight w:val="none"/>
        </w:rPr>
        <w:t>认定依据</w:t>
      </w:r>
      <w:r>
        <w:rPr>
          <w:rFonts w:hint="eastAsia" w:ascii="宋体" w:hAnsi="Times New Roman" w:cs="Times New Roman"/>
          <w:color w:val="auto"/>
          <w:kern w:val="0"/>
          <w:szCs w:val="20"/>
          <w:highlight w:val="none"/>
          <w:lang w:eastAsia="zh-CN"/>
        </w:rPr>
        <w:t>、</w:t>
      </w:r>
      <w:r>
        <w:rPr>
          <w:rFonts w:hint="eastAsia" w:ascii="宋体" w:hAnsi="Times New Roman" w:eastAsia="宋体" w:cs="Times New Roman"/>
          <w:color w:val="auto"/>
          <w:kern w:val="0"/>
          <w:szCs w:val="20"/>
          <w:highlight w:val="none"/>
        </w:rPr>
        <w:t>认定流程</w:t>
      </w:r>
      <w:r>
        <w:rPr>
          <w:rFonts w:hint="eastAsia" w:ascii="宋体" w:hAnsi="Times New Roman" w:cs="Times New Roman"/>
          <w:color w:val="auto"/>
          <w:kern w:val="0"/>
          <w:szCs w:val="20"/>
          <w:highlight w:val="none"/>
          <w:lang w:eastAsia="zh-CN"/>
        </w:rPr>
        <w:t>和</w:t>
      </w:r>
      <w:r>
        <w:rPr>
          <w:rFonts w:hint="eastAsia" w:ascii="宋体" w:hAnsi="Times New Roman" w:eastAsia="宋体" w:cs="Times New Roman"/>
          <w:color w:val="auto"/>
          <w:kern w:val="0"/>
          <w:szCs w:val="20"/>
          <w:highlight w:val="none"/>
        </w:rPr>
        <w:t>产品目录</w:t>
      </w:r>
      <w:r>
        <w:rPr>
          <w:rFonts w:hint="eastAsia" w:ascii="宋体" w:hAnsi="Times New Roman" w:cs="Times New Roman"/>
          <w:color w:val="auto"/>
          <w:kern w:val="0"/>
          <w:szCs w:val="20"/>
          <w:highlight w:val="none"/>
          <w:lang w:val="en-US" w:eastAsia="zh-CN"/>
        </w:rPr>
        <w:t>等内容</w:t>
      </w:r>
      <w:r>
        <w:rPr>
          <w:rFonts w:hint="eastAsia" w:ascii="宋体" w:hAnsi="Times New Roman" w:eastAsia="宋体" w:cs="Times New Roman"/>
          <w:color w:val="auto"/>
          <w:kern w:val="0"/>
          <w:szCs w:val="20"/>
        </w:rPr>
        <w:t>。</w:t>
      </w:r>
    </w:p>
    <w:p w14:paraId="43FC6220">
      <w:pPr>
        <w:keepNext w:val="0"/>
        <w:keepLines w:val="0"/>
        <w:pageBreakBefore w:val="0"/>
        <w:kinsoku/>
        <w:wordWrap/>
        <w:overflowPunct/>
        <w:topLinePunct w:val="0"/>
        <w:bidi w:val="0"/>
        <w:adjustRightInd w:val="0"/>
        <w:snapToGrid w:val="0"/>
        <w:spacing w:line="300" w:lineRule="exact"/>
        <w:ind w:firstLine="420" w:firstLineChars="200"/>
        <w:textAlignment w:val="auto"/>
        <w:rPr>
          <w:rFonts w:ascii="宋体" w:hAnsi="Times New Roman" w:eastAsia="宋体" w:cs="Times New Roman"/>
          <w:color w:val="auto"/>
          <w:kern w:val="0"/>
          <w:szCs w:val="20"/>
        </w:rPr>
      </w:pPr>
      <w:r>
        <w:rPr>
          <w:rFonts w:hint="eastAsia" w:ascii="宋体" w:hAnsi="Times New Roman" w:eastAsia="宋体" w:cs="Times New Roman"/>
          <w:color w:val="auto"/>
          <w:kern w:val="0"/>
          <w:szCs w:val="20"/>
        </w:rPr>
        <w:t>本</w:t>
      </w:r>
      <w:r>
        <w:rPr>
          <w:rFonts w:hint="eastAsia" w:ascii="宋体" w:hAnsi="Times New Roman" w:cs="Times New Roman"/>
          <w:color w:val="auto"/>
          <w:kern w:val="0"/>
          <w:szCs w:val="20"/>
          <w:lang w:val="en-US" w:eastAsia="zh-CN"/>
        </w:rPr>
        <w:t>文件</w:t>
      </w:r>
      <w:r>
        <w:rPr>
          <w:rFonts w:hint="eastAsia" w:ascii="宋体" w:hAnsi="Times New Roman" w:eastAsia="宋体" w:cs="Times New Roman"/>
          <w:color w:val="auto"/>
          <w:kern w:val="0"/>
          <w:szCs w:val="20"/>
        </w:rPr>
        <w:t>适用于林下经济产品的分类认定、目录编制、资源调查、产业统计、标准制定及相关产业活动。</w:t>
      </w:r>
    </w:p>
    <w:p w14:paraId="6AE4996B">
      <w:pPr>
        <w:keepNext w:val="0"/>
        <w:keepLines w:val="0"/>
        <w:pageBreakBefore w:val="0"/>
        <w:widowControl/>
        <w:kinsoku/>
        <w:wordWrap/>
        <w:overflowPunct/>
        <w:topLinePunct w:val="0"/>
        <w:bidi w:val="0"/>
        <w:spacing w:beforeLines="100" w:afterLines="100" w:line="300" w:lineRule="exact"/>
        <w:textAlignment w:val="auto"/>
        <w:outlineLvl w:val="0"/>
        <w:rPr>
          <w:rFonts w:hint="eastAsia" w:ascii="宋体" w:hAnsi="Times New Roman" w:eastAsia="宋体" w:cs="Times New Roman"/>
          <w:color w:val="auto"/>
          <w:kern w:val="0"/>
          <w:szCs w:val="24"/>
        </w:rPr>
      </w:pPr>
      <w:bookmarkStart w:id="19" w:name="_Toc123923796"/>
      <w:bookmarkStart w:id="20" w:name="_Toc27991565"/>
      <w:bookmarkStart w:id="21" w:name="_Toc25676337"/>
      <w:bookmarkStart w:id="22" w:name="_Toc28157016"/>
      <w:bookmarkStart w:id="23" w:name="_Toc27577307"/>
      <w:bookmarkStart w:id="24" w:name="_Toc27577376"/>
      <w:bookmarkStart w:id="25" w:name="_Toc27991497"/>
      <w:bookmarkStart w:id="26" w:name="_Toc6048"/>
      <w:r>
        <w:rPr>
          <w:rFonts w:hint="eastAsia" w:ascii="黑体" w:hAnsi="Times New Roman" w:eastAsia="黑体" w:cs="Times New Roman"/>
          <w:color w:val="auto"/>
          <w:kern w:val="0"/>
          <w:szCs w:val="20"/>
        </w:rPr>
        <w:t>2</w:t>
      </w:r>
      <w:r>
        <w:rPr>
          <w:rFonts w:hint="eastAsia" w:ascii="黑体" w:hAnsi="Times New Roman" w:eastAsia="黑体" w:cs="Times New Roman"/>
          <w:color w:val="auto"/>
          <w:kern w:val="0"/>
          <w:szCs w:val="20"/>
          <w:lang w:val="en-US" w:eastAsia="zh-CN"/>
        </w:rPr>
        <w:t xml:space="preserve">  </w:t>
      </w:r>
      <w:r>
        <w:rPr>
          <w:rFonts w:hint="eastAsia" w:ascii="黑体" w:hAnsi="Times New Roman" w:eastAsia="黑体" w:cs="Times New Roman"/>
          <w:color w:val="auto"/>
          <w:kern w:val="0"/>
          <w:szCs w:val="20"/>
        </w:rPr>
        <w:t>规范性引用文件</w:t>
      </w:r>
      <w:bookmarkEnd w:id="19"/>
      <w:bookmarkEnd w:id="20"/>
      <w:bookmarkEnd w:id="21"/>
      <w:bookmarkEnd w:id="22"/>
      <w:bookmarkEnd w:id="23"/>
      <w:bookmarkEnd w:id="24"/>
      <w:bookmarkEnd w:id="25"/>
      <w:bookmarkEnd w:id="26"/>
    </w:p>
    <w:p w14:paraId="5EC447BF">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eastAsia="宋体" w:cs="Times New Roman"/>
          <w:color w:val="auto"/>
          <w:kern w:val="0"/>
          <w:szCs w:val="24"/>
        </w:rPr>
      </w:pPr>
      <w:r>
        <w:rPr>
          <w:rFonts w:hint="eastAsia" w:ascii="宋体" w:hAnsi="Times New Roman" w:eastAsia="宋体" w:cs="Times New Roman"/>
          <w:color w:val="auto"/>
          <w:kern w:val="0"/>
          <w:szCs w:val="24"/>
        </w:rPr>
        <w:t>下列文件中的内容通过文中的规范性引用而构成本文件必不可少的条款。其中，注日期的引用文件，仅该日期对应的版本适用于本文件</w:t>
      </w:r>
      <w:r>
        <w:rPr>
          <w:rFonts w:hint="eastAsia" w:ascii="宋体" w:hAnsi="Times New Roman" w:cs="Times New Roman"/>
          <w:color w:val="auto"/>
          <w:kern w:val="0"/>
          <w:szCs w:val="24"/>
          <w:lang w:eastAsia="zh-CN"/>
        </w:rPr>
        <w:t>；</w:t>
      </w:r>
      <w:r>
        <w:rPr>
          <w:rFonts w:hint="eastAsia" w:ascii="宋体" w:hAnsi="Times New Roman" w:eastAsia="宋体" w:cs="Times New Roman"/>
          <w:color w:val="auto"/>
          <w:kern w:val="0"/>
          <w:szCs w:val="24"/>
        </w:rPr>
        <w:t>不注日期的引用文件，其最新版本</w:t>
      </w:r>
      <w:r>
        <w:rPr>
          <w:rFonts w:hint="eastAsia" w:ascii="宋体" w:hAnsi="Times New Roman" w:cs="Times New Roman"/>
          <w:color w:val="auto"/>
          <w:kern w:val="0"/>
          <w:szCs w:val="24"/>
          <w:lang w:eastAsia="zh-CN"/>
        </w:rPr>
        <w:t>（</w:t>
      </w:r>
      <w:r>
        <w:rPr>
          <w:rFonts w:hint="eastAsia" w:ascii="宋体" w:hAnsi="Times New Roman" w:eastAsia="宋体" w:cs="Times New Roman"/>
          <w:color w:val="auto"/>
          <w:kern w:val="0"/>
          <w:szCs w:val="24"/>
        </w:rPr>
        <w:t>包括所有</w:t>
      </w:r>
      <w:r>
        <w:rPr>
          <w:rFonts w:hint="eastAsia" w:ascii="宋体" w:hAnsi="Times New Roman" w:cs="Times New Roman"/>
          <w:color w:val="auto"/>
          <w:kern w:val="0"/>
          <w:szCs w:val="24"/>
          <w:lang w:eastAsia="zh-CN"/>
        </w:rPr>
        <w:t>的</w:t>
      </w:r>
      <w:r>
        <w:rPr>
          <w:rFonts w:hint="eastAsia" w:ascii="宋体" w:hAnsi="Times New Roman" w:eastAsia="宋体" w:cs="Times New Roman"/>
          <w:color w:val="auto"/>
          <w:kern w:val="0"/>
          <w:szCs w:val="24"/>
        </w:rPr>
        <w:t>修改单</w:t>
      </w:r>
      <w:r>
        <w:rPr>
          <w:rFonts w:hint="eastAsia" w:ascii="宋体" w:hAnsi="Times New Roman" w:cs="Times New Roman"/>
          <w:color w:val="auto"/>
          <w:kern w:val="0"/>
          <w:szCs w:val="24"/>
          <w:lang w:eastAsia="zh-CN"/>
        </w:rPr>
        <w:t>）</w:t>
      </w:r>
      <w:r>
        <w:rPr>
          <w:rFonts w:hint="eastAsia" w:ascii="宋体" w:hAnsi="Times New Roman" w:eastAsia="宋体" w:cs="Times New Roman"/>
          <w:color w:val="auto"/>
          <w:kern w:val="0"/>
          <w:szCs w:val="24"/>
        </w:rPr>
        <w:t>适用于本文件。</w:t>
      </w:r>
    </w:p>
    <w:p w14:paraId="50B5BF6A">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cs="Times New Roman"/>
          <w:color w:val="auto"/>
          <w:kern w:val="0"/>
          <w:szCs w:val="24"/>
          <w:highlight w:val="none"/>
          <w:lang w:val="en-US" w:eastAsia="zh-CN"/>
        </w:rPr>
      </w:pPr>
      <w:r>
        <w:rPr>
          <w:rFonts w:hint="eastAsia" w:ascii="宋体" w:hAnsi="Times New Roman" w:cs="Times New Roman"/>
          <w:color w:val="auto"/>
          <w:kern w:val="0"/>
          <w:szCs w:val="24"/>
          <w:highlight w:val="none"/>
          <w:lang w:val="en-US" w:eastAsia="zh-CN"/>
        </w:rPr>
        <w:t>GB 14881  食品安全国家标准 食品生产通用卫生规范</w:t>
      </w:r>
    </w:p>
    <w:p w14:paraId="0AA8DAD1">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default" w:ascii="宋体" w:hAnsi="Times New Roman" w:cs="Times New Roman"/>
          <w:color w:val="auto"/>
          <w:kern w:val="0"/>
          <w:szCs w:val="24"/>
          <w:highlight w:val="yellow"/>
          <w:lang w:val="en-US" w:eastAsia="zh-CN"/>
        </w:rPr>
      </w:pPr>
      <w:r>
        <w:rPr>
          <w:rFonts w:hint="eastAsia" w:ascii="宋体" w:hAnsi="Times New Roman" w:cs="Times New Roman"/>
          <w:color w:val="auto"/>
          <w:kern w:val="0"/>
          <w:szCs w:val="24"/>
          <w:highlight w:val="none"/>
          <w:lang w:val="en-US" w:eastAsia="zh-CN"/>
        </w:rPr>
        <w:t>LY/T 3408-2024  林下经济术语</w:t>
      </w:r>
    </w:p>
    <w:p w14:paraId="6B9296C1">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cs="Times New Roman"/>
          <w:color w:val="auto"/>
          <w:kern w:val="0"/>
          <w:szCs w:val="24"/>
          <w:highlight w:val="none"/>
          <w:lang w:val="en-US" w:eastAsia="zh-CN"/>
        </w:rPr>
      </w:pPr>
      <w:r>
        <w:rPr>
          <w:rFonts w:hint="eastAsia" w:ascii="宋体" w:hAnsi="Times New Roman" w:cs="Times New Roman"/>
          <w:color w:val="auto"/>
          <w:kern w:val="0"/>
          <w:szCs w:val="24"/>
          <w:highlight w:val="none"/>
          <w:lang w:val="en-US" w:eastAsia="zh-CN"/>
        </w:rPr>
        <w:t>NY/T 391  绿色食品 产地环境质量</w:t>
      </w:r>
    </w:p>
    <w:p w14:paraId="36E25939">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cs="Times New Roman"/>
          <w:color w:val="auto"/>
          <w:kern w:val="0"/>
          <w:szCs w:val="24"/>
          <w:highlight w:val="none"/>
          <w:lang w:val="en-US" w:eastAsia="zh-CN"/>
        </w:rPr>
      </w:pPr>
      <w:r>
        <w:rPr>
          <w:rFonts w:hint="eastAsia" w:ascii="宋体" w:hAnsi="Times New Roman" w:cs="Times New Roman"/>
          <w:color w:val="auto"/>
          <w:kern w:val="0"/>
          <w:szCs w:val="24"/>
          <w:highlight w:val="none"/>
          <w:lang w:val="en-US" w:eastAsia="zh-CN"/>
        </w:rPr>
        <w:t>NY/T 394  绿色食品 肥料使用准则</w:t>
      </w:r>
    </w:p>
    <w:p w14:paraId="08A09570">
      <w:pPr>
        <w:keepNext w:val="0"/>
        <w:keepLines w:val="0"/>
        <w:pageBreakBefore w:val="0"/>
        <w:widowControl/>
        <w:tabs>
          <w:tab w:val="center" w:pos="4201"/>
          <w:tab w:val="right" w:leader="dot" w:pos="9298"/>
        </w:tabs>
        <w:kinsoku/>
        <w:wordWrap/>
        <w:overflowPunct/>
        <w:topLinePunct w:val="0"/>
        <w:autoSpaceDE w:val="0"/>
        <w:autoSpaceDN w:val="0"/>
        <w:bidi w:val="0"/>
        <w:spacing w:line="300" w:lineRule="exact"/>
        <w:ind w:firstLine="420" w:firstLineChars="200"/>
        <w:textAlignment w:val="auto"/>
        <w:rPr>
          <w:rFonts w:hint="eastAsia" w:ascii="宋体" w:hAnsi="Times New Roman" w:cs="Times New Roman"/>
          <w:color w:val="auto"/>
          <w:kern w:val="0"/>
          <w:szCs w:val="24"/>
          <w:highlight w:val="none"/>
          <w:lang w:val="en-US" w:eastAsia="zh-CN"/>
        </w:rPr>
      </w:pPr>
      <w:r>
        <w:rPr>
          <w:rFonts w:hint="eastAsia" w:ascii="宋体" w:hAnsi="Times New Roman" w:cs="Times New Roman"/>
          <w:color w:val="auto"/>
          <w:kern w:val="0"/>
          <w:szCs w:val="24"/>
          <w:highlight w:val="none"/>
          <w:lang w:val="en-US" w:eastAsia="zh-CN"/>
        </w:rPr>
        <w:t>NY/T 393  绿色食品 农药使用准则</w:t>
      </w:r>
    </w:p>
    <w:p w14:paraId="17DB385B">
      <w:pPr>
        <w:keepNext w:val="0"/>
        <w:keepLines w:val="0"/>
        <w:pageBreakBefore w:val="0"/>
        <w:widowControl/>
        <w:kinsoku/>
        <w:wordWrap/>
        <w:overflowPunct/>
        <w:topLinePunct w:val="0"/>
        <w:bidi w:val="0"/>
        <w:spacing w:beforeLines="100" w:afterLines="100" w:line="300" w:lineRule="exact"/>
        <w:textAlignment w:val="auto"/>
        <w:outlineLvl w:val="0"/>
        <w:rPr>
          <w:rFonts w:ascii="黑体" w:hAnsi="Times New Roman" w:eastAsia="黑体" w:cs="Times New Roman"/>
          <w:color w:val="auto"/>
          <w:kern w:val="0"/>
          <w:szCs w:val="20"/>
        </w:rPr>
      </w:pPr>
      <w:bookmarkStart w:id="27" w:name="_Toc123923797"/>
      <w:bookmarkStart w:id="28" w:name="_Toc15501"/>
      <w:r>
        <w:rPr>
          <w:rFonts w:hint="eastAsia" w:ascii="黑体" w:hAnsi="Times New Roman" w:eastAsia="黑体" w:cs="Times New Roman"/>
          <w:color w:val="auto"/>
          <w:kern w:val="0"/>
          <w:szCs w:val="20"/>
        </w:rPr>
        <w:t>3</w:t>
      </w:r>
      <w:r>
        <w:rPr>
          <w:rFonts w:hint="eastAsia" w:ascii="黑体" w:hAnsi="Times New Roman" w:eastAsia="黑体" w:cs="Times New Roman"/>
          <w:color w:val="auto"/>
          <w:kern w:val="0"/>
          <w:szCs w:val="20"/>
          <w:lang w:val="en-US" w:eastAsia="zh-CN"/>
        </w:rPr>
        <w:t xml:space="preserve">  </w:t>
      </w:r>
      <w:r>
        <w:rPr>
          <w:rFonts w:hint="eastAsia" w:ascii="黑体" w:hAnsi="Times New Roman" w:eastAsia="黑体" w:cs="Times New Roman"/>
          <w:color w:val="auto"/>
          <w:kern w:val="0"/>
          <w:szCs w:val="20"/>
        </w:rPr>
        <w:t>术语和定义</w:t>
      </w:r>
      <w:bookmarkEnd w:id="27"/>
      <w:bookmarkEnd w:id="28"/>
    </w:p>
    <w:p w14:paraId="18D049E4">
      <w:pPr>
        <w:keepNext w:val="0"/>
        <w:keepLines w:val="0"/>
        <w:pageBreakBefore w:val="0"/>
        <w:widowControl w:val="0"/>
        <w:kinsoku/>
        <w:wordWrap/>
        <w:overflowPunct/>
        <w:topLinePunct w:val="0"/>
        <w:autoSpaceDE/>
        <w:autoSpaceDN/>
        <w:bidi w:val="0"/>
        <w:adjustRightInd w:val="0"/>
        <w:snapToGrid w:val="0"/>
        <w:spacing w:after="157" w:afterLines="50" w:line="300" w:lineRule="exact"/>
        <w:ind w:firstLine="420" w:firstLineChars="200"/>
        <w:textAlignment w:val="auto"/>
        <w:rPr>
          <w:rFonts w:hint="default" w:ascii="宋体" w:hAnsi="Times New Roman" w:eastAsia="宋体" w:cs="Times New Roman"/>
          <w:b/>
          <w:bCs/>
          <w:color w:val="auto"/>
          <w:kern w:val="0"/>
          <w:szCs w:val="20"/>
          <w:highlight w:val="yellow"/>
          <w:lang w:val="en-US" w:eastAsia="zh-CN"/>
        </w:rPr>
      </w:pPr>
      <w:r>
        <w:rPr>
          <w:rFonts w:hint="eastAsia" w:ascii="宋体" w:hAnsi="Times New Roman" w:eastAsia="宋体" w:cs="Times New Roman"/>
          <w:color w:val="auto"/>
          <w:kern w:val="0"/>
          <w:szCs w:val="24"/>
          <w:highlight w:val="none"/>
          <w:lang w:val="en-US" w:eastAsia="zh-CN"/>
        </w:rPr>
        <w:t>下</w:t>
      </w:r>
      <w:r>
        <w:rPr>
          <w:rFonts w:hint="eastAsia" w:ascii="宋体" w:hAnsi="Times New Roman" w:cs="Times New Roman"/>
          <w:color w:val="auto"/>
          <w:kern w:val="0"/>
          <w:szCs w:val="24"/>
          <w:highlight w:val="none"/>
          <w:lang w:val="en-US" w:eastAsia="zh-CN"/>
        </w:rPr>
        <w:t>列</w:t>
      </w:r>
      <w:r>
        <w:rPr>
          <w:rFonts w:hint="eastAsia" w:ascii="宋体" w:hAnsi="Times New Roman" w:eastAsia="宋体" w:cs="Times New Roman"/>
          <w:color w:val="auto"/>
          <w:kern w:val="0"/>
          <w:szCs w:val="24"/>
          <w:highlight w:val="none"/>
          <w:lang w:val="en-US" w:eastAsia="zh-CN"/>
        </w:rPr>
        <w:t>术语和定义适用于本文件。</w:t>
      </w:r>
    </w:p>
    <w:p w14:paraId="1B13CCE9">
      <w:pPr>
        <w:keepNext w:val="0"/>
        <w:keepLines w:val="0"/>
        <w:pageBreakBefore w:val="0"/>
        <w:kinsoku/>
        <w:wordWrap/>
        <w:overflowPunct/>
        <w:topLinePunct w:val="0"/>
        <w:bidi w:val="0"/>
        <w:adjustRightInd w:val="0"/>
        <w:snapToGrid w:val="0"/>
        <w:spacing w:before="157" w:beforeLines="50" w:after="157" w:afterLines="50" w:line="240" w:lineRule="auto"/>
        <w:textAlignment w:val="auto"/>
        <w:rPr>
          <w:rFonts w:hint="eastAsia" w:ascii="黑体" w:hAnsi="黑体" w:eastAsia="黑体" w:cs="黑体"/>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3.1  </w:t>
      </w:r>
    </w:p>
    <w:p w14:paraId="4D1B35DC">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Times New Roman" w:hAnsi="Times New Roman" w:cs="Times New Roman"/>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林下经济</w:t>
      </w:r>
      <w:r>
        <w:rPr>
          <w:rFonts w:hint="eastAsia" w:ascii="宋体" w:hAnsi="Times New Roman" w:cs="Times New Roman"/>
          <w:b/>
          <w:bCs/>
          <w:color w:val="auto"/>
          <w:kern w:val="0"/>
          <w:szCs w:val="20"/>
          <w:highlight w:val="none"/>
          <w:lang w:val="en-US" w:eastAsia="zh-CN"/>
        </w:rPr>
        <w:t xml:space="preserve">  </w:t>
      </w:r>
      <w:r>
        <w:rPr>
          <w:rFonts w:hint="default" w:ascii="Times New Roman" w:hAnsi="Times New Roman" w:cs="Times New Roman"/>
          <w:b w:val="0"/>
          <w:bCs w:val="0"/>
          <w:color w:val="auto"/>
          <w:kern w:val="0"/>
          <w:szCs w:val="20"/>
          <w:highlight w:val="none"/>
          <w:lang w:eastAsia="zh-CN"/>
        </w:rPr>
        <w:t>n</w:t>
      </w:r>
      <w:r>
        <w:rPr>
          <w:rFonts w:hint="default" w:ascii="Times New Roman" w:hAnsi="Times New Roman" w:cs="Times New Roman"/>
          <w:b w:val="0"/>
          <w:bCs w:val="0"/>
          <w:color w:val="auto"/>
          <w:kern w:val="0"/>
          <w:szCs w:val="20"/>
          <w:highlight w:val="none"/>
        </w:rPr>
        <w:t xml:space="preserve">on-timber </w:t>
      </w:r>
      <w:r>
        <w:rPr>
          <w:rFonts w:hint="default" w:ascii="Times New Roman" w:hAnsi="Times New Roman" w:cs="Times New Roman"/>
          <w:b w:val="0"/>
          <w:bCs w:val="0"/>
          <w:color w:val="auto"/>
          <w:kern w:val="0"/>
          <w:szCs w:val="20"/>
          <w:highlight w:val="none"/>
          <w:lang w:eastAsia="zh-CN"/>
        </w:rPr>
        <w:t>f</w:t>
      </w:r>
      <w:r>
        <w:rPr>
          <w:rFonts w:hint="default" w:ascii="Times New Roman" w:hAnsi="Times New Roman" w:cs="Times New Roman"/>
          <w:b w:val="0"/>
          <w:bCs w:val="0"/>
          <w:color w:val="auto"/>
          <w:kern w:val="0"/>
          <w:szCs w:val="20"/>
          <w:highlight w:val="none"/>
        </w:rPr>
        <w:t xml:space="preserve">orest-based </w:t>
      </w:r>
      <w:r>
        <w:rPr>
          <w:rFonts w:hint="default" w:ascii="Times New Roman" w:hAnsi="Times New Roman" w:cs="Times New Roman"/>
          <w:b w:val="0"/>
          <w:bCs w:val="0"/>
          <w:color w:val="auto"/>
          <w:kern w:val="0"/>
          <w:szCs w:val="20"/>
          <w:highlight w:val="none"/>
          <w:lang w:eastAsia="zh-CN"/>
        </w:rPr>
        <w:t>e</w:t>
      </w:r>
      <w:r>
        <w:rPr>
          <w:rFonts w:hint="default" w:ascii="Times New Roman" w:hAnsi="Times New Roman" w:cs="Times New Roman"/>
          <w:b w:val="0"/>
          <w:bCs w:val="0"/>
          <w:color w:val="auto"/>
          <w:kern w:val="0"/>
          <w:szCs w:val="20"/>
          <w:highlight w:val="none"/>
        </w:rPr>
        <w:t>conomy</w:t>
      </w:r>
    </w:p>
    <w:p w14:paraId="6009D382">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highlight w:val="none"/>
          <w:lang w:val="en-US" w:eastAsia="zh-CN"/>
        </w:rPr>
      </w:pPr>
      <w:r>
        <w:rPr>
          <w:rFonts w:hint="eastAsia" w:ascii="宋体" w:hAnsi="Times New Roman" w:eastAsia="宋体" w:cs="Times New Roman"/>
          <w:color w:val="auto"/>
          <w:kern w:val="0"/>
          <w:szCs w:val="20"/>
          <w:highlight w:val="none"/>
          <w:lang w:val="en-US" w:eastAsia="zh-CN"/>
        </w:rPr>
        <w:t>依托森林、林地及其生态环境，遵循可持续经营原则，以开展复合经营为主要特征的生态友好型经济。包括林下种植、林下养殖、林下采集、森林景观利用等经营活动</w:t>
      </w:r>
      <w:r>
        <w:rPr>
          <w:rFonts w:hint="eastAsia" w:ascii="宋体" w:hAnsi="Times New Roman" w:cs="Times New Roman"/>
          <w:color w:val="auto"/>
          <w:kern w:val="0"/>
          <w:szCs w:val="20"/>
          <w:highlight w:val="none"/>
          <w:lang w:val="en-US" w:eastAsia="zh-CN"/>
        </w:rPr>
        <w:t>。</w:t>
      </w:r>
    </w:p>
    <w:p w14:paraId="3709AF8D">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cs="Times New Roman"/>
          <w:b/>
          <w:bCs/>
          <w:color w:val="auto"/>
          <w:kern w:val="0"/>
          <w:szCs w:val="20"/>
          <w:highlight w:val="none"/>
          <w:lang w:val="en-US" w:eastAsia="zh-CN"/>
        </w:rPr>
      </w:pPr>
      <w:r>
        <w:rPr>
          <w:rFonts w:hint="eastAsia" w:ascii="宋体" w:hAnsi="Times New Roman" w:cs="Times New Roman"/>
          <w:color w:val="auto"/>
          <w:kern w:val="0"/>
          <w:szCs w:val="20"/>
          <w:highlight w:val="none"/>
          <w:lang w:val="en-US" w:eastAsia="zh-CN"/>
        </w:rPr>
        <w:t>[来源：</w:t>
      </w:r>
      <w:r>
        <w:rPr>
          <w:rFonts w:hint="eastAsia" w:ascii="宋体" w:hAnsi="Times New Roman" w:cs="Times New Roman"/>
          <w:color w:val="auto"/>
          <w:kern w:val="0"/>
          <w:szCs w:val="24"/>
          <w:highlight w:val="none"/>
          <w:lang w:val="en-US" w:eastAsia="zh-CN"/>
        </w:rPr>
        <w:t>LY/T 3408-2024，3.1</w:t>
      </w:r>
      <w:r>
        <w:rPr>
          <w:rFonts w:hint="eastAsia" w:ascii="宋体" w:hAnsi="Times New Roman" w:cs="Times New Roman"/>
          <w:color w:val="auto"/>
          <w:kern w:val="0"/>
          <w:szCs w:val="20"/>
          <w:highlight w:val="none"/>
          <w:lang w:val="en-US" w:eastAsia="zh-CN"/>
        </w:rPr>
        <w:t>]</w:t>
      </w:r>
    </w:p>
    <w:p w14:paraId="193B2A60">
      <w:pPr>
        <w:keepNext w:val="0"/>
        <w:keepLines w:val="0"/>
        <w:pageBreakBefore w:val="0"/>
        <w:kinsoku/>
        <w:wordWrap/>
        <w:overflowPunct/>
        <w:topLinePunct w:val="0"/>
        <w:bidi w:val="0"/>
        <w:adjustRightInd w:val="0"/>
        <w:snapToGrid w:val="0"/>
        <w:spacing w:before="157" w:beforeLines="50" w:after="157" w:afterLines="50" w:line="240" w:lineRule="auto"/>
        <w:textAlignment w:val="auto"/>
        <w:rPr>
          <w:rFonts w:hint="eastAsia" w:ascii="黑体" w:hAnsi="黑体" w:eastAsia="黑体" w:cs="黑体"/>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3.2  </w:t>
      </w:r>
    </w:p>
    <w:p w14:paraId="07CB62B8">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Times New Roman" w:hAnsi="Times New Roman" w:eastAsia="宋体" w:cs="Times New Roman"/>
          <w:color w:val="auto"/>
          <w:kern w:val="0"/>
          <w:szCs w:val="20"/>
          <w:highlight w:val="none"/>
          <w:lang w:val="en-US" w:eastAsia="zh-CN"/>
        </w:rPr>
      </w:pPr>
      <w:r>
        <w:rPr>
          <w:rFonts w:hint="eastAsia" w:ascii="黑体" w:hAnsi="黑体" w:eastAsia="黑体" w:cs="黑体"/>
          <w:b w:val="0"/>
          <w:bCs w:val="0"/>
          <w:color w:val="auto"/>
          <w:kern w:val="0"/>
          <w:szCs w:val="20"/>
          <w:highlight w:val="none"/>
        </w:rPr>
        <w:t>林下经济</w:t>
      </w:r>
      <w:r>
        <w:rPr>
          <w:rFonts w:hint="eastAsia" w:ascii="黑体" w:hAnsi="黑体" w:eastAsia="黑体" w:cs="黑体"/>
          <w:b w:val="0"/>
          <w:bCs w:val="0"/>
          <w:color w:val="auto"/>
          <w:kern w:val="0"/>
          <w:szCs w:val="20"/>
          <w:highlight w:val="none"/>
          <w:lang w:val="en-US" w:eastAsia="zh-CN"/>
        </w:rPr>
        <w:t>产品</w:t>
      </w:r>
      <w:r>
        <w:rPr>
          <w:rFonts w:hint="eastAsia" w:ascii="宋体" w:hAnsi="Times New Roman" w:cs="Times New Roman"/>
          <w:b/>
          <w:bCs/>
          <w:color w:val="auto"/>
          <w:kern w:val="0"/>
          <w:szCs w:val="20"/>
          <w:highlight w:val="none"/>
          <w:lang w:val="en-US" w:eastAsia="zh-CN"/>
        </w:rPr>
        <w:t xml:space="preserve">  </w:t>
      </w:r>
      <w:r>
        <w:rPr>
          <w:rFonts w:hint="default" w:ascii="Times New Roman" w:hAnsi="Times New Roman" w:cs="Times New Roman"/>
          <w:b w:val="0"/>
          <w:bCs w:val="0"/>
          <w:color w:val="auto"/>
          <w:kern w:val="0"/>
          <w:szCs w:val="20"/>
          <w:highlight w:val="none"/>
          <w:lang w:eastAsia="zh-CN"/>
        </w:rPr>
        <w:t>n</w:t>
      </w:r>
      <w:r>
        <w:rPr>
          <w:rFonts w:hint="default" w:ascii="Times New Roman" w:hAnsi="Times New Roman" w:cs="Times New Roman"/>
          <w:b w:val="0"/>
          <w:bCs w:val="0"/>
          <w:color w:val="auto"/>
          <w:kern w:val="0"/>
          <w:szCs w:val="20"/>
          <w:highlight w:val="none"/>
        </w:rPr>
        <w:t xml:space="preserve">on-timber </w:t>
      </w:r>
      <w:r>
        <w:rPr>
          <w:rFonts w:hint="default" w:ascii="Times New Roman" w:hAnsi="Times New Roman" w:cs="Times New Roman"/>
          <w:b w:val="0"/>
          <w:bCs w:val="0"/>
          <w:color w:val="auto"/>
          <w:kern w:val="0"/>
          <w:szCs w:val="20"/>
          <w:highlight w:val="none"/>
          <w:lang w:eastAsia="zh-CN"/>
        </w:rPr>
        <w:t>f</w:t>
      </w:r>
      <w:r>
        <w:rPr>
          <w:rFonts w:hint="default" w:ascii="Times New Roman" w:hAnsi="Times New Roman" w:cs="Times New Roman"/>
          <w:b w:val="0"/>
          <w:bCs w:val="0"/>
          <w:color w:val="auto"/>
          <w:kern w:val="0"/>
          <w:szCs w:val="20"/>
          <w:highlight w:val="none"/>
        </w:rPr>
        <w:t xml:space="preserve">orest-based </w:t>
      </w:r>
      <w:r>
        <w:rPr>
          <w:rFonts w:hint="default" w:ascii="Times New Roman" w:hAnsi="Times New Roman" w:cs="Times New Roman"/>
          <w:b w:val="0"/>
          <w:bCs w:val="0"/>
          <w:color w:val="auto"/>
          <w:kern w:val="0"/>
          <w:szCs w:val="20"/>
          <w:highlight w:val="none"/>
          <w:lang w:eastAsia="zh-CN"/>
        </w:rPr>
        <w:t>e</w:t>
      </w:r>
      <w:r>
        <w:rPr>
          <w:rFonts w:hint="default" w:ascii="Times New Roman" w:hAnsi="Times New Roman" w:cs="Times New Roman"/>
          <w:b w:val="0"/>
          <w:bCs w:val="0"/>
          <w:color w:val="auto"/>
          <w:kern w:val="0"/>
          <w:szCs w:val="20"/>
          <w:highlight w:val="none"/>
        </w:rPr>
        <w:t xml:space="preserve">conomy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rPr>
        <w:t>roducts</w:t>
      </w:r>
      <w:r>
        <w:rPr>
          <w:rFonts w:hint="default" w:ascii="Times New Roman" w:hAnsi="Times New Roman" w:cs="Times New Roman"/>
          <w:b w:val="0"/>
          <w:bCs w:val="0"/>
          <w:color w:val="auto"/>
          <w:kern w:val="0"/>
          <w:szCs w:val="20"/>
          <w:highlight w:val="none"/>
          <w:lang w:val="en-US" w:eastAsia="zh-CN"/>
        </w:rPr>
        <w:t xml:space="preserve"> and services</w:t>
      </w:r>
    </w:p>
    <w:p w14:paraId="414FC5A6">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cs="Times New Roman"/>
          <w:color w:val="auto"/>
          <w:kern w:val="0"/>
          <w:szCs w:val="20"/>
          <w:highlight w:val="none"/>
          <w:lang w:val="en-US" w:eastAsia="zh-CN"/>
        </w:rPr>
      </w:pPr>
      <w:r>
        <w:rPr>
          <w:rFonts w:hint="eastAsia" w:ascii="宋体" w:hAnsi="Times New Roman" w:eastAsia="宋体" w:cs="Times New Roman"/>
          <w:color w:val="auto"/>
          <w:kern w:val="0"/>
          <w:szCs w:val="20"/>
          <w:highlight w:val="none"/>
        </w:rPr>
        <w:t>由林下经济活动生产的植物性、动物性与微生物</w:t>
      </w:r>
      <w:r>
        <w:rPr>
          <w:rFonts w:hint="eastAsia" w:ascii="宋体" w:hAnsi="Times New Roman" w:cs="Times New Roman"/>
          <w:color w:val="auto"/>
          <w:kern w:val="0"/>
          <w:szCs w:val="20"/>
          <w:highlight w:val="none"/>
          <w:lang w:val="en-US" w:eastAsia="zh-CN"/>
        </w:rPr>
        <w:t>以及生态服务</w:t>
      </w:r>
      <w:r>
        <w:rPr>
          <w:rFonts w:hint="eastAsia" w:ascii="宋体" w:hAnsi="Times New Roman" w:eastAsia="宋体" w:cs="Times New Roman"/>
          <w:color w:val="auto"/>
          <w:kern w:val="0"/>
          <w:szCs w:val="20"/>
          <w:highlight w:val="none"/>
        </w:rPr>
        <w:t>等相关产品</w:t>
      </w:r>
      <w:r>
        <w:rPr>
          <w:rFonts w:hint="eastAsia" w:ascii="宋体" w:hAnsi="Times New Roman" w:cs="Times New Roman"/>
          <w:color w:val="auto"/>
          <w:kern w:val="0"/>
          <w:szCs w:val="20"/>
          <w:highlight w:val="none"/>
          <w:lang w:eastAsia="zh-CN"/>
        </w:rPr>
        <w:t>，</w:t>
      </w:r>
      <w:r>
        <w:rPr>
          <w:rFonts w:hint="eastAsia" w:ascii="宋体" w:hAnsi="Times New Roman" w:cs="Times New Roman"/>
          <w:color w:val="auto"/>
          <w:kern w:val="0"/>
          <w:szCs w:val="20"/>
          <w:highlight w:val="none"/>
          <w:lang w:val="en-US" w:eastAsia="zh-CN"/>
        </w:rPr>
        <w:t>包括初级产品和初加工产品。</w:t>
      </w:r>
    </w:p>
    <w:p w14:paraId="1E08563E">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highlight w:val="none"/>
        </w:rPr>
      </w:pPr>
      <w:r>
        <w:rPr>
          <w:rFonts w:hint="eastAsia" w:ascii="宋体" w:hAnsi="Times New Roman" w:cs="Times New Roman"/>
          <w:color w:val="auto"/>
          <w:kern w:val="0"/>
          <w:szCs w:val="20"/>
          <w:highlight w:val="none"/>
          <w:lang w:val="en-US" w:eastAsia="zh-CN"/>
        </w:rPr>
        <w:t>[来源：</w:t>
      </w:r>
      <w:r>
        <w:rPr>
          <w:rFonts w:hint="eastAsia" w:ascii="宋体" w:hAnsi="Times New Roman" w:cs="Times New Roman"/>
          <w:color w:val="auto"/>
          <w:kern w:val="0"/>
          <w:szCs w:val="24"/>
          <w:highlight w:val="none"/>
          <w:lang w:val="en-US" w:eastAsia="zh-CN"/>
        </w:rPr>
        <w:t>LY/T 3408-2024，3.7，有修改</w:t>
      </w:r>
      <w:r>
        <w:rPr>
          <w:rFonts w:hint="eastAsia" w:ascii="宋体" w:hAnsi="Times New Roman" w:cs="Times New Roman"/>
          <w:color w:val="auto"/>
          <w:kern w:val="0"/>
          <w:szCs w:val="20"/>
          <w:highlight w:val="none"/>
          <w:lang w:val="en-US" w:eastAsia="zh-CN"/>
        </w:rPr>
        <w:t>]</w:t>
      </w:r>
    </w:p>
    <w:p w14:paraId="41A4EDF8">
      <w:pPr>
        <w:keepNext w:val="0"/>
        <w:keepLines w:val="0"/>
        <w:pageBreakBefore w:val="0"/>
        <w:kinsoku/>
        <w:wordWrap/>
        <w:overflowPunct/>
        <w:topLinePunct w:val="0"/>
        <w:bidi w:val="0"/>
        <w:adjustRightInd w:val="0"/>
        <w:snapToGrid w:val="0"/>
        <w:spacing w:before="157" w:beforeLines="50" w:after="157" w:afterLines="50" w:line="240" w:lineRule="auto"/>
        <w:textAlignment w:val="auto"/>
        <w:rPr>
          <w:rFonts w:hint="eastAsia" w:ascii="黑体" w:hAnsi="黑体" w:eastAsia="黑体" w:cs="黑体"/>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3.3  </w:t>
      </w:r>
    </w:p>
    <w:p w14:paraId="35715A36">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Times New Roman" w:hAnsi="Times New Roman" w:cs="Times New Roman"/>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林下经济初级产品 </w:t>
      </w:r>
      <w:r>
        <w:rPr>
          <w:rFonts w:hint="eastAsia" w:ascii="宋体" w:hAnsi="Times New Roman" w:cs="Times New Roman"/>
          <w:b/>
          <w:bCs/>
          <w:color w:val="auto"/>
          <w:kern w:val="0"/>
          <w:szCs w:val="20"/>
          <w:highlight w:val="none"/>
          <w:lang w:val="en-US" w:eastAsia="zh-CN"/>
        </w:rPr>
        <w:t xml:space="preserve">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rPr>
        <w:t>rimary products</w:t>
      </w:r>
      <w:r>
        <w:rPr>
          <w:rFonts w:hint="default" w:ascii="Times New Roman" w:hAnsi="Times New Roman" w:cs="Times New Roman"/>
          <w:b w:val="0"/>
          <w:bCs w:val="0"/>
          <w:color w:val="auto"/>
          <w:kern w:val="0"/>
          <w:szCs w:val="20"/>
          <w:highlight w:val="none"/>
          <w:lang w:val="en-US" w:eastAsia="zh-CN"/>
        </w:rPr>
        <w:t xml:space="preserve"> and services</w:t>
      </w:r>
      <w:r>
        <w:rPr>
          <w:rFonts w:hint="default" w:ascii="Times New Roman" w:hAnsi="Times New Roman" w:cs="Times New Roman"/>
          <w:b w:val="0"/>
          <w:bCs w:val="0"/>
          <w:color w:val="auto"/>
          <w:kern w:val="0"/>
          <w:szCs w:val="20"/>
          <w:highlight w:val="none"/>
        </w:rPr>
        <w:t xml:space="preserve"> of non-timber forest-based economy</w:t>
      </w:r>
    </w:p>
    <w:p w14:paraId="7D9485E5">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宋体" w:hAnsi="Times New Roman" w:cs="Times New Roman"/>
          <w:color w:val="auto"/>
          <w:kern w:val="0"/>
          <w:szCs w:val="20"/>
          <w:highlight w:val="none"/>
          <w:lang w:val="en-US" w:eastAsia="zh-CN"/>
        </w:rPr>
      </w:pPr>
      <w:r>
        <w:rPr>
          <w:rFonts w:hint="eastAsia" w:ascii="宋体" w:hAnsi="Times New Roman" w:cs="Times New Roman"/>
          <w:color w:val="auto"/>
          <w:kern w:val="0"/>
          <w:szCs w:val="20"/>
          <w:highlight w:val="none"/>
          <w:lang w:val="en-US" w:eastAsia="zh-CN"/>
        </w:rPr>
        <w:t>林</w:t>
      </w:r>
      <w:r>
        <w:rPr>
          <w:rFonts w:hint="default" w:ascii="宋体" w:hAnsi="Times New Roman" w:cs="Times New Roman"/>
          <w:color w:val="auto"/>
          <w:kern w:val="0"/>
          <w:szCs w:val="20"/>
          <w:highlight w:val="none"/>
          <w:lang w:val="en-US" w:eastAsia="zh-CN"/>
        </w:rPr>
        <w:t>下种植、林下养殖、林下采集及森林景观利用等经营活动直接形成的植物、动物、微生物及生态服务产品。</w:t>
      </w:r>
    </w:p>
    <w:p w14:paraId="3AAACFFA">
      <w:pPr>
        <w:keepNext w:val="0"/>
        <w:keepLines w:val="0"/>
        <w:pageBreakBefore w:val="0"/>
        <w:kinsoku/>
        <w:wordWrap/>
        <w:overflowPunct/>
        <w:topLinePunct w:val="0"/>
        <w:bidi w:val="0"/>
        <w:adjustRightInd w:val="0"/>
        <w:snapToGrid w:val="0"/>
        <w:spacing w:before="157" w:beforeLines="50" w:after="157" w:afterLines="50" w:line="240" w:lineRule="auto"/>
        <w:textAlignment w:val="auto"/>
        <w:rPr>
          <w:rFonts w:hint="eastAsia" w:ascii="黑体" w:hAnsi="黑体" w:eastAsia="黑体" w:cs="黑体"/>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3.4  </w:t>
      </w:r>
    </w:p>
    <w:p w14:paraId="25D01835">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Times New Roman" w:hAnsi="Times New Roman" w:cs="Times New Roman"/>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林下经济初加工产品 </w:t>
      </w:r>
      <w:r>
        <w:rPr>
          <w:rFonts w:hint="eastAsia" w:ascii="宋体" w:hAnsi="Times New Roman" w:cs="Times New Roman"/>
          <w:b/>
          <w:bCs/>
          <w:color w:val="auto"/>
          <w:kern w:val="0"/>
          <w:szCs w:val="20"/>
          <w:highlight w:val="none"/>
          <w:lang w:val="en-US" w:eastAsia="zh-CN"/>
        </w:rPr>
        <w:t xml:space="preserve">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rPr>
        <w:t>rimary processed products of non-timber forest-based economy</w:t>
      </w:r>
    </w:p>
    <w:p w14:paraId="1B2610A3">
      <w:pPr>
        <w:keepNext w:val="0"/>
        <w:keepLines w:val="0"/>
        <w:pageBreakBefore w:val="0"/>
        <w:kinsoku/>
        <w:wordWrap/>
        <w:overflowPunct/>
        <w:topLinePunct w:val="0"/>
        <w:bidi w:val="0"/>
        <w:adjustRightInd w:val="0"/>
        <w:snapToGrid w:val="0"/>
        <w:spacing w:line="300" w:lineRule="exact"/>
        <w:ind w:firstLine="420"/>
        <w:textAlignment w:val="auto"/>
        <w:rPr>
          <w:rFonts w:hint="default" w:ascii="宋体" w:hAnsi="Times New Roman" w:cs="Times New Roman"/>
          <w:color w:val="auto"/>
          <w:kern w:val="0"/>
          <w:szCs w:val="20"/>
          <w:highlight w:val="none"/>
          <w:lang w:val="en-US" w:eastAsia="zh-CN"/>
        </w:rPr>
      </w:pPr>
      <w:r>
        <w:rPr>
          <w:rFonts w:hint="default" w:ascii="宋体" w:hAnsi="Times New Roman" w:cs="Times New Roman"/>
          <w:color w:val="auto"/>
          <w:kern w:val="0"/>
          <w:szCs w:val="20"/>
          <w:highlight w:val="none"/>
          <w:lang w:val="en-US" w:eastAsia="zh-CN"/>
        </w:rPr>
        <w:t>以林下经济初级产品为原料，经清洗、分级、整理、切制、干燥、冷藏、冷冻、包装等加工处理，未改变产品基本属性和主要用途形成的产品。</w:t>
      </w:r>
    </w:p>
    <w:p w14:paraId="7B2AA6D2">
      <w:pPr>
        <w:keepNext w:val="0"/>
        <w:keepLines w:val="0"/>
        <w:pageBreakBefore w:val="0"/>
        <w:kinsoku/>
        <w:wordWrap/>
        <w:overflowPunct/>
        <w:topLinePunct w:val="0"/>
        <w:bidi w:val="0"/>
        <w:adjustRightInd w:val="0"/>
        <w:snapToGrid w:val="0"/>
        <w:spacing w:before="157" w:beforeLines="50" w:after="157" w:afterLines="50" w:line="240" w:lineRule="auto"/>
        <w:textAlignment w:val="auto"/>
        <w:rPr>
          <w:rFonts w:hint="eastAsia" w:ascii="黑体" w:hAnsi="黑体" w:eastAsia="黑体" w:cs="黑体"/>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3.5  </w:t>
      </w:r>
    </w:p>
    <w:p w14:paraId="75477F82">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Times New Roman" w:hAnsi="Times New Roman" w:eastAsia="宋体" w:cs="Times New Roman"/>
          <w:color w:val="auto"/>
          <w:kern w:val="0"/>
          <w:szCs w:val="20"/>
          <w:highlight w:val="none"/>
          <w:lang w:val="en-US" w:eastAsia="zh-CN"/>
        </w:rPr>
      </w:pPr>
      <w:r>
        <w:rPr>
          <w:rFonts w:hint="eastAsia" w:ascii="黑体" w:hAnsi="黑体" w:eastAsia="黑体" w:cs="黑体"/>
          <w:b w:val="0"/>
          <w:bCs w:val="0"/>
          <w:color w:val="auto"/>
          <w:kern w:val="0"/>
          <w:szCs w:val="20"/>
          <w:highlight w:val="none"/>
        </w:rPr>
        <w:t>林下种植</w:t>
      </w:r>
      <w:r>
        <w:rPr>
          <w:rFonts w:hint="eastAsia" w:ascii="黑体" w:hAnsi="黑体" w:eastAsia="黑体" w:cs="黑体"/>
          <w:b w:val="0"/>
          <w:bCs w:val="0"/>
          <w:color w:val="auto"/>
          <w:kern w:val="0"/>
          <w:szCs w:val="20"/>
          <w:highlight w:val="none"/>
          <w:lang w:val="en-US" w:eastAsia="zh-CN"/>
        </w:rPr>
        <w:t xml:space="preserve">产品 </w:t>
      </w:r>
      <w:r>
        <w:rPr>
          <w:rFonts w:hint="eastAsia" w:ascii="宋体" w:hAnsi="Times New Roman" w:cs="Times New Roman"/>
          <w:b/>
          <w:bCs/>
          <w:color w:val="auto"/>
          <w:kern w:val="0"/>
          <w:szCs w:val="20"/>
          <w:highlight w:val="none"/>
          <w:lang w:val="en-US" w:eastAsia="zh-CN"/>
        </w:rPr>
        <w:t xml:space="preserve"> </w:t>
      </w:r>
      <w:r>
        <w:rPr>
          <w:rFonts w:hint="default" w:ascii="Times New Roman" w:hAnsi="Times New Roman" w:cs="Times New Roman"/>
          <w:b w:val="0"/>
          <w:bCs w:val="0"/>
          <w:color w:val="auto"/>
          <w:kern w:val="0"/>
          <w:szCs w:val="20"/>
          <w:highlight w:val="none"/>
          <w:lang w:eastAsia="zh-CN"/>
        </w:rPr>
        <w:t>i</w:t>
      </w:r>
      <w:r>
        <w:rPr>
          <w:rFonts w:hint="default" w:ascii="Times New Roman" w:hAnsi="Times New Roman" w:cs="Times New Roman"/>
          <w:b w:val="0"/>
          <w:bCs w:val="0"/>
          <w:color w:val="auto"/>
          <w:kern w:val="0"/>
          <w:szCs w:val="20"/>
          <w:highlight w:val="none"/>
          <w:lang w:val="en-US" w:eastAsia="zh-CN"/>
        </w:rPr>
        <w:t>n</w:t>
      </w:r>
      <w:r>
        <w:rPr>
          <w:rFonts w:hint="default" w:ascii="Times New Roman" w:hAnsi="Times New Roman" w:cs="Times New Roman"/>
          <w:b w:val="0"/>
          <w:bCs w:val="0"/>
          <w:color w:val="auto"/>
          <w:kern w:val="0"/>
          <w:szCs w:val="20"/>
          <w:highlight w:val="none"/>
        </w:rPr>
        <w:t xml:space="preserve">-forest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lang w:val="en-US" w:eastAsia="zh-CN"/>
        </w:rPr>
        <w:t>lanting</w:t>
      </w:r>
      <w:r>
        <w:rPr>
          <w:rFonts w:hint="default" w:ascii="Times New Roman" w:hAnsi="Times New Roman" w:cs="Times New Roman"/>
          <w:b w:val="0"/>
          <w:bCs w:val="0"/>
          <w:color w:val="auto"/>
          <w:kern w:val="0"/>
          <w:szCs w:val="20"/>
          <w:highlight w:val="none"/>
        </w:rPr>
        <w:t xml:space="preserve">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rPr>
        <w:t>rimary products</w:t>
      </w:r>
      <w:r>
        <w:rPr>
          <w:rFonts w:hint="default" w:ascii="Times New Roman" w:hAnsi="Times New Roman" w:cs="Times New Roman"/>
          <w:b w:val="0"/>
          <w:bCs w:val="0"/>
          <w:color w:val="auto"/>
          <w:kern w:val="0"/>
          <w:szCs w:val="20"/>
          <w:highlight w:val="none"/>
          <w:lang w:val="en-US" w:eastAsia="zh-CN"/>
        </w:rPr>
        <w:t xml:space="preserve"> and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rPr>
        <w:t xml:space="preserve">rimary processed products </w:t>
      </w:r>
    </w:p>
    <w:p w14:paraId="250CEE97">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highlight w:val="none"/>
        </w:rPr>
      </w:pPr>
      <w:r>
        <w:rPr>
          <w:rFonts w:hint="eastAsia" w:ascii="宋体" w:hAnsi="Times New Roman" w:eastAsia="宋体" w:cs="Times New Roman"/>
          <w:color w:val="auto"/>
          <w:kern w:val="0"/>
          <w:szCs w:val="20"/>
          <w:highlight w:val="none"/>
        </w:rPr>
        <w:t>利用</w:t>
      </w:r>
      <w:r>
        <w:rPr>
          <w:rFonts w:hint="eastAsia" w:ascii="宋体" w:hAnsi="Times New Roman" w:cs="Times New Roman"/>
          <w:color w:val="auto"/>
          <w:kern w:val="0"/>
          <w:szCs w:val="20"/>
          <w:highlight w:val="none"/>
          <w:lang w:val="en-US" w:eastAsia="zh-CN"/>
        </w:rPr>
        <w:t>森林</w:t>
      </w:r>
      <w:r>
        <w:rPr>
          <w:rFonts w:hint="eastAsia" w:ascii="宋体" w:hAnsi="Times New Roman" w:eastAsia="宋体" w:cs="Times New Roman"/>
          <w:color w:val="auto"/>
          <w:kern w:val="0"/>
          <w:szCs w:val="20"/>
          <w:highlight w:val="none"/>
        </w:rPr>
        <w:t>生态环境，在林冠下、林缘或林间空地</w:t>
      </w:r>
      <w:r>
        <w:rPr>
          <w:rFonts w:hint="eastAsia" w:ascii="宋体" w:hAnsi="Times New Roman" w:cs="Times New Roman"/>
          <w:color w:val="auto"/>
          <w:kern w:val="0"/>
          <w:szCs w:val="20"/>
          <w:highlight w:val="none"/>
          <w:lang w:val="en-US" w:eastAsia="zh-CN"/>
        </w:rPr>
        <w:t>经</w:t>
      </w:r>
      <w:r>
        <w:rPr>
          <w:rFonts w:hint="eastAsia" w:ascii="宋体" w:hAnsi="Times New Roman" w:eastAsia="宋体" w:cs="Times New Roman"/>
          <w:color w:val="auto"/>
          <w:kern w:val="0"/>
          <w:szCs w:val="20"/>
          <w:highlight w:val="none"/>
        </w:rPr>
        <w:t>人工培育形成的</w:t>
      </w:r>
      <w:r>
        <w:rPr>
          <w:rFonts w:hint="eastAsia" w:ascii="宋体" w:hAnsi="Times New Roman" w:cs="Times New Roman"/>
          <w:color w:val="auto"/>
          <w:kern w:val="0"/>
          <w:szCs w:val="20"/>
          <w:highlight w:val="none"/>
        </w:rPr>
        <w:t>初级产品和初加工产品</w:t>
      </w:r>
      <w:r>
        <w:rPr>
          <w:rFonts w:hint="eastAsia" w:ascii="宋体" w:hAnsi="Times New Roman" w:eastAsia="宋体" w:cs="Times New Roman"/>
          <w:color w:val="auto"/>
          <w:kern w:val="0"/>
          <w:szCs w:val="20"/>
          <w:highlight w:val="none"/>
        </w:rPr>
        <w:t>。</w:t>
      </w:r>
    </w:p>
    <w:p w14:paraId="55B385E6">
      <w:pPr>
        <w:keepNext w:val="0"/>
        <w:keepLines w:val="0"/>
        <w:pageBreakBefore w:val="0"/>
        <w:kinsoku/>
        <w:wordWrap/>
        <w:overflowPunct/>
        <w:topLinePunct w:val="0"/>
        <w:bidi w:val="0"/>
        <w:adjustRightInd w:val="0"/>
        <w:snapToGrid w:val="0"/>
        <w:spacing w:before="157" w:beforeLines="50" w:after="157" w:afterLines="50" w:line="240" w:lineRule="auto"/>
        <w:textAlignment w:val="auto"/>
        <w:rPr>
          <w:rFonts w:hint="eastAsia" w:ascii="黑体" w:hAnsi="黑体" w:eastAsia="黑体" w:cs="黑体"/>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3.6  </w:t>
      </w:r>
    </w:p>
    <w:p w14:paraId="24B16772">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Times New Roman" w:hAnsi="Times New Roman" w:eastAsia="宋体" w:cs="Times New Roman"/>
          <w:color w:val="auto"/>
          <w:kern w:val="0"/>
          <w:szCs w:val="20"/>
          <w:highlight w:val="none"/>
          <w:lang w:val="en-US" w:eastAsia="zh-CN"/>
        </w:rPr>
      </w:pPr>
      <w:r>
        <w:rPr>
          <w:rFonts w:hint="eastAsia" w:ascii="黑体" w:hAnsi="黑体" w:eastAsia="黑体" w:cs="黑体"/>
          <w:b w:val="0"/>
          <w:bCs w:val="0"/>
          <w:color w:val="auto"/>
          <w:kern w:val="0"/>
          <w:szCs w:val="20"/>
          <w:highlight w:val="none"/>
        </w:rPr>
        <w:t>林下养殖</w:t>
      </w:r>
      <w:r>
        <w:rPr>
          <w:rFonts w:hint="eastAsia" w:ascii="黑体" w:hAnsi="黑体" w:eastAsia="黑体" w:cs="黑体"/>
          <w:b w:val="0"/>
          <w:bCs w:val="0"/>
          <w:color w:val="auto"/>
          <w:kern w:val="0"/>
          <w:szCs w:val="20"/>
          <w:highlight w:val="none"/>
          <w:lang w:val="en-US" w:eastAsia="zh-CN"/>
        </w:rPr>
        <w:t>产品</w:t>
      </w:r>
      <w:r>
        <w:rPr>
          <w:rFonts w:hint="eastAsia" w:ascii="宋体" w:hAnsi="Times New Roman" w:cs="Times New Roman"/>
          <w:b/>
          <w:bCs/>
          <w:color w:val="auto"/>
          <w:kern w:val="0"/>
          <w:szCs w:val="20"/>
          <w:highlight w:val="none"/>
          <w:lang w:val="en-US" w:eastAsia="zh-CN"/>
        </w:rPr>
        <w:t xml:space="preserve">  </w:t>
      </w:r>
      <w:r>
        <w:rPr>
          <w:rFonts w:hint="default" w:ascii="Times New Roman" w:hAnsi="Times New Roman" w:cs="Times New Roman"/>
          <w:b w:val="0"/>
          <w:bCs w:val="0"/>
          <w:color w:val="auto"/>
          <w:kern w:val="0"/>
          <w:szCs w:val="20"/>
          <w:highlight w:val="none"/>
          <w:lang w:eastAsia="zh-CN"/>
        </w:rPr>
        <w:t>i</w:t>
      </w:r>
      <w:r>
        <w:rPr>
          <w:rFonts w:hint="default" w:ascii="Times New Roman" w:hAnsi="Times New Roman" w:cs="Times New Roman"/>
          <w:b w:val="0"/>
          <w:bCs w:val="0"/>
          <w:color w:val="auto"/>
          <w:kern w:val="0"/>
          <w:szCs w:val="20"/>
          <w:highlight w:val="none"/>
          <w:lang w:val="en-US" w:eastAsia="zh-CN"/>
        </w:rPr>
        <w:t>n</w:t>
      </w:r>
      <w:r>
        <w:rPr>
          <w:rFonts w:hint="default" w:ascii="Times New Roman" w:hAnsi="Times New Roman" w:cs="Times New Roman"/>
          <w:b w:val="0"/>
          <w:bCs w:val="0"/>
          <w:color w:val="auto"/>
          <w:kern w:val="0"/>
          <w:szCs w:val="20"/>
          <w:highlight w:val="none"/>
        </w:rPr>
        <w:t xml:space="preserve">-forest </w:t>
      </w:r>
      <w:r>
        <w:rPr>
          <w:rFonts w:hint="default" w:ascii="Times New Roman" w:hAnsi="Times New Roman" w:cs="Times New Roman"/>
          <w:b w:val="0"/>
          <w:bCs w:val="0"/>
          <w:color w:val="auto"/>
          <w:kern w:val="0"/>
          <w:szCs w:val="20"/>
          <w:highlight w:val="none"/>
          <w:lang w:val="en-US" w:eastAsia="zh-CN"/>
        </w:rPr>
        <w:t>rais</w:t>
      </w:r>
      <w:r>
        <w:rPr>
          <w:rFonts w:hint="default" w:ascii="Times New Roman" w:hAnsi="Times New Roman" w:cs="Times New Roman"/>
          <w:b w:val="0"/>
          <w:bCs w:val="0"/>
          <w:color w:val="auto"/>
          <w:kern w:val="0"/>
          <w:szCs w:val="20"/>
          <w:highlight w:val="none"/>
        </w:rPr>
        <w:t xml:space="preserve">ing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rPr>
        <w:t>rimary products</w:t>
      </w:r>
      <w:r>
        <w:rPr>
          <w:rFonts w:hint="default" w:ascii="Times New Roman" w:hAnsi="Times New Roman" w:cs="Times New Roman"/>
          <w:b w:val="0"/>
          <w:bCs w:val="0"/>
          <w:color w:val="auto"/>
          <w:kern w:val="0"/>
          <w:szCs w:val="20"/>
          <w:highlight w:val="none"/>
          <w:lang w:val="en-US" w:eastAsia="zh-CN"/>
        </w:rPr>
        <w:t xml:space="preserve"> and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rPr>
        <w:t>rimary processed products</w:t>
      </w:r>
    </w:p>
    <w:p w14:paraId="5A122155">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highlight w:val="none"/>
        </w:rPr>
      </w:pPr>
      <w:r>
        <w:rPr>
          <w:rFonts w:hint="eastAsia" w:ascii="宋体" w:hAnsi="Times New Roman" w:eastAsia="宋体" w:cs="Times New Roman"/>
          <w:color w:val="auto"/>
          <w:kern w:val="0"/>
          <w:szCs w:val="20"/>
          <w:highlight w:val="none"/>
        </w:rPr>
        <w:t>利用森林生态环境</w:t>
      </w:r>
      <w:r>
        <w:rPr>
          <w:rFonts w:hint="eastAsia" w:ascii="宋体" w:hAnsi="Times New Roman" w:cs="Times New Roman"/>
          <w:color w:val="auto"/>
          <w:kern w:val="0"/>
          <w:szCs w:val="20"/>
          <w:highlight w:val="none"/>
          <w:lang w:eastAsia="zh-CN"/>
        </w:rPr>
        <w:t>，</w:t>
      </w:r>
      <w:r>
        <w:rPr>
          <w:rFonts w:hint="eastAsia" w:ascii="宋体" w:hAnsi="Times New Roman" w:eastAsia="宋体" w:cs="Times New Roman"/>
          <w:color w:val="auto"/>
          <w:kern w:val="0"/>
          <w:szCs w:val="20"/>
          <w:highlight w:val="none"/>
        </w:rPr>
        <w:t>开展生态养殖形成的</w:t>
      </w:r>
      <w:r>
        <w:rPr>
          <w:rFonts w:hint="eastAsia" w:ascii="宋体" w:hAnsi="Times New Roman" w:cs="Times New Roman"/>
          <w:color w:val="auto"/>
          <w:kern w:val="0"/>
          <w:szCs w:val="20"/>
          <w:highlight w:val="none"/>
        </w:rPr>
        <w:t>初级产品和初加工产品</w:t>
      </w:r>
      <w:r>
        <w:rPr>
          <w:rFonts w:hint="eastAsia" w:ascii="宋体" w:hAnsi="Times New Roman" w:eastAsia="宋体" w:cs="Times New Roman"/>
          <w:color w:val="auto"/>
          <w:kern w:val="0"/>
          <w:szCs w:val="20"/>
          <w:highlight w:val="none"/>
        </w:rPr>
        <w:t>。</w:t>
      </w:r>
    </w:p>
    <w:p w14:paraId="621F8542">
      <w:pPr>
        <w:keepNext w:val="0"/>
        <w:keepLines w:val="0"/>
        <w:pageBreakBefore w:val="0"/>
        <w:kinsoku/>
        <w:wordWrap/>
        <w:overflowPunct/>
        <w:topLinePunct w:val="0"/>
        <w:bidi w:val="0"/>
        <w:adjustRightInd w:val="0"/>
        <w:snapToGrid w:val="0"/>
        <w:spacing w:before="157" w:beforeLines="50" w:after="157" w:afterLines="50" w:line="240" w:lineRule="auto"/>
        <w:textAlignment w:val="auto"/>
        <w:rPr>
          <w:rFonts w:hint="eastAsia" w:ascii="黑体" w:hAnsi="黑体" w:eastAsia="黑体" w:cs="黑体"/>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3.7  </w:t>
      </w:r>
    </w:p>
    <w:p w14:paraId="6AD1EBC0">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Times New Roman" w:hAnsi="Times New Roman" w:eastAsia="宋体" w:cs="Times New Roman"/>
          <w:color w:val="auto"/>
          <w:kern w:val="0"/>
          <w:szCs w:val="20"/>
          <w:highlight w:val="none"/>
          <w:lang w:val="en-US" w:eastAsia="zh-CN"/>
        </w:rPr>
      </w:pPr>
      <w:r>
        <w:rPr>
          <w:rFonts w:hint="eastAsia" w:ascii="黑体" w:hAnsi="黑体" w:eastAsia="黑体" w:cs="黑体"/>
          <w:b w:val="0"/>
          <w:bCs w:val="0"/>
          <w:color w:val="auto"/>
          <w:kern w:val="0"/>
          <w:szCs w:val="20"/>
          <w:highlight w:val="none"/>
        </w:rPr>
        <w:t>林下采集</w:t>
      </w:r>
      <w:r>
        <w:rPr>
          <w:rFonts w:hint="eastAsia" w:ascii="黑体" w:hAnsi="黑体" w:eastAsia="黑体" w:cs="黑体"/>
          <w:b w:val="0"/>
          <w:bCs w:val="0"/>
          <w:color w:val="auto"/>
          <w:kern w:val="0"/>
          <w:szCs w:val="20"/>
          <w:highlight w:val="none"/>
          <w:lang w:val="en-US" w:eastAsia="zh-CN"/>
        </w:rPr>
        <w:t xml:space="preserve">产品 </w:t>
      </w:r>
      <w:r>
        <w:rPr>
          <w:rFonts w:hint="eastAsia" w:ascii="宋体" w:hAnsi="Times New Roman" w:cs="Times New Roman"/>
          <w:b/>
          <w:bCs/>
          <w:color w:val="auto"/>
          <w:kern w:val="0"/>
          <w:szCs w:val="20"/>
          <w:highlight w:val="none"/>
          <w:lang w:val="en-US" w:eastAsia="zh-CN"/>
        </w:rPr>
        <w:t xml:space="preserve"> </w:t>
      </w:r>
      <w:r>
        <w:rPr>
          <w:rFonts w:hint="eastAsia" w:ascii="Times New Roman" w:hAnsi="Times New Roman" w:cs="Times New Roman"/>
          <w:b w:val="0"/>
          <w:bCs w:val="0"/>
          <w:color w:val="auto"/>
          <w:kern w:val="0"/>
          <w:szCs w:val="20"/>
          <w:highlight w:val="none"/>
          <w:lang w:eastAsia="zh-CN"/>
        </w:rPr>
        <w:t>u</w:t>
      </w:r>
      <w:r>
        <w:rPr>
          <w:rFonts w:hint="default" w:ascii="Times New Roman" w:hAnsi="Times New Roman" w:cs="Times New Roman"/>
          <w:b w:val="0"/>
          <w:bCs w:val="0"/>
          <w:color w:val="auto"/>
          <w:kern w:val="0"/>
          <w:szCs w:val="20"/>
          <w:highlight w:val="none"/>
        </w:rPr>
        <w:t xml:space="preserve">nder-forest collection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rPr>
        <w:t>rimary products</w:t>
      </w:r>
      <w:r>
        <w:rPr>
          <w:rFonts w:hint="default" w:ascii="Times New Roman" w:hAnsi="Times New Roman" w:cs="Times New Roman"/>
          <w:b w:val="0"/>
          <w:bCs w:val="0"/>
          <w:color w:val="auto"/>
          <w:kern w:val="0"/>
          <w:szCs w:val="20"/>
          <w:highlight w:val="none"/>
          <w:lang w:val="en-US" w:eastAsia="zh-CN"/>
        </w:rPr>
        <w:t xml:space="preserve"> and </w:t>
      </w:r>
      <w:r>
        <w:rPr>
          <w:rFonts w:hint="default" w:ascii="Times New Roman" w:hAnsi="Times New Roman" w:cs="Times New Roman"/>
          <w:b w:val="0"/>
          <w:bCs w:val="0"/>
          <w:color w:val="auto"/>
          <w:kern w:val="0"/>
          <w:szCs w:val="20"/>
          <w:highlight w:val="none"/>
          <w:lang w:eastAsia="zh-CN"/>
        </w:rPr>
        <w:t>p</w:t>
      </w:r>
      <w:r>
        <w:rPr>
          <w:rFonts w:hint="default" w:ascii="Times New Roman" w:hAnsi="Times New Roman" w:cs="Times New Roman"/>
          <w:b w:val="0"/>
          <w:bCs w:val="0"/>
          <w:color w:val="auto"/>
          <w:kern w:val="0"/>
          <w:szCs w:val="20"/>
          <w:highlight w:val="none"/>
        </w:rPr>
        <w:t>rimary processed products</w:t>
      </w:r>
    </w:p>
    <w:p w14:paraId="5344E653">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highlight w:val="none"/>
        </w:rPr>
      </w:pPr>
      <w:r>
        <w:rPr>
          <w:rFonts w:hint="eastAsia" w:ascii="宋体" w:hAnsi="Times New Roman" w:eastAsia="宋体" w:cs="Times New Roman"/>
          <w:color w:val="auto"/>
          <w:kern w:val="0"/>
          <w:szCs w:val="20"/>
          <w:highlight w:val="none"/>
        </w:rPr>
        <w:t>依法采集森林生态系统中自然生长、自然形成的生物资源或非木质林产品形成的</w:t>
      </w:r>
      <w:r>
        <w:rPr>
          <w:rFonts w:hint="eastAsia" w:ascii="宋体" w:hAnsi="Times New Roman" w:cs="Times New Roman"/>
          <w:color w:val="auto"/>
          <w:kern w:val="0"/>
          <w:szCs w:val="20"/>
          <w:highlight w:val="none"/>
        </w:rPr>
        <w:t>初级产品和初加工产品</w:t>
      </w:r>
      <w:r>
        <w:rPr>
          <w:rFonts w:hint="eastAsia" w:ascii="宋体" w:hAnsi="Times New Roman" w:eastAsia="宋体" w:cs="Times New Roman"/>
          <w:color w:val="auto"/>
          <w:kern w:val="0"/>
          <w:szCs w:val="20"/>
          <w:highlight w:val="none"/>
        </w:rPr>
        <w:t>。</w:t>
      </w:r>
    </w:p>
    <w:p w14:paraId="066587E1">
      <w:pPr>
        <w:keepNext w:val="0"/>
        <w:keepLines w:val="0"/>
        <w:pageBreakBefore w:val="0"/>
        <w:kinsoku/>
        <w:wordWrap/>
        <w:overflowPunct/>
        <w:topLinePunct w:val="0"/>
        <w:bidi w:val="0"/>
        <w:adjustRightInd w:val="0"/>
        <w:snapToGrid w:val="0"/>
        <w:spacing w:before="157" w:beforeLines="50" w:after="157" w:afterLines="50" w:line="240" w:lineRule="auto"/>
        <w:textAlignment w:val="auto"/>
        <w:rPr>
          <w:rFonts w:hint="eastAsia" w:ascii="黑体" w:hAnsi="黑体" w:eastAsia="黑体" w:cs="黑体"/>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3.8  </w:t>
      </w:r>
    </w:p>
    <w:p w14:paraId="01489542">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Times New Roman" w:hAnsi="Times New Roman" w:eastAsia="宋体" w:cs="Times New Roman"/>
          <w:color w:val="auto"/>
          <w:kern w:val="0"/>
          <w:szCs w:val="20"/>
          <w:highlight w:val="none"/>
          <w:lang w:val="en-US" w:eastAsia="zh-CN"/>
        </w:rPr>
      </w:pPr>
      <w:r>
        <w:rPr>
          <w:rFonts w:hint="eastAsia" w:ascii="黑体" w:hAnsi="黑体" w:eastAsia="黑体" w:cs="黑体"/>
          <w:b w:val="0"/>
          <w:bCs w:val="0"/>
          <w:color w:val="auto"/>
          <w:kern w:val="0"/>
          <w:szCs w:val="20"/>
          <w:highlight w:val="none"/>
        </w:rPr>
        <w:t>森林景观利用</w:t>
      </w:r>
      <w:r>
        <w:rPr>
          <w:rFonts w:hint="eastAsia" w:ascii="黑体" w:hAnsi="黑体" w:eastAsia="黑体" w:cs="黑体"/>
          <w:b w:val="0"/>
          <w:bCs w:val="0"/>
          <w:color w:val="auto"/>
          <w:kern w:val="0"/>
          <w:szCs w:val="20"/>
          <w:highlight w:val="none"/>
          <w:lang w:val="en-US" w:eastAsia="zh-CN"/>
        </w:rPr>
        <w:t xml:space="preserve">产品 </w:t>
      </w:r>
      <w:r>
        <w:rPr>
          <w:rFonts w:hint="eastAsia" w:ascii="宋体" w:hAnsi="Times New Roman" w:cs="Times New Roman"/>
          <w:b/>
          <w:bCs/>
          <w:color w:val="auto"/>
          <w:kern w:val="0"/>
          <w:szCs w:val="20"/>
          <w:highlight w:val="none"/>
          <w:lang w:val="en-US" w:eastAsia="zh-CN"/>
        </w:rPr>
        <w:t xml:space="preserve"> </w:t>
      </w:r>
      <w:r>
        <w:rPr>
          <w:rFonts w:hint="eastAsia" w:ascii="Times New Roman" w:hAnsi="Times New Roman" w:cs="Times New Roman"/>
          <w:b w:val="0"/>
          <w:bCs w:val="0"/>
          <w:color w:val="auto"/>
          <w:kern w:val="0"/>
          <w:szCs w:val="20"/>
          <w:highlight w:val="none"/>
          <w:lang w:eastAsia="zh-CN"/>
        </w:rPr>
        <w:t>f</w:t>
      </w:r>
      <w:r>
        <w:rPr>
          <w:rFonts w:hint="default" w:ascii="Times New Roman" w:hAnsi="Times New Roman" w:cs="Times New Roman"/>
          <w:b w:val="0"/>
          <w:bCs w:val="0"/>
          <w:color w:val="auto"/>
          <w:kern w:val="0"/>
          <w:szCs w:val="20"/>
          <w:highlight w:val="none"/>
        </w:rPr>
        <w:t xml:space="preserve">orest landscape utilization </w:t>
      </w:r>
      <w:r>
        <w:rPr>
          <w:rFonts w:hint="default" w:ascii="Times New Roman" w:hAnsi="Times New Roman" w:cs="Times New Roman"/>
          <w:b w:val="0"/>
          <w:bCs w:val="0"/>
          <w:color w:val="auto"/>
          <w:kern w:val="0"/>
          <w:szCs w:val="20"/>
          <w:highlight w:val="none"/>
          <w:lang w:val="en-US" w:eastAsia="zh-CN"/>
        </w:rPr>
        <w:t>services</w:t>
      </w:r>
    </w:p>
    <w:p w14:paraId="54F2A2A9">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rPr>
      </w:pPr>
      <w:r>
        <w:rPr>
          <w:rFonts w:hint="eastAsia" w:ascii="宋体" w:hAnsi="Times New Roman" w:eastAsia="宋体" w:cs="Times New Roman"/>
          <w:color w:val="auto"/>
          <w:kern w:val="0"/>
          <w:szCs w:val="20"/>
          <w:highlight w:val="none"/>
        </w:rPr>
        <w:t>依托森林景观、森林生态环境及森林文化资源形成的生态服务产品。</w:t>
      </w:r>
    </w:p>
    <w:p w14:paraId="2B4ABA22">
      <w:pPr>
        <w:keepNext w:val="0"/>
        <w:keepLines w:val="0"/>
        <w:pageBreakBefore w:val="0"/>
        <w:widowControl/>
        <w:kinsoku/>
        <w:wordWrap/>
        <w:overflowPunct/>
        <w:topLinePunct w:val="0"/>
        <w:bidi w:val="0"/>
        <w:spacing w:beforeLines="100" w:afterLines="100" w:line="300" w:lineRule="exact"/>
        <w:textAlignment w:val="auto"/>
        <w:outlineLvl w:val="0"/>
        <w:rPr>
          <w:rFonts w:hint="default" w:ascii="黑体" w:hAnsi="Times New Roman" w:eastAsia="黑体" w:cs="Times New Roman"/>
          <w:color w:val="auto"/>
          <w:kern w:val="0"/>
          <w:szCs w:val="20"/>
          <w:lang w:val="en-US" w:eastAsia="zh-CN"/>
        </w:rPr>
      </w:pPr>
      <w:bookmarkStart w:id="29" w:name="_Toc14489"/>
      <w:r>
        <w:rPr>
          <w:rFonts w:hint="eastAsia" w:ascii="黑体" w:hAnsi="Times New Roman" w:eastAsia="黑体" w:cs="Times New Roman"/>
          <w:color w:val="auto"/>
          <w:kern w:val="0"/>
          <w:szCs w:val="20"/>
          <w:lang w:val="en-US" w:eastAsia="zh-CN"/>
        </w:rPr>
        <w:t>4  分类体系</w:t>
      </w:r>
      <w:bookmarkEnd w:id="29"/>
    </w:p>
    <w:p w14:paraId="785BA312">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4.1</w:t>
      </w:r>
      <w:r>
        <w:rPr>
          <w:rFonts w:hint="eastAsia" w:ascii="黑体" w:hAnsi="黑体" w:eastAsia="黑体" w:cs="黑体"/>
          <w:color w:val="auto"/>
          <w:kern w:val="0"/>
          <w:szCs w:val="20"/>
          <w:highlight w:val="none"/>
          <w:lang w:val="en-US" w:eastAsia="zh-CN"/>
        </w:rPr>
        <w:t xml:space="preserve">  </w:t>
      </w:r>
      <w:r>
        <w:rPr>
          <w:rFonts w:hint="eastAsia" w:ascii="黑体" w:hAnsi="黑体" w:eastAsia="黑体" w:cs="黑体"/>
          <w:b w:val="0"/>
          <w:bCs w:val="0"/>
          <w:color w:val="auto"/>
          <w:kern w:val="0"/>
          <w:szCs w:val="20"/>
          <w:highlight w:val="none"/>
          <w:lang w:val="en-US" w:eastAsia="zh-CN"/>
        </w:rPr>
        <w:t>分类原则</w:t>
      </w:r>
    </w:p>
    <w:p w14:paraId="26DEE2C4">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4.1.1  资源利用科学</w:t>
      </w:r>
    </w:p>
    <w:p w14:paraId="3AD25F49">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充分考虑森林资源类型、生态环境条件、资源承载能力及经营利用方式，划分不同产品类别。依据产品形成过程、资源来源及经营特点进行分类，</w:t>
      </w:r>
      <w:r>
        <w:rPr>
          <w:rFonts w:hint="eastAsia" w:ascii="宋体" w:hAnsi="Times New Roman" w:cs="Times New Roman"/>
          <w:color w:val="auto"/>
          <w:kern w:val="0"/>
          <w:szCs w:val="20"/>
          <w:lang w:val="en-US" w:eastAsia="zh-CN"/>
        </w:rPr>
        <w:t>使</w:t>
      </w:r>
      <w:r>
        <w:rPr>
          <w:rFonts w:hint="eastAsia" w:ascii="宋体" w:hAnsi="Times New Roman" w:eastAsia="宋体" w:cs="Times New Roman"/>
          <w:color w:val="auto"/>
          <w:kern w:val="0"/>
          <w:szCs w:val="20"/>
          <w:lang w:val="en-US" w:eastAsia="zh-CN"/>
        </w:rPr>
        <w:t>分类体系结构清晰、逻辑统一。</w:t>
      </w:r>
    </w:p>
    <w:p w14:paraId="3999EC24">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4.1.2  产业属性一致</w:t>
      </w:r>
    </w:p>
    <w:p w14:paraId="169F9437">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同一类别产品应具有相同或相近的产业属性、生产方式和资源利用特征</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能够反映林下种植、</w:t>
      </w:r>
      <w:r>
        <w:rPr>
          <w:rFonts w:hint="eastAsia" w:ascii="宋体" w:hAnsi="Times New Roman" w:cs="Times New Roman"/>
          <w:color w:val="auto"/>
          <w:kern w:val="0"/>
          <w:szCs w:val="20"/>
          <w:lang w:val="en-US" w:eastAsia="zh-CN"/>
        </w:rPr>
        <w:t>林下</w:t>
      </w:r>
      <w:r>
        <w:rPr>
          <w:rFonts w:hint="eastAsia" w:ascii="宋体" w:hAnsi="Times New Roman" w:eastAsia="宋体" w:cs="Times New Roman"/>
          <w:color w:val="auto"/>
          <w:kern w:val="0"/>
          <w:szCs w:val="20"/>
          <w:lang w:val="en-US" w:eastAsia="zh-CN"/>
        </w:rPr>
        <w:t>养殖、</w:t>
      </w:r>
      <w:r>
        <w:rPr>
          <w:rFonts w:hint="eastAsia" w:ascii="宋体" w:hAnsi="Times New Roman" w:cs="Times New Roman"/>
          <w:color w:val="auto"/>
          <w:kern w:val="0"/>
          <w:szCs w:val="20"/>
          <w:lang w:val="en-US" w:eastAsia="zh-CN"/>
        </w:rPr>
        <w:t>林下</w:t>
      </w:r>
      <w:r>
        <w:rPr>
          <w:rFonts w:hint="eastAsia" w:ascii="宋体" w:hAnsi="Times New Roman" w:eastAsia="宋体" w:cs="Times New Roman"/>
          <w:color w:val="auto"/>
          <w:kern w:val="0"/>
          <w:szCs w:val="20"/>
          <w:lang w:val="en-US" w:eastAsia="zh-CN"/>
        </w:rPr>
        <w:t>采集及森林</w:t>
      </w:r>
      <w:r>
        <w:rPr>
          <w:rFonts w:hint="eastAsia" w:ascii="宋体" w:hAnsi="Times New Roman" w:cs="Times New Roman"/>
          <w:color w:val="auto"/>
          <w:kern w:val="0"/>
          <w:szCs w:val="20"/>
          <w:lang w:val="en-US" w:eastAsia="zh-CN"/>
        </w:rPr>
        <w:t>景观利用</w:t>
      </w:r>
      <w:r>
        <w:rPr>
          <w:rFonts w:hint="eastAsia" w:ascii="宋体" w:hAnsi="Times New Roman" w:eastAsia="宋体" w:cs="Times New Roman"/>
          <w:color w:val="auto"/>
          <w:kern w:val="0"/>
          <w:szCs w:val="20"/>
          <w:lang w:val="en-US" w:eastAsia="zh-CN"/>
        </w:rPr>
        <w:t>等不同产业形态，便于行业管理、产业统计和标准应用。</w:t>
      </w:r>
    </w:p>
    <w:p w14:paraId="15D293D3">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 xml:space="preserve">4.1.3  产品功能相似 </w:t>
      </w:r>
    </w:p>
    <w:p w14:paraId="6423078F">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产品分类</w:t>
      </w:r>
      <w:r>
        <w:rPr>
          <w:rFonts w:hint="eastAsia" w:ascii="宋体" w:hAnsi="Times New Roman" w:cs="Times New Roman"/>
          <w:color w:val="auto"/>
          <w:kern w:val="0"/>
          <w:szCs w:val="20"/>
          <w:lang w:val="en-US" w:eastAsia="zh-CN"/>
        </w:rPr>
        <w:t>宜</w:t>
      </w:r>
      <w:r>
        <w:rPr>
          <w:rFonts w:hint="eastAsia" w:ascii="宋体" w:hAnsi="Times New Roman" w:eastAsia="宋体" w:cs="Times New Roman"/>
          <w:color w:val="auto"/>
          <w:kern w:val="0"/>
          <w:szCs w:val="20"/>
          <w:lang w:val="en-US" w:eastAsia="zh-CN"/>
        </w:rPr>
        <w:t>结合产品功能、用途及市场属性进行划分，明确产品在食用、药用、生态服务、观赏、康养、教育等方面的应用方向，增强目录体系的实用性和可操作性。</w:t>
      </w:r>
    </w:p>
    <w:p w14:paraId="534C42E5">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4.1.4  分类动态管理</w:t>
      </w:r>
    </w:p>
    <w:p w14:paraId="7657644A">
      <w:pPr>
        <w:keepNext w:val="0"/>
        <w:keepLines w:val="0"/>
        <w:pageBreakBefore w:val="0"/>
        <w:widowControl w:val="0"/>
        <w:kinsoku/>
        <w:wordWrap/>
        <w:overflowPunct/>
        <w:topLinePunct w:val="0"/>
        <w:autoSpaceDE/>
        <w:autoSpaceDN/>
        <w:bidi w:val="0"/>
        <w:adjustRightInd w:val="0"/>
        <w:snapToGrid w:val="0"/>
        <w:spacing w:after="157" w:afterLines="50" w:line="300" w:lineRule="exact"/>
        <w:ind w:firstLine="420" w:firstLineChars="200"/>
        <w:textAlignment w:val="auto"/>
        <w:rPr>
          <w:rFonts w:hint="eastAsia" w:ascii="宋体" w:hAnsi="Times New Roman" w:eastAsia="宋体" w:cs="Times New Roman"/>
          <w:b/>
          <w:bCs/>
          <w:color w:val="auto"/>
          <w:kern w:val="0"/>
          <w:szCs w:val="20"/>
          <w:lang w:val="en-US" w:eastAsia="zh-CN"/>
        </w:rPr>
      </w:pPr>
      <w:r>
        <w:rPr>
          <w:rFonts w:hint="eastAsia" w:ascii="宋体" w:hAnsi="Times New Roman" w:eastAsia="宋体" w:cs="Times New Roman"/>
          <w:color w:val="auto"/>
          <w:kern w:val="0"/>
          <w:szCs w:val="20"/>
          <w:lang w:val="en-US" w:eastAsia="zh-CN"/>
        </w:rPr>
        <w:t>产品分类</w:t>
      </w:r>
      <w:r>
        <w:rPr>
          <w:rFonts w:hint="eastAsia" w:ascii="宋体" w:hAnsi="Times New Roman" w:cs="Times New Roman"/>
          <w:color w:val="auto"/>
          <w:kern w:val="0"/>
          <w:szCs w:val="20"/>
          <w:lang w:val="en-US" w:eastAsia="zh-CN"/>
        </w:rPr>
        <w:t>宜</w:t>
      </w:r>
      <w:r>
        <w:rPr>
          <w:rFonts w:hint="eastAsia" w:ascii="宋体" w:hAnsi="Times New Roman" w:eastAsia="宋体" w:cs="Times New Roman"/>
          <w:color w:val="auto"/>
          <w:kern w:val="0"/>
          <w:szCs w:val="20"/>
          <w:lang w:val="en-US" w:eastAsia="zh-CN"/>
        </w:rPr>
        <w:t>保持统一性、规范性和系统性，便于不同地区、不同行业之间协调应用。同时，根据国家政策调整、产业发展需求、新产品新业态出现以及生态保护要求，对产品目录实行动态更新和适时调整，</w:t>
      </w:r>
      <w:r>
        <w:rPr>
          <w:rFonts w:hint="eastAsia" w:ascii="宋体" w:hAnsi="Times New Roman" w:cs="Times New Roman"/>
          <w:color w:val="auto"/>
          <w:kern w:val="0"/>
          <w:szCs w:val="20"/>
          <w:lang w:val="en-US" w:eastAsia="zh-CN"/>
        </w:rPr>
        <w:t>保持</w:t>
      </w:r>
      <w:r>
        <w:rPr>
          <w:rFonts w:hint="eastAsia" w:ascii="宋体" w:hAnsi="Times New Roman" w:eastAsia="宋体" w:cs="Times New Roman"/>
          <w:color w:val="auto"/>
          <w:kern w:val="0"/>
          <w:szCs w:val="20"/>
          <w:lang w:val="en-US" w:eastAsia="zh-CN"/>
        </w:rPr>
        <w:t>分类体系的先进性和适用性。</w:t>
      </w:r>
    </w:p>
    <w:p w14:paraId="312CBD94">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4.2  分类方法</w:t>
      </w:r>
    </w:p>
    <w:p w14:paraId="4FCF8633">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4.2.1  一级分类</w:t>
      </w:r>
    </w:p>
    <w:p w14:paraId="7B86B704">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cs="Times New Roman"/>
          <w:color w:val="auto"/>
          <w:kern w:val="0"/>
          <w:szCs w:val="20"/>
          <w:lang w:val="en-US" w:eastAsia="zh-CN"/>
        </w:rPr>
      </w:pPr>
      <w:r>
        <w:rPr>
          <w:rFonts w:hint="eastAsia" w:ascii="宋体" w:hAnsi="Times New Roman" w:eastAsia="宋体" w:cs="Times New Roman"/>
          <w:color w:val="auto"/>
          <w:kern w:val="0"/>
          <w:szCs w:val="20"/>
          <w:lang w:val="en-US" w:eastAsia="zh-CN"/>
        </w:rPr>
        <w:t>按照林下经济产品形成的经营方式划分，</w:t>
      </w:r>
      <w:r>
        <w:rPr>
          <w:rFonts w:hint="eastAsia" w:ascii="宋体" w:hAnsi="Times New Roman" w:cs="Times New Roman"/>
          <w:color w:val="auto"/>
          <w:kern w:val="0"/>
          <w:szCs w:val="20"/>
          <w:lang w:val="en-US" w:eastAsia="zh-CN"/>
        </w:rPr>
        <w:t>可分为以下四类：</w:t>
      </w:r>
    </w:p>
    <w:p w14:paraId="0752CC46">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default" w:ascii="Times New Roman" w:hAnsi="Times New Roman" w:eastAsia="宋体"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林下种植</w:t>
      </w:r>
      <w:r>
        <w:rPr>
          <w:rFonts w:hint="eastAsia" w:ascii="宋体" w:hAnsi="Times New Roman" w:cs="Times New Roman"/>
          <w:color w:val="auto"/>
          <w:kern w:val="0"/>
          <w:szCs w:val="20"/>
          <w:lang w:val="en-US" w:eastAsia="zh-CN"/>
        </w:rPr>
        <w:t>产品；</w:t>
      </w:r>
    </w:p>
    <w:p w14:paraId="01577B79">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default" w:ascii="Times New Roman" w:hAnsi="Times New Roman" w:eastAsia="宋体"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林下养殖</w:t>
      </w:r>
      <w:r>
        <w:rPr>
          <w:rFonts w:hint="eastAsia" w:ascii="宋体" w:hAnsi="Times New Roman" w:cs="Times New Roman"/>
          <w:color w:val="auto"/>
          <w:kern w:val="0"/>
          <w:szCs w:val="20"/>
          <w:lang w:val="en-US" w:eastAsia="zh-CN"/>
        </w:rPr>
        <w:t>产品；</w:t>
      </w:r>
    </w:p>
    <w:p w14:paraId="39DC423E">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default" w:ascii="Times New Roman" w:hAnsi="Times New Roman" w:eastAsia="宋体"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林下采集</w:t>
      </w:r>
      <w:r>
        <w:rPr>
          <w:rFonts w:hint="eastAsia" w:ascii="宋体" w:hAnsi="Times New Roman" w:cs="Times New Roman"/>
          <w:color w:val="auto"/>
          <w:kern w:val="0"/>
          <w:szCs w:val="20"/>
          <w:lang w:val="en-US" w:eastAsia="zh-CN"/>
        </w:rPr>
        <w:t>产品；</w:t>
      </w:r>
    </w:p>
    <w:p w14:paraId="60B0921A">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宋体" w:hAnsi="Times New Roman" w:eastAsia="宋体" w:cs="Times New Roman"/>
          <w:color w:val="auto"/>
          <w:kern w:val="0"/>
          <w:szCs w:val="20"/>
          <w:lang w:val="en-US" w:eastAsia="zh-CN"/>
        </w:rPr>
      </w:pPr>
      <w:r>
        <w:rPr>
          <w:rFonts w:hint="default" w:ascii="Times New Roman" w:hAnsi="Times New Roman" w:eastAsia="宋体"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森林景观利用</w:t>
      </w:r>
      <w:r>
        <w:rPr>
          <w:rFonts w:hint="eastAsia" w:ascii="宋体" w:hAnsi="Times New Roman" w:cs="Times New Roman"/>
          <w:color w:val="auto"/>
          <w:kern w:val="0"/>
          <w:szCs w:val="20"/>
          <w:lang w:val="en-US" w:eastAsia="zh-CN"/>
        </w:rPr>
        <w:t>产品。</w:t>
      </w:r>
    </w:p>
    <w:p w14:paraId="11D7EDF2">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4.2.2  二级分类</w:t>
      </w:r>
    </w:p>
    <w:p w14:paraId="293A0CE2">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cs="Times New Roman"/>
          <w:color w:val="auto"/>
          <w:kern w:val="0"/>
          <w:szCs w:val="20"/>
          <w:lang w:val="en-US" w:eastAsia="zh-CN"/>
        </w:rPr>
      </w:pPr>
      <w:r>
        <w:rPr>
          <w:rFonts w:hint="eastAsia" w:ascii="宋体" w:hAnsi="Times New Roman" w:eastAsia="宋体" w:cs="Times New Roman"/>
          <w:color w:val="auto"/>
          <w:kern w:val="0"/>
          <w:szCs w:val="20"/>
          <w:lang w:val="en-US" w:eastAsia="zh-CN"/>
        </w:rPr>
        <w:t>按照林下经济产品属性划分</w:t>
      </w:r>
      <w:r>
        <w:rPr>
          <w:rFonts w:hint="eastAsia" w:ascii="宋体" w:hAnsi="Times New Roman" w:cs="Times New Roman"/>
          <w:color w:val="auto"/>
          <w:kern w:val="0"/>
          <w:szCs w:val="20"/>
          <w:lang w:val="en-US" w:eastAsia="zh-CN"/>
        </w:rPr>
        <w:t>，分类如下：</w:t>
      </w:r>
    </w:p>
    <w:p w14:paraId="56A59D52">
      <w:pPr>
        <w:keepNext w:val="0"/>
        <w:keepLines w:val="0"/>
        <w:pageBreakBefore w:val="0"/>
        <w:kinsoku/>
        <w:wordWrap/>
        <w:overflowPunct/>
        <w:topLinePunct w:val="0"/>
        <w:bidi w:val="0"/>
        <w:adjustRightInd w:val="0"/>
        <w:snapToGrid w:val="0"/>
        <w:spacing w:line="300" w:lineRule="exact"/>
        <w:ind w:left="2318" w:leftChars="200" w:hanging="1898" w:hangingChars="904"/>
        <w:textAlignment w:val="auto"/>
        <w:rPr>
          <w:rFonts w:hint="eastAsia" w:ascii="宋体" w:hAnsi="Times New Roman" w:eastAsia="宋体" w:cs="Times New Roman"/>
          <w:color w:val="auto"/>
          <w:kern w:val="0"/>
          <w:szCs w:val="20"/>
          <w:lang w:val="en-US" w:eastAsia="zh-CN"/>
        </w:rPr>
      </w:pPr>
      <w:r>
        <w:rPr>
          <w:rFonts w:hint="default" w:ascii="Times New Roman" w:hAnsi="Times New Roman" w:eastAsia="宋体"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林下种植产品</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林药类、林菌类、林粮类、林茶类、林菜类、林果类、林花类、</w:t>
      </w:r>
      <w:r>
        <w:rPr>
          <w:rFonts w:hint="eastAsia" w:ascii="宋体" w:hAnsi="Times New Roman" w:eastAsia="宋体" w:cs="Times New Roman"/>
          <w:color w:val="auto"/>
          <w:kern w:val="0"/>
          <w:szCs w:val="20"/>
          <w:highlight w:val="none"/>
          <w:lang w:val="en-US" w:eastAsia="zh-CN"/>
        </w:rPr>
        <w:t>林草类</w:t>
      </w:r>
      <w:r>
        <w:rPr>
          <w:rFonts w:hint="eastAsia" w:ascii="宋体" w:hAnsi="Times New Roman" w:cs="Times New Roman"/>
          <w:color w:val="auto"/>
          <w:kern w:val="0"/>
          <w:szCs w:val="20"/>
          <w:lang w:val="en-US" w:eastAsia="zh-CN"/>
        </w:rPr>
        <w:t>、其他类</w:t>
      </w:r>
      <w:r>
        <w:rPr>
          <w:rFonts w:hint="eastAsia" w:ascii="宋体" w:hAnsi="Times New Roman" w:eastAsia="宋体" w:cs="Times New Roman"/>
          <w:color w:val="auto"/>
          <w:kern w:val="0"/>
          <w:szCs w:val="20"/>
          <w:lang w:val="en-US" w:eastAsia="zh-CN"/>
        </w:rPr>
        <w:t>；</w:t>
      </w:r>
    </w:p>
    <w:p w14:paraId="646DE895">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default" w:ascii="Times New Roman" w:hAnsi="Times New Roman" w:eastAsia="宋体"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林下养殖产品</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林禽类、林畜类、林蜂类、林渔类、林特（特色养殖）类</w:t>
      </w:r>
      <w:r>
        <w:rPr>
          <w:rFonts w:hint="eastAsia" w:ascii="宋体" w:hAnsi="Times New Roman" w:cs="Times New Roman"/>
          <w:color w:val="auto"/>
          <w:kern w:val="0"/>
          <w:szCs w:val="20"/>
          <w:lang w:val="en-US" w:eastAsia="zh-CN"/>
        </w:rPr>
        <w:t>、其他类</w:t>
      </w:r>
      <w:r>
        <w:rPr>
          <w:rFonts w:hint="eastAsia" w:ascii="宋体" w:hAnsi="Times New Roman" w:eastAsia="宋体" w:cs="Times New Roman"/>
          <w:color w:val="auto"/>
          <w:kern w:val="0"/>
          <w:szCs w:val="20"/>
          <w:lang w:val="en-US" w:eastAsia="zh-CN"/>
        </w:rPr>
        <w:t>；</w:t>
      </w:r>
    </w:p>
    <w:p w14:paraId="23BF097B">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default" w:ascii="Times New Roman" w:hAnsi="Times New Roman" w:eastAsia="宋体"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林下采集产品</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野生植物类</w:t>
      </w:r>
      <w:r>
        <w:rPr>
          <w:rFonts w:hint="eastAsia" w:ascii="宋体" w:hAnsi="Times New Roman" w:cs="Times New Roman"/>
          <w:color w:val="auto"/>
          <w:kern w:val="0"/>
          <w:szCs w:val="20"/>
          <w:lang w:val="en-US" w:eastAsia="zh-CN"/>
        </w:rPr>
        <w:t>、其他类</w:t>
      </w:r>
      <w:r>
        <w:rPr>
          <w:rFonts w:hint="eastAsia" w:ascii="宋体" w:hAnsi="Times New Roman" w:eastAsia="宋体" w:cs="Times New Roman"/>
          <w:color w:val="auto"/>
          <w:kern w:val="0"/>
          <w:szCs w:val="20"/>
          <w:lang w:val="en-US" w:eastAsia="zh-CN"/>
        </w:rPr>
        <w:t>；</w:t>
      </w:r>
    </w:p>
    <w:p w14:paraId="68C140EF">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default" w:ascii="Times New Roman" w:hAnsi="Times New Roman" w:eastAsia="宋体"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森林景观</w:t>
      </w:r>
      <w:r>
        <w:rPr>
          <w:rFonts w:hint="eastAsia" w:ascii="宋体" w:hAnsi="Times New Roman" w:cs="Times New Roman"/>
          <w:color w:val="auto"/>
          <w:kern w:val="0"/>
          <w:szCs w:val="20"/>
          <w:lang w:val="en-US" w:eastAsia="zh-CN"/>
        </w:rPr>
        <w:t>利用</w:t>
      </w:r>
      <w:r>
        <w:rPr>
          <w:rFonts w:hint="eastAsia" w:ascii="宋体" w:hAnsi="Times New Roman" w:eastAsia="宋体" w:cs="Times New Roman"/>
          <w:color w:val="auto"/>
          <w:kern w:val="0"/>
          <w:szCs w:val="20"/>
          <w:lang w:val="en-US" w:eastAsia="zh-CN"/>
        </w:rPr>
        <w:t>产品</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森林康养类、森林旅游类、自然教育类</w:t>
      </w:r>
      <w:r>
        <w:rPr>
          <w:rFonts w:hint="eastAsia" w:ascii="宋体" w:hAnsi="Times New Roman" w:cs="Times New Roman"/>
          <w:color w:val="auto"/>
          <w:kern w:val="0"/>
          <w:szCs w:val="20"/>
          <w:lang w:val="en-US" w:eastAsia="zh-CN"/>
        </w:rPr>
        <w:t>、其他类</w:t>
      </w:r>
      <w:r>
        <w:rPr>
          <w:rFonts w:hint="eastAsia" w:ascii="宋体" w:hAnsi="Times New Roman" w:eastAsia="宋体" w:cs="Times New Roman"/>
          <w:color w:val="auto"/>
          <w:kern w:val="0"/>
          <w:szCs w:val="20"/>
          <w:lang w:val="en-US" w:eastAsia="zh-CN"/>
        </w:rPr>
        <w:t>。</w:t>
      </w:r>
    </w:p>
    <w:p w14:paraId="7664248A">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4.2.3  三级分类</w:t>
      </w:r>
    </w:p>
    <w:p w14:paraId="68893C88">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按照具体产品名称划分</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包括各二级目录类别下的具体产品或服务名称。</w:t>
      </w:r>
    </w:p>
    <w:p w14:paraId="47B24E31">
      <w:pPr>
        <w:keepNext w:val="0"/>
        <w:keepLines w:val="0"/>
        <w:pageBreakBefore w:val="0"/>
        <w:widowControl/>
        <w:kinsoku/>
        <w:wordWrap/>
        <w:overflowPunct/>
        <w:topLinePunct w:val="0"/>
        <w:bidi w:val="0"/>
        <w:spacing w:beforeLines="100" w:afterLines="100" w:line="300" w:lineRule="exact"/>
        <w:textAlignment w:val="auto"/>
        <w:outlineLvl w:val="0"/>
        <w:rPr>
          <w:rFonts w:hint="default" w:ascii="宋体" w:hAnsi="Times New Roman" w:eastAsia="宋体" w:cs="Times New Roman"/>
          <w:color w:val="auto"/>
          <w:kern w:val="0"/>
          <w:szCs w:val="20"/>
          <w:lang w:val="en-US" w:eastAsia="zh-CN"/>
        </w:rPr>
      </w:pPr>
      <w:bookmarkStart w:id="30" w:name="_Toc2091"/>
      <w:r>
        <w:rPr>
          <w:rFonts w:hint="eastAsia" w:ascii="黑体" w:hAnsi="Times New Roman" w:eastAsia="黑体" w:cs="Times New Roman"/>
          <w:color w:val="auto"/>
          <w:kern w:val="0"/>
          <w:szCs w:val="20"/>
          <w:lang w:val="en-US" w:eastAsia="zh-CN"/>
        </w:rPr>
        <w:t>5  认定条件</w:t>
      </w:r>
      <w:bookmarkEnd w:id="30"/>
    </w:p>
    <w:p w14:paraId="096C0814">
      <w:pPr>
        <w:keepNext w:val="0"/>
        <w:keepLines w:val="0"/>
        <w:pageBreakBefore w:val="0"/>
        <w:kinsoku/>
        <w:wordWrap/>
        <w:overflowPunct/>
        <w:topLinePunct w:val="0"/>
        <w:bidi w:val="0"/>
        <w:adjustRightInd w:val="0"/>
        <w:snapToGrid w:val="0"/>
        <w:spacing w:before="157" w:beforeLines="50" w:after="157" w:afterLines="50" w:line="240" w:lineRule="auto"/>
        <w:ind w:firstLine="0" w:firstLineChars="0"/>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5.1  基本条件</w:t>
      </w:r>
    </w:p>
    <w:p w14:paraId="356A37B0">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ind w:firstLine="0" w:firstLineChars="0"/>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5.1.1  符合下列条件的，可认定为林下经济初级产品：</w:t>
      </w:r>
    </w:p>
    <w:p w14:paraId="402E0BF5">
      <w:pPr>
        <w:keepNext w:val="0"/>
        <w:keepLines w:val="0"/>
        <w:pageBreakBefore w:val="0"/>
        <w:kinsoku/>
        <w:wordWrap/>
        <w:overflowPunct/>
        <w:topLinePunct w:val="0"/>
        <w:bidi w:val="0"/>
        <w:adjustRightInd w:val="0"/>
        <w:snapToGrid w:val="0"/>
        <w:spacing w:line="300" w:lineRule="exact"/>
        <w:ind w:left="854" w:leftChars="200" w:hanging="434" w:hangingChars="207"/>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a）</w:t>
      </w:r>
      <w:r>
        <w:rPr>
          <w:rFonts w:hint="eastAsia" w:ascii="宋体" w:hAnsi="Times New Roman" w:cs="Times New Roman"/>
          <w:color w:val="auto"/>
          <w:kern w:val="0"/>
          <w:szCs w:val="20"/>
          <w:lang w:val="en-US" w:eastAsia="zh-CN"/>
        </w:rPr>
        <w:t xml:space="preserve"> </w:t>
      </w:r>
      <w:r>
        <w:rPr>
          <w:rFonts w:hint="eastAsia" w:ascii="宋体" w:hAnsi="Times New Roman" w:eastAsia="宋体" w:cs="Times New Roman"/>
          <w:color w:val="auto"/>
          <w:kern w:val="0"/>
          <w:szCs w:val="20"/>
          <w:lang w:val="en-US" w:eastAsia="zh-CN"/>
        </w:rPr>
        <w:t>生产经营区域位于有林地、疏林地、</w:t>
      </w:r>
      <w:r>
        <w:rPr>
          <w:rFonts w:hint="eastAsia" w:ascii="宋体" w:hAnsi="Times New Roman" w:cs="Times New Roman"/>
          <w:color w:val="auto"/>
          <w:kern w:val="0"/>
          <w:szCs w:val="20"/>
          <w:lang w:val="en-US" w:eastAsia="zh-CN"/>
        </w:rPr>
        <w:t>采伐迹地、火烧迹地、苗圃地或县级以上人民政府规划的宜林地</w:t>
      </w:r>
      <w:r>
        <w:rPr>
          <w:rFonts w:hint="eastAsia" w:ascii="宋体" w:hAnsi="Times New Roman" w:eastAsia="宋体" w:cs="Times New Roman"/>
          <w:color w:val="auto"/>
          <w:kern w:val="0"/>
          <w:szCs w:val="20"/>
          <w:lang w:val="en-US" w:eastAsia="zh-CN"/>
        </w:rPr>
        <w:t>；</w:t>
      </w:r>
    </w:p>
    <w:p w14:paraId="064B138D">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b）</w:t>
      </w:r>
      <w:r>
        <w:rPr>
          <w:rFonts w:hint="eastAsia" w:ascii="宋体" w:hAnsi="Times New Roman" w:cs="Times New Roman"/>
          <w:color w:val="auto"/>
          <w:kern w:val="0"/>
          <w:szCs w:val="20"/>
          <w:lang w:val="en-US" w:eastAsia="zh-CN"/>
        </w:rPr>
        <w:t xml:space="preserve"> </w:t>
      </w:r>
      <w:r>
        <w:rPr>
          <w:rFonts w:hint="eastAsia" w:ascii="宋体" w:hAnsi="Times New Roman" w:eastAsia="宋体" w:cs="Times New Roman"/>
          <w:color w:val="auto"/>
          <w:kern w:val="0"/>
          <w:szCs w:val="20"/>
          <w:lang w:val="en-US" w:eastAsia="zh-CN"/>
        </w:rPr>
        <w:t>生产过程依赖林冠</w:t>
      </w:r>
      <w:r>
        <w:rPr>
          <w:rFonts w:hint="eastAsia" w:ascii="宋体" w:hAnsi="Times New Roman" w:cs="Times New Roman"/>
          <w:color w:val="auto"/>
          <w:kern w:val="0"/>
          <w:szCs w:val="20"/>
          <w:lang w:val="en-US" w:eastAsia="zh-CN"/>
        </w:rPr>
        <w:t>遮荫</w:t>
      </w:r>
      <w:r>
        <w:rPr>
          <w:rFonts w:hint="eastAsia" w:ascii="宋体" w:hAnsi="Times New Roman" w:eastAsia="宋体" w:cs="Times New Roman"/>
          <w:color w:val="auto"/>
          <w:kern w:val="0"/>
          <w:szCs w:val="20"/>
          <w:lang w:val="en-US" w:eastAsia="zh-CN"/>
        </w:rPr>
        <w:t>、森林小气候、林地土壤或森林生态环境；</w:t>
      </w:r>
    </w:p>
    <w:p w14:paraId="1B4D9415">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c）</w:t>
      </w:r>
      <w:r>
        <w:rPr>
          <w:rFonts w:hint="eastAsia" w:ascii="宋体" w:hAnsi="Times New Roman" w:cs="Times New Roman"/>
          <w:color w:val="auto"/>
          <w:kern w:val="0"/>
          <w:szCs w:val="20"/>
          <w:lang w:val="en-US" w:eastAsia="zh-CN"/>
        </w:rPr>
        <w:t xml:space="preserve"> </w:t>
      </w:r>
      <w:r>
        <w:rPr>
          <w:rFonts w:hint="eastAsia" w:ascii="宋体" w:hAnsi="Times New Roman" w:eastAsia="宋体" w:cs="Times New Roman"/>
          <w:color w:val="auto"/>
          <w:kern w:val="0"/>
          <w:szCs w:val="20"/>
          <w:lang w:val="en-US" w:eastAsia="zh-CN"/>
        </w:rPr>
        <w:t>采用复合经营方式，在不破坏森林生态功能前提下开展经营活动；</w:t>
      </w:r>
    </w:p>
    <w:p w14:paraId="077C51BF">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d）</w:t>
      </w:r>
      <w:r>
        <w:rPr>
          <w:rFonts w:hint="eastAsia" w:ascii="宋体" w:hAnsi="Times New Roman" w:cs="Times New Roman"/>
          <w:color w:val="auto"/>
          <w:kern w:val="0"/>
          <w:szCs w:val="20"/>
          <w:lang w:val="en-US" w:eastAsia="zh-CN"/>
        </w:rPr>
        <w:t xml:space="preserve"> </w:t>
      </w:r>
      <w:r>
        <w:rPr>
          <w:rFonts w:hint="eastAsia" w:ascii="宋体" w:hAnsi="Times New Roman" w:eastAsia="宋体" w:cs="Times New Roman"/>
          <w:color w:val="auto"/>
          <w:kern w:val="0"/>
          <w:szCs w:val="20"/>
          <w:lang w:val="en-US" w:eastAsia="zh-CN"/>
        </w:rPr>
        <w:t>产品生产或服务供给与森林资源利用具有直接关系。</w:t>
      </w:r>
    </w:p>
    <w:p w14:paraId="307F9A7A">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ind w:firstLine="0" w:firstLineChars="0"/>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5.1.2  符合下列条件的，可认定为林下经济初加工产品：</w:t>
      </w:r>
    </w:p>
    <w:p w14:paraId="1B9F1F84">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宋体" w:hAnsi="Times New Roman" w:eastAsia="宋体" w:cs="Times New Roman"/>
          <w:color w:val="auto"/>
          <w:kern w:val="0"/>
          <w:szCs w:val="20"/>
          <w:lang w:val="en-US" w:eastAsia="zh-CN"/>
        </w:rPr>
      </w:pPr>
      <w:r>
        <w:rPr>
          <w:rFonts w:hint="default" w:ascii="宋体" w:hAnsi="Times New Roman" w:eastAsia="宋体" w:cs="Times New Roman"/>
          <w:color w:val="auto"/>
          <w:kern w:val="0"/>
          <w:szCs w:val="20"/>
          <w:lang w:val="en-US" w:eastAsia="zh-CN"/>
        </w:rPr>
        <w:t>a）</w:t>
      </w:r>
      <w:r>
        <w:rPr>
          <w:rFonts w:hint="eastAsia" w:ascii="宋体" w:hAnsi="Times New Roman" w:cs="Times New Roman"/>
          <w:color w:val="auto"/>
          <w:kern w:val="0"/>
          <w:szCs w:val="20"/>
          <w:lang w:val="en-US" w:eastAsia="zh-CN"/>
        </w:rPr>
        <w:t xml:space="preserve"> </w:t>
      </w:r>
      <w:r>
        <w:rPr>
          <w:rFonts w:hint="default" w:ascii="宋体" w:hAnsi="Times New Roman" w:eastAsia="宋体" w:cs="Times New Roman"/>
          <w:color w:val="auto"/>
          <w:kern w:val="0"/>
          <w:szCs w:val="20"/>
          <w:lang w:val="en-US" w:eastAsia="zh-CN"/>
        </w:rPr>
        <w:t>以林下经济初级产品为主要原料；</w:t>
      </w:r>
    </w:p>
    <w:p w14:paraId="538757D1">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default" w:ascii="宋体" w:hAnsi="Times New Roman" w:eastAsia="宋体" w:cs="Times New Roman"/>
          <w:color w:val="auto"/>
          <w:kern w:val="0"/>
          <w:szCs w:val="20"/>
          <w:lang w:val="en-US" w:eastAsia="zh-CN"/>
        </w:rPr>
      </w:pPr>
      <w:r>
        <w:rPr>
          <w:rFonts w:hint="default" w:ascii="宋体" w:hAnsi="Times New Roman" w:eastAsia="宋体" w:cs="Times New Roman"/>
          <w:color w:val="auto"/>
          <w:kern w:val="0"/>
          <w:szCs w:val="20"/>
          <w:lang w:val="en-US" w:eastAsia="zh-CN"/>
        </w:rPr>
        <w:t>b）</w:t>
      </w:r>
      <w:r>
        <w:rPr>
          <w:rFonts w:hint="eastAsia" w:ascii="宋体" w:hAnsi="Times New Roman" w:cs="Times New Roman"/>
          <w:color w:val="auto"/>
          <w:kern w:val="0"/>
          <w:szCs w:val="20"/>
          <w:lang w:val="en-US" w:eastAsia="zh-CN"/>
        </w:rPr>
        <w:t xml:space="preserve"> </w:t>
      </w:r>
      <w:r>
        <w:rPr>
          <w:rFonts w:hint="default" w:ascii="宋体" w:hAnsi="Times New Roman" w:eastAsia="宋体" w:cs="Times New Roman"/>
          <w:color w:val="auto"/>
          <w:kern w:val="0"/>
          <w:szCs w:val="20"/>
          <w:lang w:val="en-US" w:eastAsia="zh-CN"/>
        </w:rPr>
        <w:t>原料来源可追溯，并符合国家有关质量安全和检验检疫要求；</w:t>
      </w:r>
    </w:p>
    <w:p w14:paraId="21CE7341">
      <w:pPr>
        <w:keepNext w:val="0"/>
        <w:keepLines w:val="0"/>
        <w:pageBreakBefore w:val="0"/>
        <w:kinsoku/>
        <w:wordWrap/>
        <w:overflowPunct/>
        <w:topLinePunct w:val="0"/>
        <w:bidi w:val="0"/>
        <w:adjustRightInd w:val="0"/>
        <w:snapToGrid w:val="0"/>
        <w:spacing w:line="300" w:lineRule="exact"/>
        <w:ind w:left="840" w:leftChars="200" w:hanging="420" w:hangingChars="200"/>
        <w:textAlignment w:val="auto"/>
        <w:rPr>
          <w:rFonts w:hint="default" w:ascii="宋体" w:hAnsi="Times New Roman" w:eastAsia="宋体" w:cs="Times New Roman"/>
          <w:color w:val="auto"/>
          <w:kern w:val="0"/>
          <w:szCs w:val="20"/>
          <w:lang w:val="en-US" w:eastAsia="zh-CN"/>
        </w:rPr>
      </w:pPr>
      <w:r>
        <w:rPr>
          <w:rFonts w:hint="default" w:ascii="宋体" w:hAnsi="Times New Roman" w:eastAsia="宋体" w:cs="Times New Roman"/>
          <w:color w:val="auto"/>
          <w:kern w:val="0"/>
          <w:szCs w:val="20"/>
          <w:lang w:val="en-US" w:eastAsia="zh-CN"/>
        </w:rPr>
        <w:t>c）</w:t>
      </w:r>
      <w:r>
        <w:rPr>
          <w:rFonts w:hint="eastAsia" w:ascii="宋体" w:hAnsi="Times New Roman" w:cs="Times New Roman"/>
          <w:color w:val="auto"/>
          <w:kern w:val="0"/>
          <w:szCs w:val="20"/>
          <w:lang w:val="en-US" w:eastAsia="zh-CN"/>
        </w:rPr>
        <w:t xml:space="preserve"> </w:t>
      </w:r>
      <w:r>
        <w:rPr>
          <w:rFonts w:hint="default" w:ascii="宋体" w:hAnsi="Times New Roman" w:eastAsia="宋体" w:cs="Times New Roman"/>
          <w:color w:val="auto"/>
          <w:kern w:val="0"/>
          <w:szCs w:val="20"/>
          <w:highlight w:val="none"/>
          <w:lang w:val="en-US" w:eastAsia="zh-CN"/>
        </w:rPr>
        <w:t>加工过程限于清洗、整理、分级、切制、干燥、冷藏、冷冻、包装以及为干燥、保鲜等目的进行的杀青、蒸制等必要的初加工处理，不改变产品的基本属性和主要用途</w:t>
      </w:r>
      <w:r>
        <w:rPr>
          <w:rFonts w:hint="eastAsia" w:ascii="宋体" w:hAnsi="Times New Roman" w:cs="Times New Roman"/>
          <w:color w:val="auto"/>
          <w:kern w:val="0"/>
          <w:szCs w:val="20"/>
          <w:highlight w:val="none"/>
          <w:lang w:val="en-US" w:eastAsia="zh-CN"/>
        </w:rPr>
        <w:t>；</w:t>
      </w:r>
    </w:p>
    <w:p w14:paraId="470D5E6F">
      <w:pPr>
        <w:keepNext w:val="0"/>
        <w:keepLines w:val="0"/>
        <w:pageBreakBefore w:val="0"/>
        <w:kinsoku/>
        <w:wordWrap/>
        <w:overflowPunct/>
        <w:topLinePunct w:val="0"/>
        <w:bidi w:val="0"/>
        <w:adjustRightInd w:val="0"/>
        <w:snapToGrid w:val="0"/>
        <w:spacing w:line="300" w:lineRule="exact"/>
        <w:ind w:left="840" w:leftChars="200" w:hanging="420" w:hangingChars="200"/>
        <w:textAlignment w:val="auto"/>
        <w:rPr>
          <w:rFonts w:hint="default" w:ascii="宋体" w:hAnsi="Times New Roman" w:eastAsia="宋体" w:cs="Times New Roman"/>
          <w:color w:val="auto"/>
          <w:kern w:val="0"/>
          <w:szCs w:val="20"/>
          <w:lang w:val="en-US" w:eastAsia="zh-CN"/>
        </w:rPr>
      </w:pPr>
      <w:r>
        <w:rPr>
          <w:rFonts w:hint="default" w:ascii="宋体" w:hAnsi="Times New Roman" w:eastAsia="宋体" w:cs="Times New Roman"/>
          <w:color w:val="auto"/>
          <w:kern w:val="0"/>
          <w:szCs w:val="20"/>
          <w:lang w:val="en-US" w:eastAsia="zh-CN"/>
        </w:rPr>
        <w:t>d）</w:t>
      </w:r>
      <w:r>
        <w:rPr>
          <w:rFonts w:hint="eastAsia" w:ascii="宋体" w:hAnsi="Times New Roman" w:cs="Times New Roman"/>
          <w:color w:val="auto"/>
          <w:kern w:val="0"/>
          <w:szCs w:val="20"/>
          <w:lang w:val="en-US" w:eastAsia="zh-CN"/>
        </w:rPr>
        <w:t xml:space="preserve"> </w:t>
      </w:r>
      <w:r>
        <w:rPr>
          <w:rFonts w:hint="default" w:ascii="宋体" w:hAnsi="Times New Roman" w:eastAsia="宋体" w:cs="Times New Roman"/>
          <w:color w:val="auto"/>
          <w:kern w:val="0"/>
          <w:szCs w:val="20"/>
          <w:lang w:val="en-US" w:eastAsia="zh-CN"/>
        </w:rPr>
        <w:t>加工活动符合国家有关生态环境保护</w:t>
      </w:r>
      <w:r>
        <w:rPr>
          <w:rFonts w:hint="eastAsia" w:ascii="宋体" w:hAnsi="Times New Roman" w:cs="Times New Roman"/>
          <w:color w:val="auto"/>
          <w:kern w:val="0"/>
          <w:szCs w:val="20"/>
          <w:lang w:val="en-US" w:eastAsia="zh-CN"/>
        </w:rPr>
        <w:t>和</w:t>
      </w:r>
      <w:r>
        <w:rPr>
          <w:rFonts w:hint="default" w:ascii="宋体" w:hAnsi="Times New Roman" w:eastAsia="宋体" w:cs="Times New Roman"/>
          <w:color w:val="auto"/>
          <w:kern w:val="0"/>
          <w:szCs w:val="20"/>
          <w:lang w:val="en-US" w:eastAsia="zh-CN"/>
        </w:rPr>
        <w:t>产品质量管理等规定</w:t>
      </w:r>
      <w:r>
        <w:rPr>
          <w:rFonts w:hint="eastAsia" w:ascii="宋体" w:hAnsi="Times New Roman" w:cs="Times New Roman"/>
          <w:color w:val="auto"/>
          <w:kern w:val="0"/>
          <w:szCs w:val="20"/>
          <w:lang w:val="en-US" w:eastAsia="zh-CN"/>
        </w:rPr>
        <w:t>，涉及食品生产的，加工过程应符合GB 14881的规定；</w:t>
      </w:r>
    </w:p>
    <w:p w14:paraId="1DE286B9">
      <w:pPr>
        <w:keepNext w:val="0"/>
        <w:keepLines w:val="0"/>
        <w:pageBreakBefore w:val="0"/>
        <w:widowControl w:val="0"/>
        <w:kinsoku/>
        <w:wordWrap/>
        <w:overflowPunct/>
        <w:topLinePunct w:val="0"/>
        <w:autoSpaceDE/>
        <w:autoSpaceDN/>
        <w:bidi w:val="0"/>
        <w:adjustRightInd w:val="0"/>
        <w:snapToGrid w:val="0"/>
        <w:spacing w:after="157" w:afterLines="50" w:line="300" w:lineRule="exact"/>
        <w:ind w:firstLine="420" w:firstLineChars="200"/>
        <w:textAlignment w:val="auto"/>
        <w:rPr>
          <w:rFonts w:hint="default" w:ascii="宋体" w:hAnsi="Times New Roman" w:eastAsia="宋体" w:cs="Times New Roman"/>
          <w:color w:val="auto"/>
          <w:kern w:val="0"/>
          <w:szCs w:val="20"/>
          <w:lang w:val="en-US" w:eastAsia="zh-CN"/>
        </w:rPr>
      </w:pPr>
      <w:r>
        <w:rPr>
          <w:rFonts w:hint="default" w:ascii="宋体" w:hAnsi="Times New Roman" w:eastAsia="宋体" w:cs="Times New Roman"/>
          <w:color w:val="auto"/>
          <w:kern w:val="0"/>
          <w:szCs w:val="20"/>
          <w:highlight w:val="none"/>
          <w:lang w:val="en-US" w:eastAsia="zh-CN"/>
        </w:rPr>
        <w:t>e）</w:t>
      </w:r>
      <w:r>
        <w:rPr>
          <w:rFonts w:hint="eastAsia" w:ascii="宋体" w:hAnsi="Times New Roman" w:cs="Times New Roman"/>
          <w:color w:val="auto"/>
          <w:kern w:val="0"/>
          <w:szCs w:val="20"/>
          <w:highlight w:val="none"/>
          <w:lang w:val="en-US" w:eastAsia="zh-CN"/>
        </w:rPr>
        <w:t xml:space="preserve"> </w:t>
      </w:r>
      <w:r>
        <w:rPr>
          <w:rFonts w:hint="default" w:ascii="宋体" w:hAnsi="Times New Roman" w:eastAsia="宋体" w:cs="Times New Roman"/>
          <w:color w:val="auto"/>
          <w:kern w:val="0"/>
          <w:szCs w:val="20"/>
          <w:highlight w:val="none"/>
          <w:lang w:val="en-US" w:eastAsia="zh-CN"/>
        </w:rPr>
        <w:t>加工后产品仍保持林下经济产品原有</w:t>
      </w:r>
      <w:r>
        <w:rPr>
          <w:rFonts w:hint="eastAsia" w:ascii="宋体" w:hAnsi="Times New Roman" w:cs="Times New Roman"/>
          <w:color w:val="auto"/>
          <w:kern w:val="0"/>
          <w:szCs w:val="20"/>
          <w:highlight w:val="none"/>
          <w:lang w:val="en-US" w:eastAsia="zh-CN"/>
        </w:rPr>
        <w:t>功能</w:t>
      </w:r>
      <w:r>
        <w:rPr>
          <w:rFonts w:hint="default" w:ascii="宋体" w:hAnsi="Times New Roman" w:eastAsia="宋体" w:cs="Times New Roman"/>
          <w:color w:val="auto"/>
          <w:kern w:val="0"/>
          <w:szCs w:val="20"/>
          <w:highlight w:val="none"/>
          <w:lang w:val="en-US" w:eastAsia="zh-CN"/>
        </w:rPr>
        <w:t>属性，其分类按照对应初级产品类别进行认定。</w:t>
      </w:r>
    </w:p>
    <w:p w14:paraId="2560E899">
      <w:pPr>
        <w:keepNext w:val="0"/>
        <w:keepLines w:val="0"/>
        <w:pageBreakBefore w:val="0"/>
        <w:kinsoku/>
        <w:wordWrap/>
        <w:overflowPunct/>
        <w:topLinePunct w:val="0"/>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5.2  基本特征</w:t>
      </w:r>
    </w:p>
    <w:p w14:paraId="6244AD36">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5.2.1  森林生态依赖性</w:t>
      </w:r>
    </w:p>
    <w:p w14:paraId="0FB8DB6B">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产品依托森林、林地及森林生态系统形成，其生产经营活动应符合森林生态系统结构和功能要求。</w:t>
      </w:r>
    </w:p>
    <w:p w14:paraId="5531E21B">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5.2.2  林地空间多功能性</w:t>
      </w:r>
    </w:p>
    <w:p w14:paraId="43C86870">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产品生产经营活动应充分利用森林、林地及其空间资源，实现森林空间资源的多功能利用。</w:t>
      </w:r>
    </w:p>
    <w:p w14:paraId="45A85B69">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5.2.3  生态经济协调性</w:t>
      </w:r>
    </w:p>
    <w:p w14:paraId="08BBC832">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cs="Times New Roman"/>
          <w:color w:val="auto"/>
          <w:kern w:val="0"/>
          <w:szCs w:val="20"/>
          <w:lang w:val="en-US" w:eastAsia="zh-CN"/>
        </w:rPr>
        <w:t>产品</w:t>
      </w:r>
      <w:r>
        <w:rPr>
          <w:rFonts w:hint="eastAsia" w:ascii="宋体" w:hAnsi="Times New Roman" w:eastAsia="宋体" w:cs="Times New Roman"/>
          <w:color w:val="auto"/>
          <w:kern w:val="0"/>
          <w:szCs w:val="20"/>
          <w:lang w:val="en-US" w:eastAsia="zh-CN"/>
        </w:rPr>
        <w:t>生产经营活动不应破坏森林资源，不应改变林地用途，不应影响森林生态系统稳定性。</w:t>
      </w:r>
    </w:p>
    <w:p w14:paraId="2D8CBEF2">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5.2.4  多元复合经营性</w:t>
      </w:r>
    </w:p>
    <w:p w14:paraId="1F9233E6">
      <w:pPr>
        <w:keepNext w:val="0"/>
        <w:keepLines w:val="0"/>
        <w:pageBreakBefore w:val="0"/>
        <w:kinsoku/>
        <w:wordWrap/>
        <w:overflowPunct/>
        <w:topLinePunct w:val="0"/>
        <w:bidi w:val="0"/>
        <w:adjustRightInd w:val="0"/>
        <w:snapToGrid w:val="0"/>
        <w:spacing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cs="Times New Roman"/>
          <w:color w:val="auto"/>
          <w:kern w:val="0"/>
          <w:szCs w:val="20"/>
          <w:lang w:val="en-US" w:eastAsia="zh-CN"/>
        </w:rPr>
        <w:t>产品生产活动</w:t>
      </w:r>
      <w:r>
        <w:rPr>
          <w:rFonts w:hint="eastAsia" w:ascii="宋体" w:hAnsi="Times New Roman" w:eastAsia="宋体" w:cs="Times New Roman"/>
          <w:color w:val="auto"/>
          <w:kern w:val="0"/>
          <w:szCs w:val="20"/>
          <w:lang w:val="en-US" w:eastAsia="zh-CN"/>
        </w:rPr>
        <w:t>应体现林业与种植业、养殖业、采集业或生态服务业相结合的复合经营特点。</w:t>
      </w:r>
    </w:p>
    <w:p w14:paraId="77D77AAA">
      <w:pPr>
        <w:keepNext w:val="0"/>
        <w:keepLines w:val="0"/>
        <w:pageBreakBefore w:val="0"/>
        <w:widowControl/>
        <w:kinsoku/>
        <w:wordWrap/>
        <w:overflowPunct/>
        <w:topLinePunct w:val="0"/>
        <w:bidi w:val="0"/>
        <w:spacing w:beforeLines="100" w:afterLines="100" w:line="300" w:lineRule="exact"/>
        <w:textAlignment w:val="auto"/>
        <w:outlineLvl w:val="0"/>
        <w:rPr>
          <w:rFonts w:hint="default" w:ascii="黑体" w:hAnsi="Times New Roman" w:eastAsia="黑体" w:cs="Times New Roman"/>
          <w:color w:val="auto"/>
          <w:kern w:val="0"/>
          <w:szCs w:val="20"/>
          <w:lang w:val="en-US" w:eastAsia="zh-CN"/>
        </w:rPr>
      </w:pPr>
      <w:bookmarkStart w:id="31" w:name="_Toc450"/>
      <w:r>
        <w:rPr>
          <w:rFonts w:hint="eastAsia" w:ascii="黑体" w:hAnsi="Times New Roman" w:eastAsia="黑体" w:cs="Times New Roman"/>
          <w:color w:val="auto"/>
          <w:kern w:val="0"/>
          <w:szCs w:val="20"/>
          <w:lang w:val="en-US" w:eastAsia="zh-CN"/>
        </w:rPr>
        <w:t>6  认定依据</w:t>
      </w:r>
      <w:bookmarkEnd w:id="31"/>
    </w:p>
    <w:p w14:paraId="2BF66FB2">
      <w:pPr>
        <w:keepNext w:val="0"/>
        <w:keepLines w:val="0"/>
        <w:pageBreakBefore w:val="0"/>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6.1  林下种植产品</w:t>
      </w:r>
    </w:p>
    <w:p w14:paraId="5BCE587F">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6.1.1</w:t>
      </w:r>
      <w:r>
        <w:rPr>
          <w:rFonts w:hint="eastAsia" w:ascii="黑体" w:hAnsi="黑体" w:eastAsia="黑体" w:cs="黑体"/>
          <w:color w:val="auto"/>
          <w:kern w:val="0"/>
          <w:szCs w:val="20"/>
          <w:highlight w:val="none"/>
          <w:lang w:val="en-US" w:eastAsia="zh-CN"/>
        </w:rPr>
        <w:t xml:space="preserve">  </w:t>
      </w:r>
      <w:r>
        <w:rPr>
          <w:rFonts w:hint="eastAsia" w:ascii="黑体" w:hAnsi="黑体" w:eastAsia="黑体" w:cs="黑体"/>
          <w:b w:val="0"/>
          <w:bCs w:val="0"/>
          <w:color w:val="auto"/>
          <w:kern w:val="0"/>
          <w:szCs w:val="20"/>
          <w:highlight w:val="none"/>
          <w:lang w:val="en-US" w:eastAsia="zh-CN"/>
        </w:rPr>
        <w:t>生产区域</w:t>
      </w:r>
    </w:p>
    <w:p w14:paraId="212B7BED">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highlight w:val="none"/>
          <w:lang w:val="en-US" w:eastAsia="zh-CN"/>
        </w:rPr>
        <w:t>生产区域位于依法登记的林地范围内，包括</w:t>
      </w:r>
      <w:r>
        <w:rPr>
          <w:rFonts w:hint="eastAsia" w:ascii="宋体" w:hAnsi="Times New Roman" w:cs="Times New Roman"/>
          <w:color w:val="auto"/>
          <w:kern w:val="0"/>
          <w:szCs w:val="20"/>
          <w:highlight w:val="none"/>
        </w:rPr>
        <w:t>有林地、疏林地、采伐迹地、火烧迹地、苗圃地和县级以上人民政府规划的宜林地</w:t>
      </w:r>
      <w:r>
        <w:rPr>
          <w:rFonts w:hint="eastAsia" w:ascii="宋体" w:hAnsi="Times New Roman" w:cs="Times New Roman"/>
          <w:color w:val="auto"/>
          <w:kern w:val="0"/>
          <w:szCs w:val="20"/>
          <w:highlight w:val="none"/>
          <w:lang w:val="en-US" w:eastAsia="zh-CN"/>
        </w:rPr>
        <w:t>。</w:t>
      </w:r>
    </w:p>
    <w:p w14:paraId="3833AA90">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6.1.2</w:t>
      </w:r>
      <w:r>
        <w:rPr>
          <w:rFonts w:hint="eastAsia" w:ascii="黑体" w:hAnsi="黑体" w:eastAsia="黑体" w:cs="黑体"/>
          <w:color w:val="auto"/>
          <w:kern w:val="0"/>
          <w:szCs w:val="20"/>
          <w:highlight w:val="none"/>
          <w:lang w:val="en-US" w:eastAsia="zh-CN"/>
        </w:rPr>
        <w:t xml:space="preserve">  </w:t>
      </w:r>
      <w:r>
        <w:rPr>
          <w:rFonts w:hint="eastAsia" w:ascii="黑体" w:hAnsi="黑体" w:eastAsia="黑体" w:cs="黑体"/>
          <w:b w:val="0"/>
          <w:bCs w:val="0"/>
          <w:color w:val="auto"/>
          <w:kern w:val="0"/>
          <w:szCs w:val="20"/>
          <w:highlight w:val="none"/>
          <w:lang w:val="en-US" w:eastAsia="zh-CN"/>
        </w:rPr>
        <w:t>生态环境</w:t>
      </w:r>
    </w:p>
    <w:p w14:paraId="361B30E8">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利用林冠遮阴环境开展生产，保持林地土壤自然结构</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林地腐殖质层不应人为大面积破坏，不应长期采用完全人工环境控制</w:t>
      </w:r>
      <w:r>
        <w:rPr>
          <w:rFonts w:hint="eastAsia" w:ascii="宋体" w:hAnsi="Times New Roman" w:cs="Times New Roman"/>
          <w:color w:val="auto"/>
          <w:kern w:val="0"/>
          <w:szCs w:val="20"/>
          <w:lang w:val="en-US" w:eastAsia="zh-CN"/>
        </w:rPr>
        <w:t>；生产环境、</w:t>
      </w:r>
      <w:r>
        <w:rPr>
          <w:rFonts w:hint="eastAsia" w:ascii="宋体" w:hAnsi="Times New Roman" w:eastAsia="宋体" w:cs="Times New Roman"/>
          <w:color w:val="auto"/>
          <w:kern w:val="0"/>
          <w:szCs w:val="20"/>
          <w:lang w:val="en-US" w:eastAsia="zh-CN"/>
        </w:rPr>
        <w:t>化肥、农药使用</w:t>
      </w:r>
      <w:r>
        <w:rPr>
          <w:rFonts w:hint="eastAsia" w:ascii="宋体" w:hAnsi="Times New Roman" w:eastAsia="宋体" w:cs="Times New Roman"/>
          <w:color w:val="auto"/>
          <w:kern w:val="0"/>
          <w:szCs w:val="20"/>
          <w:highlight w:val="none"/>
          <w:lang w:val="en-US" w:eastAsia="zh-CN"/>
        </w:rPr>
        <w:t>应符合</w:t>
      </w:r>
      <w:r>
        <w:rPr>
          <w:rFonts w:hint="eastAsia" w:ascii="宋体" w:hAnsi="Times New Roman" w:cs="Times New Roman"/>
          <w:color w:val="auto"/>
          <w:kern w:val="0"/>
          <w:szCs w:val="24"/>
          <w:highlight w:val="none"/>
          <w:lang w:val="en-US" w:eastAsia="zh-CN"/>
        </w:rPr>
        <w:t>NY/T 391、NY/T 393、NY/T 394的</w:t>
      </w:r>
      <w:r>
        <w:rPr>
          <w:rFonts w:hint="eastAsia" w:ascii="宋体" w:hAnsi="Times New Roman" w:eastAsia="宋体" w:cs="Times New Roman"/>
          <w:color w:val="auto"/>
          <w:kern w:val="0"/>
          <w:szCs w:val="20"/>
          <w:highlight w:val="none"/>
          <w:lang w:val="en-US" w:eastAsia="zh-CN"/>
        </w:rPr>
        <w:t>相关要求</w:t>
      </w:r>
      <w:r>
        <w:rPr>
          <w:rFonts w:hint="eastAsia" w:ascii="宋体" w:hAnsi="Times New Roman" w:eastAsia="宋体" w:cs="Times New Roman"/>
          <w:color w:val="auto"/>
          <w:kern w:val="0"/>
          <w:szCs w:val="20"/>
          <w:lang w:val="en-US" w:eastAsia="zh-CN"/>
        </w:rPr>
        <w:t>。</w:t>
      </w:r>
    </w:p>
    <w:p w14:paraId="32E12147">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6.1.3  经营方式</w:t>
      </w:r>
    </w:p>
    <w:p w14:paraId="0AD0609F">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highlight w:val="none"/>
          <w:lang w:val="en-US" w:eastAsia="zh-CN"/>
        </w:rPr>
        <w:t>保持森林生态连续性，不</w:t>
      </w:r>
      <w:r>
        <w:rPr>
          <w:rFonts w:hint="eastAsia" w:ascii="宋体" w:hAnsi="Times New Roman" w:cs="Times New Roman"/>
          <w:color w:val="auto"/>
          <w:kern w:val="0"/>
          <w:szCs w:val="20"/>
          <w:highlight w:val="none"/>
          <w:lang w:val="en-US" w:eastAsia="zh-CN"/>
        </w:rPr>
        <w:t>宜</w:t>
      </w:r>
      <w:r>
        <w:rPr>
          <w:rFonts w:hint="eastAsia" w:ascii="宋体" w:hAnsi="Times New Roman" w:eastAsia="宋体" w:cs="Times New Roman"/>
          <w:color w:val="auto"/>
          <w:kern w:val="0"/>
          <w:szCs w:val="20"/>
          <w:highlight w:val="none"/>
          <w:lang w:val="en-US" w:eastAsia="zh-CN"/>
        </w:rPr>
        <w:t>实施大面积皆伐式经营</w:t>
      </w:r>
      <w:r>
        <w:rPr>
          <w:rFonts w:hint="eastAsia" w:ascii="宋体" w:hAnsi="Times New Roman" w:cs="Times New Roman"/>
          <w:color w:val="auto"/>
          <w:kern w:val="0"/>
          <w:szCs w:val="20"/>
          <w:highlight w:val="none"/>
          <w:lang w:val="en-US" w:eastAsia="zh-CN"/>
        </w:rPr>
        <w:t>；</w:t>
      </w:r>
      <w:r>
        <w:rPr>
          <w:rFonts w:hint="eastAsia" w:ascii="宋体" w:hAnsi="Times New Roman" w:cs="Times New Roman"/>
          <w:color w:val="auto"/>
          <w:kern w:val="0"/>
          <w:szCs w:val="20"/>
          <w:lang w:val="en-US" w:eastAsia="zh-CN"/>
        </w:rPr>
        <w:t>不应改变林地性质和用途，避免大规模林地清理、砍伐或破坏原有植被，</w:t>
      </w:r>
      <w:r>
        <w:rPr>
          <w:rFonts w:hint="eastAsia" w:ascii="宋体" w:hAnsi="Times New Roman" w:eastAsia="宋体" w:cs="Times New Roman"/>
          <w:color w:val="auto"/>
          <w:kern w:val="0"/>
          <w:szCs w:val="20"/>
          <w:lang w:val="en-US" w:eastAsia="zh-CN"/>
        </w:rPr>
        <w:t>不应实施严重影响森林生态系统稳定性的高强度经营活动。</w:t>
      </w:r>
    </w:p>
    <w:p w14:paraId="58DC5293">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6.2  林下养殖产品</w:t>
      </w:r>
    </w:p>
    <w:p w14:paraId="7CB8EFD3">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6.2.1</w:t>
      </w:r>
      <w:r>
        <w:rPr>
          <w:rFonts w:hint="eastAsia" w:ascii="黑体" w:hAnsi="黑体" w:eastAsia="黑体" w:cs="黑体"/>
          <w:color w:val="auto"/>
          <w:kern w:val="0"/>
          <w:szCs w:val="20"/>
          <w:highlight w:val="none"/>
          <w:lang w:val="en-US" w:eastAsia="zh-CN"/>
        </w:rPr>
        <w:t xml:space="preserve">  </w:t>
      </w:r>
      <w:r>
        <w:rPr>
          <w:rFonts w:hint="eastAsia" w:ascii="黑体" w:hAnsi="黑体" w:eastAsia="黑体" w:cs="黑体"/>
          <w:b w:val="0"/>
          <w:bCs w:val="0"/>
          <w:color w:val="auto"/>
          <w:kern w:val="0"/>
          <w:szCs w:val="20"/>
          <w:highlight w:val="none"/>
          <w:lang w:val="en-US" w:eastAsia="zh-CN"/>
        </w:rPr>
        <w:t>养殖区域</w:t>
      </w:r>
    </w:p>
    <w:p w14:paraId="5677C7D3">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养殖区域位于林地、林缘、林间空地等森林生态区域</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养殖活动不应破坏林地植被</w:t>
      </w:r>
      <w:r>
        <w:rPr>
          <w:rFonts w:hint="eastAsia" w:ascii="宋体" w:hAnsi="Times New Roman" w:cs="Times New Roman"/>
          <w:color w:val="auto"/>
          <w:kern w:val="0"/>
          <w:szCs w:val="20"/>
          <w:lang w:val="en-US" w:eastAsia="zh-CN"/>
        </w:rPr>
        <w:t>、土壤</w:t>
      </w:r>
      <w:r>
        <w:rPr>
          <w:rFonts w:hint="eastAsia" w:ascii="宋体" w:hAnsi="Times New Roman" w:eastAsia="宋体" w:cs="Times New Roman"/>
          <w:color w:val="auto"/>
          <w:kern w:val="0"/>
          <w:szCs w:val="20"/>
          <w:lang w:val="en-US" w:eastAsia="zh-CN"/>
        </w:rPr>
        <w:t>和森林生态结构</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饮用水和养殖用水应符合国家相关水质标准。</w:t>
      </w:r>
    </w:p>
    <w:p w14:paraId="56F5987F">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6.2.2</w:t>
      </w:r>
      <w:r>
        <w:rPr>
          <w:rFonts w:hint="eastAsia" w:ascii="黑体" w:hAnsi="黑体" w:eastAsia="黑体" w:cs="黑体"/>
          <w:color w:val="auto"/>
          <w:kern w:val="0"/>
          <w:szCs w:val="20"/>
          <w:highlight w:val="none"/>
          <w:lang w:val="en-US" w:eastAsia="zh-CN"/>
        </w:rPr>
        <w:t xml:space="preserve">  </w:t>
      </w:r>
      <w:r>
        <w:rPr>
          <w:rFonts w:hint="eastAsia" w:ascii="黑体" w:hAnsi="黑体" w:eastAsia="黑体" w:cs="黑体"/>
          <w:b w:val="0"/>
          <w:bCs w:val="0"/>
          <w:color w:val="auto"/>
          <w:kern w:val="0"/>
          <w:szCs w:val="20"/>
          <w:highlight w:val="none"/>
          <w:lang w:val="en-US" w:eastAsia="zh-CN"/>
        </w:rPr>
        <w:t>生态利用</w:t>
      </w:r>
    </w:p>
    <w:p w14:paraId="1A1D162B">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cs="Times New Roman"/>
          <w:color w:val="auto"/>
          <w:kern w:val="0"/>
          <w:szCs w:val="20"/>
          <w:lang w:val="en-US" w:eastAsia="zh-CN"/>
        </w:rPr>
        <w:t>宜</w:t>
      </w:r>
      <w:r>
        <w:rPr>
          <w:rFonts w:hint="eastAsia" w:ascii="宋体" w:hAnsi="Times New Roman" w:eastAsia="宋体" w:cs="Times New Roman"/>
          <w:color w:val="auto"/>
          <w:kern w:val="0"/>
          <w:szCs w:val="20"/>
          <w:lang w:val="en-US" w:eastAsia="zh-CN"/>
        </w:rPr>
        <w:t>优先采用生态放养方式</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养殖密度</w:t>
      </w:r>
      <w:r>
        <w:rPr>
          <w:rFonts w:hint="eastAsia" w:ascii="宋体" w:hAnsi="Times New Roman" w:cs="Times New Roman"/>
          <w:color w:val="auto"/>
          <w:kern w:val="0"/>
          <w:szCs w:val="20"/>
          <w:lang w:val="en-US" w:eastAsia="zh-CN"/>
        </w:rPr>
        <w:t>宜</w:t>
      </w:r>
      <w:r>
        <w:rPr>
          <w:rFonts w:hint="eastAsia" w:ascii="宋体" w:hAnsi="Times New Roman" w:eastAsia="宋体" w:cs="Times New Roman"/>
          <w:color w:val="auto"/>
          <w:kern w:val="0"/>
          <w:szCs w:val="20"/>
          <w:lang w:val="en-US" w:eastAsia="zh-CN"/>
        </w:rPr>
        <w:t>与林地资源承载能力相适应</w:t>
      </w:r>
      <w:r>
        <w:rPr>
          <w:rFonts w:hint="eastAsia" w:ascii="宋体" w:hAnsi="Times New Roman" w:cs="Times New Roman"/>
          <w:color w:val="auto"/>
          <w:kern w:val="0"/>
          <w:szCs w:val="20"/>
          <w:lang w:val="en-US" w:eastAsia="zh-CN"/>
        </w:rPr>
        <w:t>，并</w:t>
      </w:r>
      <w:r>
        <w:rPr>
          <w:rFonts w:hint="eastAsia" w:ascii="宋体" w:hAnsi="Times New Roman" w:eastAsia="宋体" w:cs="Times New Roman"/>
          <w:color w:val="auto"/>
          <w:kern w:val="0"/>
          <w:szCs w:val="20"/>
          <w:lang w:val="en-US" w:eastAsia="zh-CN"/>
        </w:rPr>
        <w:t>建立疫病防控和生态养殖管理制度。</w:t>
      </w:r>
    </w:p>
    <w:p w14:paraId="77B19A26">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6.2.3  生态保护</w:t>
      </w:r>
    </w:p>
    <w:p w14:paraId="0824E682">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cs="Times New Roman"/>
          <w:color w:val="auto"/>
          <w:kern w:val="0"/>
          <w:szCs w:val="20"/>
          <w:lang w:val="en-US" w:eastAsia="zh-CN"/>
        </w:rPr>
        <w:t>不应</w:t>
      </w:r>
      <w:r>
        <w:rPr>
          <w:rFonts w:hint="eastAsia" w:ascii="宋体" w:hAnsi="Times New Roman" w:eastAsia="宋体" w:cs="Times New Roman"/>
          <w:color w:val="auto"/>
          <w:kern w:val="0"/>
          <w:szCs w:val="20"/>
          <w:lang w:val="en-US" w:eastAsia="zh-CN"/>
        </w:rPr>
        <w:t>造成林地土壤板结、水源污染及生态退化</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畜禽粪污应进行资源化利用或无害化</w:t>
      </w:r>
      <w:r>
        <w:rPr>
          <w:rFonts w:hint="eastAsia" w:ascii="宋体" w:hAnsi="Times New Roman" w:cs="Times New Roman"/>
          <w:color w:val="auto"/>
          <w:kern w:val="0"/>
          <w:szCs w:val="20"/>
          <w:lang w:val="en-US" w:eastAsia="zh-CN"/>
        </w:rPr>
        <w:t>处理，不应</w:t>
      </w:r>
      <w:r>
        <w:rPr>
          <w:rFonts w:hint="eastAsia" w:ascii="宋体" w:hAnsi="Times New Roman" w:eastAsia="宋体" w:cs="Times New Roman"/>
          <w:color w:val="auto"/>
          <w:kern w:val="0"/>
          <w:szCs w:val="20"/>
          <w:lang w:val="en-US" w:eastAsia="zh-CN"/>
        </w:rPr>
        <w:t>影响森林生态安全和野生动物栖息环境。</w:t>
      </w:r>
    </w:p>
    <w:p w14:paraId="765F68E8">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6.3  林下采集产品</w:t>
      </w:r>
    </w:p>
    <w:p w14:paraId="61AB7260">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6.3.1</w:t>
      </w:r>
      <w:r>
        <w:rPr>
          <w:rFonts w:hint="eastAsia" w:ascii="黑体" w:hAnsi="黑体" w:eastAsia="黑体" w:cs="黑体"/>
          <w:color w:val="auto"/>
          <w:kern w:val="0"/>
          <w:szCs w:val="20"/>
          <w:highlight w:val="none"/>
          <w:lang w:val="en-US" w:eastAsia="zh-CN"/>
        </w:rPr>
        <w:t xml:space="preserve">  </w:t>
      </w:r>
      <w:r>
        <w:rPr>
          <w:rFonts w:hint="eastAsia" w:ascii="黑体" w:hAnsi="黑体" w:eastAsia="黑体" w:cs="黑体"/>
          <w:b w:val="0"/>
          <w:bCs w:val="0"/>
          <w:color w:val="auto"/>
          <w:kern w:val="0"/>
          <w:szCs w:val="20"/>
          <w:highlight w:val="none"/>
          <w:lang w:val="en-US" w:eastAsia="zh-CN"/>
        </w:rPr>
        <w:t>资源属性</w:t>
      </w:r>
    </w:p>
    <w:p w14:paraId="356FBEE4">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采集对象为森林中自然生长、自然形成的生物资源或非木质林产品</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不应以人工设施栽培产品冒充野生采集产品</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国家重点保护野生动植物不应纳入采集范围。</w:t>
      </w:r>
    </w:p>
    <w:p w14:paraId="5B812AC9">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6.3.2</w:t>
      </w:r>
      <w:r>
        <w:rPr>
          <w:rFonts w:hint="eastAsia" w:ascii="黑体" w:hAnsi="黑体" w:eastAsia="黑体" w:cs="黑体"/>
          <w:color w:val="auto"/>
          <w:kern w:val="0"/>
          <w:szCs w:val="20"/>
          <w:highlight w:val="none"/>
          <w:lang w:val="en-US" w:eastAsia="zh-CN"/>
        </w:rPr>
        <w:t xml:space="preserve">  </w:t>
      </w:r>
      <w:r>
        <w:rPr>
          <w:rFonts w:hint="eastAsia" w:ascii="黑体" w:hAnsi="黑体" w:eastAsia="黑体" w:cs="黑体"/>
          <w:b w:val="0"/>
          <w:bCs w:val="0"/>
          <w:color w:val="auto"/>
          <w:kern w:val="0"/>
          <w:szCs w:val="20"/>
          <w:highlight w:val="none"/>
          <w:lang w:val="en-US" w:eastAsia="zh-CN"/>
        </w:rPr>
        <w:t>采集方式</w:t>
      </w:r>
    </w:p>
    <w:p w14:paraId="510A584E">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采集活动不应破坏森林植被和生态环境；</w:t>
      </w:r>
      <w:r>
        <w:rPr>
          <w:rFonts w:hint="eastAsia" w:ascii="宋体" w:hAnsi="Times New Roman" w:cs="Times New Roman"/>
          <w:color w:val="auto"/>
          <w:kern w:val="0"/>
          <w:szCs w:val="20"/>
          <w:lang w:val="en-US" w:eastAsia="zh-CN"/>
        </w:rPr>
        <w:t>宜</w:t>
      </w:r>
      <w:r>
        <w:rPr>
          <w:rFonts w:hint="eastAsia" w:ascii="宋体" w:hAnsi="Times New Roman" w:eastAsia="宋体" w:cs="Times New Roman"/>
          <w:color w:val="auto"/>
          <w:kern w:val="0"/>
          <w:szCs w:val="20"/>
          <w:lang w:val="en-US" w:eastAsia="zh-CN"/>
        </w:rPr>
        <w:t>采取轮采、限量采集等保护性措施</w:t>
      </w:r>
      <w:r>
        <w:rPr>
          <w:rFonts w:hint="eastAsia" w:ascii="宋体" w:hAnsi="Times New Roman" w:cs="Times New Roman"/>
          <w:color w:val="auto"/>
          <w:kern w:val="0"/>
          <w:szCs w:val="20"/>
          <w:lang w:val="en-US" w:eastAsia="zh-CN"/>
        </w:rPr>
        <w:t>，不应</w:t>
      </w:r>
      <w:r>
        <w:rPr>
          <w:rFonts w:hint="eastAsia" w:ascii="宋体" w:hAnsi="Times New Roman" w:eastAsia="宋体" w:cs="Times New Roman"/>
          <w:color w:val="auto"/>
          <w:kern w:val="0"/>
          <w:szCs w:val="20"/>
          <w:lang w:val="en-US" w:eastAsia="zh-CN"/>
        </w:rPr>
        <w:t>采取毁灭性采集方式</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采集活动结束后应及时恢复现场生态环境。</w:t>
      </w:r>
    </w:p>
    <w:p w14:paraId="48A97478">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6.4  森林景观利用产品</w:t>
      </w:r>
    </w:p>
    <w:p w14:paraId="1CA746FD">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6.4.1</w:t>
      </w:r>
      <w:r>
        <w:rPr>
          <w:rFonts w:hint="eastAsia" w:ascii="黑体" w:hAnsi="黑体" w:eastAsia="黑体" w:cs="黑体"/>
          <w:color w:val="auto"/>
          <w:kern w:val="0"/>
          <w:szCs w:val="20"/>
          <w:highlight w:val="none"/>
          <w:lang w:val="en-US" w:eastAsia="zh-CN"/>
        </w:rPr>
        <w:t xml:space="preserve">  </w:t>
      </w:r>
      <w:r>
        <w:rPr>
          <w:rFonts w:hint="eastAsia" w:ascii="黑体" w:hAnsi="黑体" w:eastAsia="黑体" w:cs="黑体"/>
          <w:b w:val="0"/>
          <w:bCs w:val="0"/>
          <w:color w:val="auto"/>
          <w:kern w:val="0"/>
          <w:szCs w:val="20"/>
          <w:highlight w:val="none"/>
          <w:lang w:val="en-US" w:eastAsia="zh-CN"/>
        </w:rPr>
        <w:t>基本特征</w:t>
      </w:r>
    </w:p>
    <w:p w14:paraId="54E32C1B">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eastAsia="宋体" w:cs="Times New Roman"/>
          <w:color w:val="auto"/>
          <w:kern w:val="0"/>
          <w:szCs w:val="20"/>
          <w:lang w:val="en-US" w:eastAsia="zh-CN"/>
        </w:rPr>
      </w:pPr>
      <w:r>
        <w:rPr>
          <w:rFonts w:hint="eastAsia" w:ascii="宋体" w:hAnsi="Times New Roman" w:eastAsia="宋体" w:cs="Times New Roman"/>
          <w:color w:val="auto"/>
          <w:kern w:val="0"/>
          <w:szCs w:val="20"/>
          <w:lang w:val="en-US" w:eastAsia="zh-CN"/>
        </w:rPr>
        <w:t>具有较完整的森林生态景观资源</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经营活动与森林生态环境相协调</w:t>
      </w:r>
      <w:r>
        <w:rPr>
          <w:rFonts w:hint="eastAsia" w:ascii="宋体" w:hAnsi="Times New Roman" w:cs="Times New Roman"/>
          <w:color w:val="auto"/>
          <w:kern w:val="0"/>
          <w:szCs w:val="20"/>
          <w:lang w:val="en-US" w:eastAsia="zh-CN"/>
        </w:rPr>
        <w:t>，</w:t>
      </w:r>
      <w:r>
        <w:rPr>
          <w:rFonts w:hint="eastAsia" w:ascii="宋体" w:hAnsi="Times New Roman" w:eastAsia="宋体" w:cs="Times New Roman"/>
          <w:color w:val="auto"/>
          <w:kern w:val="0"/>
          <w:szCs w:val="20"/>
          <w:lang w:val="en-US" w:eastAsia="zh-CN"/>
        </w:rPr>
        <w:t>不应以人工景观替代森林自然生态主体。</w:t>
      </w:r>
    </w:p>
    <w:p w14:paraId="12495E72">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6.4.2</w:t>
      </w:r>
      <w:r>
        <w:rPr>
          <w:rFonts w:hint="eastAsia" w:ascii="黑体" w:hAnsi="黑体" w:eastAsia="黑体" w:cs="黑体"/>
          <w:color w:val="auto"/>
          <w:kern w:val="0"/>
          <w:szCs w:val="20"/>
          <w:highlight w:val="none"/>
          <w:lang w:val="en-US" w:eastAsia="zh-CN"/>
        </w:rPr>
        <w:t xml:space="preserve">  </w:t>
      </w:r>
      <w:r>
        <w:rPr>
          <w:rFonts w:hint="eastAsia" w:ascii="黑体" w:hAnsi="黑体" w:eastAsia="黑体" w:cs="黑体"/>
          <w:b w:val="0"/>
          <w:bCs w:val="0"/>
          <w:color w:val="auto"/>
          <w:kern w:val="0"/>
          <w:szCs w:val="20"/>
          <w:highlight w:val="none"/>
          <w:lang w:val="en-US" w:eastAsia="zh-CN"/>
        </w:rPr>
        <w:t>生态保护</w:t>
      </w:r>
    </w:p>
    <w:p w14:paraId="2F47DD98">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cs="Times New Roman"/>
          <w:color w:val="auto"/>
          <w:kern w:val="0"/>
          <w:szCs w:val="20"/>
          <w:lang w:val="en-US" w:eastAsia="zh-CN"/>
        </w:rPr>
      </w:pPr>
      <w:r>
        <w:rPr>
          <w:rFonts w:hint="eastAsia" w:ascii="宋体" w:hAnsi="Times New Roman" w:cs="Times New Roman"/>
          <w:color w:val="auto"/>
          <w:kern w:val="0"/>
          <w:szCs w:val="20"/>
          <w:lang w:val="en-US" w:eastAsia="zh-CN"/>
        </w:rPr>
        <w:t>不应</w:t>
      </w:r>
      <w:r>
        <w:rPr>
          <w:rFonts w:hint="eastAsia" w:ascii="宋体" w:hAnsi="Times New Roman" w:eastAsia="宋体" w:cs="Times New Roman"/>
          <w:color w:val="auto"/>
          <w:kern w:val="0"/>
          <w:szCs w:val="20"/>
          <w:lang w:val="en-US" w:eastAsia="zh-CN"/>
        </w:rPr>
        <w:t>破坏森林植被和野生动植物栖息环境</w:t>
      </w:r>
      <w:r>
        <w:rPr>
          <w:rFonts w:hint="eastAsia" w:ascii="宋体" w:hAnsi="Times New Roman" w:cs="Times New Roman"/>
          <w:color w:val="auto"/>
          <w:kern w:val="0"/>
          <w:szCs w:val="20"/>
          <w:lang w:val="en-US" w:eastAsia="zh-CN"/>
        </w:rPr>
        <w:t>，并</w:t>
      </w:r>
      <w:r>
        <w:rPr>
          <w:rFonts w:hint="eastAsia" w:ascii="宋体" w:hAnsi="Times New Roman" w:eastAsia="宋体" w:cs="Times New Roman"/>
          <w:color w:val="auto"/>
          <w:kern w:val="0"/>
          <w:szCs w:val="20"/>
          <w:lang w:val="en-US" w:eastAsia="zh-CN"/>
        </w:rPr>
        <w:t>建立生态环境保护和安全管理制度</w:t>
      </w:r>
      <w:r>
        <w:rPr>
          <w:rFonts w:hint="eastAsia" w:ascii="宋体" w:hAnsi="Times New Roman" w:cs="Times New Roman"/>
          <w:color w:val="auto"/>
          <w:kern w:val="0"/>
          <w:szCs w:val="20"/>
          <w:lang w:val="en-US" w:eastAsia="zh-CN"/>
        </w:rPr>
        <w:t>。</w:t>
      </w:r>
    </w:p>
    <w:p w14:paraId="4B04C6EA">
      <w:pPr>
        <w:keepNext w:val="0"/>
        <w:keepLines w:val="0"/>
        <w:pageBreakBefore w:val="0"/>
        <w:widowControl/>
        <w:kinsoku/>
        <w:wordWrap/>
        <w:overflowPunct/>
        <w:topLinePunct w:val="0"/>
        <w:bidi w:val="0"/>
        <w:spacing w:beforeLines="100" w:afterLines="100" w:line="300" w:lineRule="exact"/>
        <w:textAlignment w:val="auto"/>
        <w:outlineLvl w:val="0"/>
        <w:rPr>
          <w:rFonts w:hint="eastAsia" w:ascii="宋体" w:hAnsi="Times New Roman" w:cs="Times New Roman"/>
          <w:color w:val="auto"/>
          <w:kern w:val="0"/>
          <w:szCs w:val="20"/>
          <w:lang w:val="en-US" w:eastAsia="zh-CN"/>
        </w:rPr>
      </w:pPr>
      <w:bookmarkStart w:id="32" w:name="_Toc454"/>
      <w:r>
        <w:rPr>
          <w:rFonts w:hint="eastAsia" w:ascii="黑体" w:hAnsi="Times New Roman" w:eastAsia="黑体" w:cs="Times New Roman"/>
          <w:color w:val="auto"/>
          <w:kern w:val="0"/>
          <w:szCs w:val="20"/>
          <w:lang w:val="en-US" w:eastAsia="zh-CN"/>
        </w:rPr>
        <w:t>7  认定流程</w:t>
      </w:r>
      <w:bookmarkEnd w:id="32"/>
    </w:p>
    <w:p w14:paraId="0FFC4BD5">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7.1  一般要求</w:t>
      </w:r>
    </w:p>
    <w:p w14:paraId="1FE64F67">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cs="Times New Roman"/>
          <w:color w:val="auto"/>
          <w:kern w:val="0"/>
          <w:szCs w:val="20"/>
          <w:lang w:val="en-US" w:eastAsia="zh-CN"/>
        </w:rPr>
      </w:pPr>
      <w:r>
        <w:rPr>
          <w:rFonts w:hint="eastAsia" w:ascii="宋体" w:hAnsi="Times New Roman" w:cs="Times New Roman"/>
          <w:color w:val="auto"/>
          <w:kern w:val="0"/>
          <w:szCs w:val="20"/>
          <w:lang w:val="en-US" w:eastAsia="zh-CN"/>
        </w:rPr>
        <w:t>依据本文件规定的分类体系、认定条件和认定依据进行，按照“基本条件判定—产品类型判定—分类归属确定—目录确认”的程序开展。</w:t>
      </w:r>
    </w:p>
    <w:p w14:paraId="203DCF50">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7.2  基本条件</w:t>
      </w:r>
    </w:p>
    <w:p w14:paraId="5A9312D4">
      <w:pPr>
        <w:keepNext w:val="0"/>
        <w:keepLines w:val="0"/>
        <w:pageBreakBefore w:val="0"/>
        <w:widowControl w:val="0"/>
        <w:kinsoku/>
        <w:wordWrap/>
        <w:overflowPunct/>
        <w:topLinePunct w:val="0"/>
        <w:autoSpaceDE/>
        <w:autoSpaceDN/>
        <w:bidi w:val="0"/>
        <w:adjustRightInd w:val="0"/>
        <w:snapToGrid w:val="0"/>
        <w:spacing w:before="157" w:beforeLines="50" w:after="0" w:afterLines="-2147483648" w:line="300" w:lineRule="exact"/>
        <w:ind w:firstLine="420" w:firstLineChars="200"/>
        <w:textAlignment w:val="auto"/>
        <w:rPr>
          <w:rFonts w:hint="eastAsia" w:ascii="宋体" w:hAnsi="Times New Roman" w:cs="Times New Roman"/>
          <w:color w:val="auto"/>
          <w:kern w:val="0"/>
          <w:szCs w:val="20"/>
          <w:lang w:val="en-US" w:eastAsia="zh-CN"/>
        </w:rPr>
      </w:pPr>
      <w:r>
        <w:rPr>
          <w:rFonts w:hint="eastAsia" w:ascii="宋体" w:hAnsi="Times New Roman" w:cs="Times New Roman"/>
          <w:color w:val="auto"/>
          <w:kern w:val="0"/>
          <w:szCs w:val="20"/>
          <w:lang w:val="en-US" w:eastAsia="zh-CN"/>
        </w:rPr>
        <w:t>按照第5章的规定，判定产品是否符合林下经济产品基本条件。符合林下经济初级产品认定条件的，进入产品类型判定；符合林下经济初加工产品认定条件的，按照其对应初级产品所属类别进行归类。不符合第5章规定的，不纳入林下经济产品目录。</w:t>
      </w:r>
    </w:p>
    <w:p w14:paraId="3FA75FC2">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7.3  产品类型</w:t>
      </w:r>
    </w:p>
    <w:p w14:paraId="05626324">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textAlignment w:val="auto"/>
        <w:rPr>
          <w:rFonts w:hint="eastAsia" w:ascii="宋体" w:hAnsi="Times New Roman" w:cs="Times New Roman"/>
          <w:color w:val="auto"/>
          <w:kern w:val="0"/>
          <w:szCs w:val="20"/>
          <w:lang w:val="en-US" w:eastAsia="zh-CN"/>
        </w:rPr>
      </w:pPr>
      <w:r>
        <w:rPr>
          <w:rFonts w:hint="eastAsia" w:ascii="宋体" w:hAnsi="Times New Roman" w:cs="Times New Roman"/>
          <w:color w:val="auto"/>
          <w:kern w:val="0"/>
          <w:szCs w:val="20"/>
          <w:lang w:val="en-US" w:eastAsia="zh-CN"/>
        </w:rPr>
        <w:t>依据产品形成方式及第6章规定的认定依据，确定产品所属一级类别；一级类别确定后，按照第4章规定的分类方法，根据产品属性确定二级类别，并根据具体产品名称确定三级类别。</w:t>
      </w:r>
    </w:p>
    <w:p w14:paraId="77303E24">
      <w:pPr>
        <w:keepNext w:val="0"/>
        <w:keepLines w:val="0"/>
        <w:pageBreakBefore w:val="0"/>
        <w:widowControl w:val="0"/>
        <w:kinsoku/>
        <w:wordWrap/>
        <w:overflowPunct/>
        <w:topLinePunct w:val="0"/>
        <w:autoSpaceDE/>
        <w:autoSpaceDN/>
        <w:bidi w:val="0"/>
        <w:adjustRightInd w:val="0"/>
        <w:snapToGrid w:val="0"/>
        <w:spacing w:after="157" w:afterLines="50" w:line="300" w:lineRule="exact"/>
        <w:ind w:firstLine="420" w:firstLineChars="200"/>
        <w:textAlignment w:val="auto"/>
        <w:rPr>
          <w:rFonts w:hint="eastAsia" w:ascii="宋体" w:hAnsi="Times New Roman" w:cs="Times New Roman"/>
          <w:color w:val="auto"/>
          <w:kern w:val="0"/>
          <w:szCs w:val="20"/>
          <w:lang w:val="en-US" w:eastAsia="zh-CN"/>
        </w:rPr>
      </w:pPr>
      <w:r>
        <w:rPr>
          <w:rFonts w:hint="eastAsia" w:ascii="宋体" w:hAnsi="Times New Roman" w:cs="Times New Roman"/>
          <w:color w:val="auto"/>
          <w:kern w:val="0"/>
          <w:szCs w:val="20"/>
          <w:lang w:val="en-US" w:eastAsia="zh-CN"/>
        </w:rPr>
        <w:t>同一产品宜归入一个一级类别和一个二级类别。具有多种属性或用途的，应按照其主要生产经营方式和主要产品属性确定类别。</w:t>
      </w:r>
    </w:p>
    <w:p w14:paraId="10BD857A">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7.4  目录确认</w:t>
      </w:r>
    </w:p>
    <w:p w14:paraId="70C1EC4D">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eastAsia" w:ascii="宋体" w:hAnsi="Times New Roman" w:cs="Times New Roman"/>
          <w:color w:val="auto"/>
          <w:kern w:val="0"/>
          <w:szCs w:val="20"/>
          <w:lang w:val="en-US" w:eastAsia="zh-CN"/>
        </w:rPr>
      </w:pPr>
      <w:r>
        <w:rPr>
          <w:rFonts w:hint="eastAsia" w:ascii="宋体" w:hAnsi="Times New Roman" w:cs="Times New Roman"/>
          <w:color w:val="auto"/>
          <w:kern w:val="0"/>
          <w:szCs w:val="20"/>
          <w:lang w:val="en-US" w:eastAsia="zh-CN"/>
        </w:rPr>
        <w:t>经认定符合林下经济产品条件的，与第8</w:t>
      </w:r>
      <w:r>
        <w:rPr>
          <w:rFonts w:hint="eastAsia" w:ascii="宋体" w:hAnsi="Times New Roman" w:cs="Times New Roman"/>
          <w:color w:val="auto"/>
          <w:kern w:val="0"/>
          <w:szCs w:val="20"/>
          <w:highlight w:val="none"/>
          <w:lang w:val="en-US" w:eastAsia="zh-CN"/>
        </w:rPr>
        <w:t>章</w:t>
      </w:r>
      <w:r>
        <w:rPr>
          <w:rFonts w:hint="eastAsia" w:ascii="宋体" w:hAnsi="Times New Roman" w:cs="Times New Roman"/>
          <w:color w:val="auto"/>
          <w:kern w:val="0"/>
          <w:szCs w:val="20"/>
          <w:lang w:val="en-US" w:eastAsia="zh-CN"/>
        </w:rPr>
        <w:t>及附录A规定的产品目录进行比对。已列入目录的，按照目录确定其分类归属；未列入目录但符合本文件规定的，可按照第4章规定的分类方法和第6章规定的认定依据归入相应类别。</w:t>
      </w:r>
    </w:p>
    <w:p w14:paraId="5612EF9D">
      <w:pPr>
        <w:keepNext w:val="0"/>
        <w:keepLines w:val="0"/>
        <w:pageBreakBefore w:val="0"/>
        <w:widowControl/>
        <w:kinsoku/>
        <w:wordWrap/>
        <w:overflowPunct/>
        <w:topLinePunct w:val="0"/>
        <w:bidi w:val="0"/>
        <w:spacing w:beforeLines="100" w:afterLines="100" w:line="300" w:lineRule="exact"/>
        <w:textAlignment w:val="auto"/>
        <w:outlineLvl w:val="0"/>
        <w:rPr>
          <w:rFonts w:hint="eastAsia" w:ascii="宋体" w:hAnsi="Times New Roman" w:cs="Times New Roman"/>
          <w:color w:val="auto"/>
          <w:kern w:val="0"/>
          <w:szCs w:val="20"/>
          <w:lang w:val="en-US" w:eastAsia="zh-CN"/>
        </w:rPr>
      </w:pPr>
      <w:bookmarkStart w:id="33" w:name="_Toc2644"/>
      <w:r>
        <w:rPr>
          <w:rFonts w:hint="eastAsia" w:ascii="黑体" w:hAnsi="Times New Roman" w:eastAsia="黑体" w:cs="Times New Roman"/>
          <w:color w:val="auto"/>
          <w:kern w:val="0"/>
          <w:szCs w:val="20"/>
          <w:lang w:val="en-US" w:eastAsia="zh-CN"/>
        </w:rPr>
        <w:t>8  产品目录</w:t>
      </w:r>
      <w:bookmarkEnd w:id="33"/>
    </w:p>
    <w:p w14:paraId="46D0D69A">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b w:val="0"/>
          <w:bCs w:val="0"/>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8.1  目录构成</w:t>
      </w:r>
    </w:p>
    <w:p w14:paraId="515A017D">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default" w:ascii="宋体" w:hAnsi="Times New Roman" w:cs="Times New Roman"/>
          <w:color w:val="auto"/>
          <w:kern w:val="0"/>
          <w:szCs w:val="20"/>
          <w:lang w:val="en-US" w:eastAsia="zh-CN"/>
        </w:rPr>
      </w:pPr>
      <w:r>
        <w:rPr>
          <w:rFonts w:hint="default" w:ascii="宋体" w:hAnsi="Times New Roman" w:cs="Times New Roman"/>
          <w:color w:val="auto"/>
          <w:kern w:val="0"/>
          <w:szCs w:val="20"/>
          <w:lang w:val="en-US" w:eastAsia="zh-CN"/>
        </w:rPr>
        <w:t>林下经济产品目录采用三级分类体系</w:t>
      </w:r>
      <w:r>
        <w:rPr>
          <w:rFonts w:hint="eastAsia" w:ascii="宋体" w:hAnsi="Times New Roman" w:cs="Times New Roman"/>
          <w:color w:val="auto"/>
          <w:kern w:val="0"/>
          <w:szCs w:val="20"/>
          <w:lang w:val="en-US" w:eastAsia="zh-CN"/>
        </w:rPr>
        <w:t>，目录</w:t>
      </w:r>
      <w:r>
        <w:rPr>
          <w:rFonts w:hint="default" w:ascii="宋体" w:hAnsi="Times New Roman" w:cs="Times New Roman"/>
          <w:color w:val="auto"/>
          <w:kern w:val="0"/>
          <w:szCs w:val="20"/>
          <w:lang w:val="en-US" w:eastAsia="zh-CN"/>
        </w:rPr>
        <w:t>见附录A。</w:t>
      </w:r>
    </w:p>
    <w:p w14:paraId="30FEC44A">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8.2  收录原则</w:t>
      </w:r>
    </w:p>
    <w:p w14:paraId="71C1BE14">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textAlignment w:val="auto"/>
        <w:rPr>
          <w:rFonts w:hint="default" w:ascii="宋体" w:hAnsi="Times New Roman" w:cs="Times New Roman"/>
          <w:color w:val="auto"/>
          <w:kern w:val="0"/>
          <w:szCs w:val="20"/>
          <w:lang w:val="en-US" w:eastAsia="zh-CN"/>
        </w:rPr>
      </w:pPr>
      <w:r>
        <w:rPr>
          <w:rFonts w:hint="default" w:ascii="宋体" w:hAnsi="Times New Roman" w:cs="Times New Roman"/>
          <w:color w:val="auto"/>
          <w:kern w:val="0"/>
          <w:szCs w:val="20"/>
          <w:lang w:val="en-US" w:eastAsia="zh-CN"/>
        </w:rPr>
        <w:t>纳入林下经济产品目录的产品应符合下列要求：</w:t>
      </w:r>
    </w:p>
    <w:p w14:paraId="5AFB994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firstLine="420" w:firstLineChars="200"/>
        <w:textAlignment w:val="auto"/>
        <w:rPr>
          <w:rFonts w:hint="default" w:ascii="宋体" w:hAnsi="Times New Roman" w:cs="Times New Roman"/>
          <w:color w:val="auto"/>
          <w:kern w:val="0"/>
          <w:szCs w:val="20"/>
          <w:lang w:val="en-US" w:eastAsia="zh-CN"/>
        </w:rPr>
      </w:pPr>
      <w:r>
        <w:rPr>
          <w:rFonts w:hint="default" w:ascii="宋体" w:hAnsi="Times New Roman" w:cs="Times New Roman"/>
          <w:color w:val="auto"/>
          <w:kern w:val="0"/>
          <w:szCs w:val="20"/>
          <w:lang w:val="en-US" w:eastAsia="zh-CN"/>
        </w:rPr>
        <w:t>符合国家有关法律法规、产业政策和生态保护要求</w:t>
      </w:r>
      <w:r>
        <w:rPr>
          <w:rFonts w:hint="eastAsia" w:ascii="宋体" w:hAnsi="Times New Roman" w:cs="Times New Roman"/>
          <w:color w:val="auto"/>
          <w:kern w:val="0"/>
          <w:szCs w:val="20"/>
          <w:lang w:val="en-US" w:eastAsia="zh-CN"/>
        </w:rPr>
        <w:t>；</w:t>
      </w:r>
    </w:p>
    <w:p w14:paraId="1306A0F0">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firstLine="420" w:firstLineChars="200"/>
        <w:textAlignment w:val="auto"/>
        <w:rPr>
          <w:rFonts w:hint="default" w:ascii="宋体" w:hAnsi="Times New Roman" w:cs="Times New Roman"/>
          <w:color w:val="auto"/>
          <w:kern w:val="0"/>
          <w:szCs w:val="20"/>
          <w:lang w:val="en-US" w:eastAsia="zh-CN"/>
        </w:rPr>
      </w:pPr>
      <w:r>
        <w:rPr>
          <w:rFonts w:hint="default" w:ascii="宋体" w:hAnsi="Times New Roman" w:cs="Times New Roman"/>
          <w:color w:val="auto"/>
          <w:kern w:val="0"/>
          <w:szCs w:val="20"/>
          <w:lang w:val="en-US" w:eastAsia="zh-CN"/>
        </w:rPr>
        <w:t>符合第5章规定的认定条件；</w:t>
      </w:r>
    </w:p>
    <w:p w14:paraId="3DB18083">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firstLine="420" w:firstLineChars="200"/>
        <w:textAlignment w:val="auto"/>
        <w:rPr>
          <w:rFonts w:hint="default" w:ascii="宋体" w:hAnsi="Times New Roman" w:cs="Times New Roman"/>
          <w:color w:val="auto"/>
          <w:kern w:val="0"/>
          <w:szCs w:val="20"/>
          <w:lang w:val="en-US" w:eastAsia="zh-CN"/>
        </w:rPr>
      </w:pPr>
      <w:r>
        <w:rPr>
          <w:rFonts w:hint="default" w:ascii="宋体" w:hAnsi="Times New Roman" w:cs="Times New Roman"/>
          <w:color w:val="auto"/>
          <w:kern w:val="0"/>
          <w:szCs w:val="20"/>
          <w:lang w:val="en-US" w:eastAsia="zh-CN"/>
        </w:rPr>
        <w:t>符合第6章规定的相应类别认定依据；</w:t>
      </w:r>
    </w:p>
    <w:p w14:paraId="5408BFC2">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textAlignment w:val="auto"/>
        <w:rPr>
          <w:rFonts w:hint="default" w:ascii="宋体" w:hAnsi="Times New Roman" w:cs="Times New Roman"/>
          <w:color w:val="auto"/>
          <w:kern w:val="0"/>
          <w:szCs w:val="20"/>
          <w:lang w:val="en-US" w:eastAsia="zh-CN"/>
        </w:rPr>
      </w:pPr>
      <w:r>
        <w:rPr>
          <w:rFonts w:hint="default" w:ascii="宋体" w:hAnsi="Times New Roman" w:cs="Times New Roman"/>
          <w:color w:val="auto"/>
          <w:kern w:val="0"/>
          <w:szCs w:val="20"/>
          <w:lang w:val="en-US" w:eastAsia="zh-CN"/>
        </w:rPr>
        <w:t>d）</w:t>
      </w:r>
      <w:r>
        <w:rPr>
          <w:rFonts w:hint="eastAsia" w:ascii="宋体" w:hAnsi="Times New Roman" w:cs="Times New Roman"/>
          <w:color w:val="auto"/>
          <w:kern w:val="0"/>
          <w:szCs w:val="20"/>
          <w:lang w:val="en-US" w:eastAsia="zh-CN"/>
        </w:rPr>
        <w:t xml:space="preserve"> </w:t>
      </w:r>
      <w:r>
        <w:rPr>
          <w:rFonts w:hint="default" w:ascii="宋体" w:hAnsi="Times New Roman" w:cs="Times New Roman"/>
          <w:color w:val="auto"/>
          <w:kern w:val="0"/>
          <w:szCs w:val="20"/>
          <w:lang w:val="en-US" w:eastAsia="zh-CN"/>
        </w:rPr>
        <w:t>分类归属明确，与相应类别的产品属性一致；</w:t>
      </w:r>
    </w:p>
    <w:p w14:paraId="5F42404B">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8.3  目录开放性</w:t>
      </w:r>
    </w:p>
    <w:p w14:paraId="1D285BE2">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textAlignment w:val="auto"/>
        <w:rPr>
          <w:rFonts w:hint="default" w:ascii="宋体" w:hAnsi="Times New Roman" w:cs="Times New Roman"/>
          <w:color w:val="auto"/>
          <w:kern w:val="0"/>
          <w:szCs w:val="20"/>
          <w:lang w:val="en-US" w:eastAsia="zh-CN"/>
        </w:rPr>
      </w:pPr>
      <w:r>
        <w:rPr>
          <w:rFonts w:hint="default" w:ascii="宋体" w:hAnsi="Times New Roman" w:cs="Times New Roman"/>
          <w:color w:val="auto"/>
          <w:kern w:val="0"/>
          <w:szCs w:val="20"/>
          <w:lang w:val="en-US" w:eastAsia="zh-CN"/>
        </w:rPr>
        <w:t>附录A所列产品为具有代表性的林下经济产品，不作为林下经济产品范围的穷尽性规定。未列入附录A但符合本文件规定的认定条件、认定依据和分类规则的产品，可归入相应类别。新增产品、新品种以及新型生态服务业态，可依据本</w:t>
      </w:r>
      <w:r>
        <w:rPr>
          <w:rFonts w:hint="eastAsia" w:ascii="宋体" w:hAnsi="Times New Roman" w:cs="Times New Roman"/>
          <w:color w:val="auto"/>
          <w:kern w:val="0"/>
          <w:szCs w:val="20"/>
          <w:lang w:val="en-US" w:eastAsia="zh-CN"/>
        </w:rPr>
        <w:t>文件</w:t>
      </w:r>
      <w:r>
        <w:rPr>
          <w:rFonts w:hint="default" w:ascii="宋体" w:hAnsi="Times New Roman" w:cs="Times New Roman"/>
          <w:color w:val="auto"/>
          <w:kern w:val="0"/>
          <w:szCs w:val="20"/>
          <w:lang w:val="en-US" w:eastAsia="zh-CN"/>
        </w:rPr>
        <w:t>规定进行分类认定。</w:t>
      </w:r>
    </w:p>
    <w:p w14:paraId="5EF1B2AD">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textAlignment w:val="auto"/>
        <w:outlineLvl w:val="9"/>
        <w:rPr>
          <w:rFonts w:hint="eastAsia" w:ascii="黑体" w:hAnsi="黑体" w:eastAsia="黑体" w:cs="黑体"/>
          <w:color w:val="auto"/>
          <w:kern w:val="0"/>
          <w:szCs w:val="20"/>
          <w:highlight w:val="none"/>
          <w:lang w:val="en-US" w:eastAsia="zh-CN"/>
        </w:rPr>
      </w:pPr>
      <w:r>
        <w:rPr>
          <w:rFonts w:hint="eastAsia" w:ascii="黑体" w:hAnsi="黑体" w:eastAsia="黑体" w:cs="黑体"/>
          <w:b w:val="0"/>
          <w:bCs w:val="0"/>
          <w:color w:val="auto"/>
          <w:kern w:val="0"/>
          <w:szCs w:val="20"/>
          <w:highlight w:val="none"/>
          <w:lang w:val="en-US" w:eastAsia="zh-CN"/>
        </w:rPr>
        <w:t>8.4  目录调整</w:t>
      </w:r>
    </w:p>
    <w:p w14:paraId="57E23623">
      <w:pPr>
        <w:keepNext w:val="0"/>
        <w:keepLines w:val="0"/>
        <w:pageBreakBefore w:val="0"/>
        <w:kinsoku/>
        <w:wordWrap/>
        <w:overflowPunct/>
        <w:topLinePunct w:val="0"/>
        <w:autoSpaceDE/>
        <w:autoSpaceDN/>
        <w:bidi w:val="0"/>
        <w:adjustRightInd w:val="0"/>
        <w:snapToGrid w:val="0"/>
        <w:spacing w:before="157" w:beforeLines="50" w:after="157" w:afterLines="50" w:line="300" w:lineRule="exact"/>
        <w:ind w:firstLine="420" w:firstLineChars="200"/>
        <w:textAlignment w:val="auto"/>
        <w:rPr>
          <w:rFonts w:hint="default" w:ascii="宋体" w:hAnsi="Times New Roman" w:cs="Times New Roman"/>
          <w:color w:val="auto"/>
          <w:kern w:val="0"/>
          <w:szCs w:val="20"/>
          <w:lang w:val="en-US" w:eastAsia="zh-CN"/>
        </w:rPr>
        <w:sectPr>
          <w:footerReference r:id="rId13" w:type="first"/>
          <w:footerReference r:id="rId11" w:type="default"/>
          <w:footerReference r:id="rId12" w:type="even"/>
          <w:pgSz w:w="11906" w:h="16838"/>
          <w:pgMar w:top="567" w:right="1134" w:bottom="1134" w:left="1418" w:header="1417" w:footer="1134" w:gutter="0"/>
          <w:pgBorders>
            <w:top w:val="none" w:sz="0" w:space="0"/>
            <w:left w:val="none" w:sz="0" w:space="0"/>
            <w:bottom w:val="none" w:sz="0" w:space="0"/>
            <w:right w:val="none" w:sz="0" w:space="0"/>
          </w:pgBorders>
          <w:pgNumType w:start="1"/>
          <w:cols w:space="425" w:num="1"/>
          <w:titlePg/>
          <w:docGrid w:type="lines" w:linePitch="312" w:charSpace="0"/>
        </w:sectPr>
      </w:pPr>
      <w:r>
        <w:rPr>
          <w:rFonts w:hint="default" w:ascii="宋体" w:hAnsi="Times New Roman" w:cs="Times New Roman"/>
          <w:color w:val="auto"/>
          <w:kern w:val="0"/>
          <w:szCs w:val="20"/>
          <w:lang w:val="en-US" w:eastAsia="zh-CN"/>
        </w:rPr>
        <w:t>林下经济产品目录可根据产业发展、科技进步、产品形态变化、政策调整及生态保护要求进行动态调整。目录调整包括产品新增、名称变更、类别调整和产品退出等情形。</w:t>
      </w:r>
    </w:p>
    <w:p w14:paraId="1AF192FD">
      <w:pPr>
        <w:pStyle w:val="58"/>
        <w:keepNext w:val="0"/>
        <w:keepLines w:val="0"/>
        <w:pageBreakBefore w:val="0"/>
        <w:numPr>
          <w:ilvl w:val="0"/>
          <w:numId w:val="0"/>
        </w:numPr>
        <w:tabs>
          <w:tab w:val="left" w:pos="6406"/>
        </w:tabs>
        <w:kinsoku/>
        <w:wordWrap/>
        <w:overflowPunct/>
        <w:topLinePunct w:val="0"/>
        <w:bidi w:val="0"/>
        <w:adjustRightInd w:val="0"/>
        <w:snapToGrid w:val="0"/>
        <w:spacing w:before="0" w:after="0" w:afterLines="0" w:line="240" w:lineRule="auto"/>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 xml:space="preserve">附  录  A </w:t>
      </w:r>
    </w:p>
    <w:p w14:paraId="144970BD">
      <w:pPr>
        <w:keepNext w:val="0"/>
        <w:keepLines w:val="0"/>
        <w:pageBreakBefore w:val="0"/>
        <w:kinsoku/>
        <w:wordWrap/>
        <w:overflowPunct/>
        <w:topLinePunct w:val="0"/>
        <w:bidi w:val="0"/>
        <w:adjustRightInd w:val="0"/>
        <w:snapToGrid w:val="0"/>
        <w:spacing w:afterLines="0" w:line="240" w:lineRule="auto"/>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（规范性）</w:t>
      </w:r>
    </w:p>
    <w:p w14:paraId="2BA52097">
      <w:pPr>
        <w:keepNext w:val="0"/>
        <w:keepLines w:val="0"/>
        <w:pageBreakBefore w:val="0"/>
        <w:kinsoku/>
        <w:wordWrap/>
        <w:overflowPunct/>
        <w:topLinePunct w:val="0"/>
        <w:bidi w:val="0"/>
        <w:adjustRightInd w:val="0"/>
        <w:snapToGrid w:val="0"/>
        <w:spacing w:afterLines="0" w:line="240" w:lineRule="auto"/>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林下经济产品目录</w:t>
      </w:r>
    </w:p>
    <w:p w14:paraId="54DE2A5E">
      <w:pPr>
        <w:keepNext w:val="0"/>
        <w:keepLines w:val="0"/>
        <w:pageBreakBefore w:val="0"/>
        <w:kinsoku/>
        <w:wordWrap/>
        <w:overflowPunct/>
        <w:topLinePunct w:val="0"/>
        <w:bidi w:val="0"/>
        <w:adjustRightInd w:val="0"/>
        <w:snapToGrid w:val="0"/>
        <w:spacing w:line="300" w:lineRule="exact"/>
        <w:jc w:val="left"/>
        <w:textAlignment w:val="auto"/>
        <w:rPr>
          <w:rFonts w:hint="default" w:ascii="宋体" w:hAnsi="Times New Roman" w:eastAsia="宋体" w:cs="Times New Roman"/>
          <w:color w:val="auto"/>
          <w:kern w:val="0"/>
          <w:sz w:val="21"/>
          <w:szCs w:val="21"/>
          <w:lang w:val="en-US" w:eastAsia="zh-CN"/>
        </w:rPr>
      </w:pPr>
      <w:r>
        <w:rPr>
          <w:rFonts w:hint="eastAsia" w:ascii="宋体" w:hAnsi="Times New Roman" w:eastAsia="宋体" w:cs="Times New Roman"/>
          <w:color w:val="auto"/>
          <w:kern w:val="0"/>
          <w:sz w:val="21"/>
          <w:szCs w:val="21"/>
          <w:lang w:val="en-US" w:eastAsia="zh-CN"/>
        </w:rPr>
        <w:t>林下经济产品目录见表A.1。</w:t>
      </w:r>
    </w:p>
    <w:p w14:paraId="77F00300">
      <w:pPr>
        <w:pStyle w:val="60"/>
        <w:keepNext w:val="0"/>
        <w:keepLines w:val="0"/>
        <w:pageBreakBefore w:val="0"/>
        <w:numPr>
          <w:ilvl w:val="255"/>
          <w:numId w:val="0"/>
        </w:numPr>
        <w:kinsoku/>
        <w:wordWrap/>
        <w:overflowPunct/>
        <w:topLinePunct w:val="0"/>
        <w:bidi w:val="0"/>
        <w:adjustRightInd w:val="0"/>
        <w:snapToGrid w:val="0"/>
        <w:spacing w:before="156" w:after="156"/>
        <w:jc w:val="center"/>
        <w:textAlignment w:val="auto"/>
        <w:rPr>
          <w:rFonts w:hint="eastAsia" w:ascii="黑体" w:hAnsi="黑体" w:cs="黑体"/>
          <w:color w:val="auto"/>
          <w:kern w:val="0"/>
          <w:sz w:val="21"/>
          <w:szCs w:val="21"/>
          <w:vertAlign w:val="superscript"/>
          <w:lang w:val="en-US" w:eastAsia="zh-CN"/>
        </w:rPr>
      </w:pPr>
      <w:r>
        <w:rPr>
          <w:rFonts w:hint="eastAsia" w:ascii="黑体" w:hAnsi="黑体" w:cs="黑体"/>
          <w:color w:val="auto"/>
          <w:kern w:val="0"/>
          <w:sz w:val="21"/>
          <w:szCs w:val="21"/>
          <w:lang w:val="en-US" w:eastAsia="zh-CN"/>
        </w:rPr>
        <w:t>表 A.</w:t>
      </w:r>
      <w:r>
        <w:rPr>
          <w:rFonts w:hint="eastAsia" w:ascii="黑体" w:hAnsi="黑体" w:cs="黑体"/>
          <w:color w:val="auto"/>
          <w:kern w:val="21"/>
          <w:sz w:val="21"/>
          <w:szCs w:val="21"/>
          <w:lang w:val="en-US" w:eastAsia="zh-CN"/>
        </w:rPr>
        <w:t>1</w:t>
      </w:r>
      <w:r>
        <w:rPr>
          <w:rFonts w:hint="eastAsia" w:ascii="黑体" w:hAnsi="黑体" w:eastAsia="黑体" w:cs="黑体"/>
          <w:color w:val="auto"/>
          <w:kern w:val="21"/>
          <w:sz w:val="21"/>
          <w:szCs w:val="21"/>
          <w:lang w:val="en-US" w:eastAsia="zh-CN"/>
        </w:rPr>
        <w:t xml:space="preserve"> </w:t>
      </w:r>
      <w:r>
        <w:rPr>
          <w:rFonts w:hint="eastAsia" w:ascii="黑体" w:hAnsi="黑体" w:eastAsia="黑体" w:cs="黑体"/>
          <w:color w:val="auto"/>
          <w:kern w:val="0"/>
          <w:sz w:val="21"/>
          <w:szCs w:val="21"/>
          <w:lang w:val="en-US" w:eastAsia="zh-CN"/>
        </w:rPr>
        <w:t>林下经济产品目录</w:t>
      </w:r>
    </w:p>
    <w:tbl>
      <w:tblPr>
        <w:tblStyle w:val="23"/>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58"/>
        <w:gridCol w:w="1316"/>
        <w:gridCol w:w="7285"/>
      </w:tblGrid>
      <w:tr w14:paraId="7453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tcBorders>
              <w:tl2br w:val="nil"/>
              <w:tr2bl w:val="nil"/>
            </w:tcBorders>
            <w:shd w:val="clear" w:color="auto" w:fill="auto"/>
            <w:vAlign w:val="center"/>
          </w:tcPr>
          <w:p w14:paraId="3E38A7D0">
            <w:pPr>
              <w:keepNext w:val="0"/>
              <w:keepLines w:val="0"/>
              <w:widowControl/>
              <w:suppressLineNumbers w:val="0"/>
              <w:adjustRightInd w:val="0"/>
              <w:snapToGrid w:val="0"/>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rPr>
              <w:t>一级目录</w:t>
            </w:r>
          </w:p>
        </w:tc>
        <w:tc>
          <w:tcPr>
            <w:tcW w:w="688" w:type="pct"/>
            <w:tcBorders>
              <w:tl2br w:val="nil"/>
              <w:tr2bl w:val="nil"/>
            </w:tcBorders>
            <w:shd w:val="clear" w:color="auto" w:fill="auto"/>
            <w:vAlign w:val="center"/>
          </w:tcPr>
          <w:p w14:paraId="2E1C9A4F">
            <w:pPr>
              <w:keepNext w:val="0"/>
              <w:keepLines w:val="0"/>
              <w:widowControl/>
              <w:suppressLineNumbers w:val="0"/>
              <w:adjustRightInd w:val="0"/>
              <w:snapToGrid w:val="0"/>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rPr>
              <w:t>二级目录</w:t>
            </w:r>
          </w:p>
        </w:tc>
        <w:tc>
          <w:tcPr>
            <w:tcW w:w="3810" w:type="pct"/>
            <w:tcBorders>
              <w:tl2br w:val="nil"/>
              <w:tr2bl w:val="nil"/>
            </w:tcBorders>
            <w:shd w:val="clear" w:color="auto" w:fill="auto"/>
            <w:vAlign w:val="center"/>
          </w:tcPr>
          <w:p w14:paraId="3FA72406">
            <w:pPr>
              <w:keepNext w:val="0"/>
              <w:keepLines w:val="0"/>
              <w:widowControl/>
              <w:suppressLineNumbers w:val="0"/>
              <w:adjustRightInd w:val="0"/>
              <w:snapToGrid w:val="0"/>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rPr>
              <w:t>三级目录（示例）</w:t>
            </w:r>
          </w:p>
        </w:tc>
      </w:tr>
      <w:tr w14:paraId="125A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restart"/>
            <w:tcBorders>
              <w:tl2br w:val="nil"/>
              <w:tr2bl w:val="nil"/>
            </w:tcBorders>
            <w:shd w:val="clear" w:color="auto" w:fill="auto"/>
            <w:vAlign w:val="center"/>
          </w:tcPr>
          <w:p w14:paraId="34C76663">
            <w:pPr>
              <w:keepNext w:val="0"/>
              <w:keepLines w:val="0"/>
              <w:widowControl/>
              <w:suppressLineNumbers w:val="0"/>
              <w:adjustRightInd w:val="0"/>
              <w:snapToGrid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rPr>
              <w:t>林下种植</w:t>
            </w:r>
            <w:r>
              <w:rPr>
                <w:rFonts w:hint="eastAsia" w:ascii="宋体" w:hAnsi="宋体" w:cs="宋体"/>
                <w:i w:val="0"/>
                <w:iCs w:val="0"/>
                <w:color w:val="auto"/>
                <w:kern w:val="0"/>
                <w:sz w:val="18"/>
                <w:szCs w:val="18"/>
                <w:u w:val="none"/>
                <w:lang w:val="en-US" w:eastAsia="zh-CN"/>
              </w:rPr>
              <w:t>产品</w:t>
            </w:r>
          </w:p>
        </w:tc>
        <w:tc>
          <w:tcPr>
            <w:tcW w:w="688" w:type="pct"/>
            <w:tcBorders>
              <w:tl2br w:val="nil"/>
              <w:tr2bl w:val="nil"/>
            </w:tcBorders>
            <w:shd w:val="clear" w:color="auto" w:fill="auto"/>
            <w:vAlign w:val="center"/>
          </w:tcPr>
          <w:p w14:paraId="61913B27">
            <w:pPr>
              <w:keepNext w:val="0"/>
              <w:keepLines w:val="0"/>
              <w:widowControl/>
              <w:suppressLineNumbers w:val="0"/>
              <w:adjustRightInd w:val="0"/>
              <w:snapToGrid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rPr>
              <w:t>林药类</w:t>
            </w:r>
          </w:p>
        </w:tc>
        <w:tc>
          <w:tcPr>
            <w:tcW w:w="3810" w:type="pct"/>
            <w:tcBorders>
              <w:tl2br w:val="nil"/>
              <w:tr2bl w:val="nil"/>
            </w:tcBorders>
            <w:shd w:val="clear" w:color="auto" w:fill="auto"/>
            <w:vAlign w:val="center"/>
          </w:tcPr>
          <w:p w14:paraId="2805563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rPr>
              <w:t>人参、防风、平贝母、五味子、刺五加、苍术、龙胆、赤芍、细辛、白鲜皮、黄芩、黄芪、金莲花、黄柏、紫菀、西洋参、党参、苦参、猪苓、天麻、枸杞</w:t>
            </w:r>
            <w:r>
              <w:rPr>
                <w:rFonts w:hint="eastAsia" w:ascii="宋体" w:hAnsi="宋体" w:cs="宋体"/>
                <w:i w:val="0"/>
                <w:iCs w:val="0"/>
                <w:color w:val="auto"/>
                <w:kern w:val="0"/>
                <w:sz w:val="18"/>
                <w:szCs w:val="18"/>
                <w:highlight w:val="none"/>
                <w:u w:val="none"/>
                <w:lang w:val="en-US" w:eastAsia="zh-CN"/>
              </w:rPr>
              <w:t>子</w:t>
            </w:r>
            <w:r>
              <w:rPr>
                <w:rFonts w:hint="eastAsia" w:ascii="宋体" w:hAnsi="宋体" w:eastAsia="宋体" w:cs="宋体"/>
                <w:i w:val="0"/>
                <w:iCs w:val="0"/>
                <w:color w:val="auto"/>
                <w:kern w:val="0"/>
                <w:sz w:val="18"/>
                <w:szCs w:val="18"/>
                <w:highlight w:val="none"/>
                <w:u w:val="none"/>
                <w:lang w:val="en-US" w:eastAsia="zh-CN"/>
              </w:rPr>
              <w:t>、当归、大黄、羌活、肉苁蓉、</w:t>
            </w:r>
            <w:r>
              <w:rPr>
                <w:rFonts w:hint="eastAsia" w:ascii="宋体" w:hAnsi="宋体"/>
                <w:color w:val="auto"/>
                <w:kern w:val="0"/>
                <w:sz w:val="18"/>
                <w:szCs w:val="18"/>
                <w:highlight w:val="none"/>
                <w:u w:val="none"/>
              </w:rPr>
              <w:t>两色金鸡菊</w:t>
            </w:r>
            <w:r>
              <w:rPr>
                <w:rFonts w:hint="eastAsia" w:ascii="宋体" w:hAnsi="宋体" w:eastAsia="宋体" w:cs="宋体"/>
                <w:i w:val="0"/>
                <w:iCs w:val="0"/>
                <w:color w:val="auto"/>
                <w:kern w:val="0"/>
                <w:sz w:val="18"/>
                <w:szCs w:val="18"/>
                <w:highlight w:val="none"/>
                <w:u w:val="none"/>
                <w:lang w:val="en-US" w:eastAsia="zh-CN"/>
              </w:rPr>
              <w:t>、秦艽、银柴胡、红景天、桔梗、甘草、黄精、板蓝根、柴胡、地黄、远志、知母、款冬花、牛膝、石斛、灵芝、白芍、白术、茯苓、枳壳、木瓜、郁金、白芷、牡丹皮、车前子、覆盆子、浙贝母、栀子、吴茱萸、瓜蒌、</w:t>
            </w:r>
            <w:r>
              <w:rPr>
                <w:rFonts w:hint="eastAsia" w:ascii="宋体" w:hAnsi="宋体"/>
                <w:color w:val="auto"/>
                <w:kern w:val="0"/>
                <w:sz w:val="18"/>
                <w:szCs w:val="18"/>
                <w:highlight w:val="none"/>
                <w:u w:val="none"/>
              </w:rPr>
              <w:t>三叶崖爬藤</w:t>
            </w:r>
            <w:r>
              <w:rPr>
                <w:rFonts w:hint="eastAsia" w:ascii="宋体" w:hAnsi="宋体" w:eastAsia="宋体" w:cs="宋体"/>
                <w:i w:val="0"/>
                <w:iCs w:val="0"/>
                <w:color w:val="auto"/>
                <w:kern w:val="0"/>
                <w:sz w:val="18"/>
                <w:szCs w:val="18"/>
                <w:highlight w:val="none"/>
                <w:u w:val="none"/>
                <w:lang w:val="en-US" w:eastAsia="zh-CN"/>
              </w:rPr>
              <w:t>、</w:t>
            </w:r>
            <w:r>
              <w:rPr>
                <w:rFonts w:hint="eastAsia" w:ascii="宋体" w:hAnsi="宋体" w:cs="宋体"/>
                <w:i w:val="0"/>
                <w:iCs w:val="0"/>
                <w:color w:val="auto"/>
                <w:kern w:val="0"/>
                <w:sz w:val="18"/>
                <w:szCs w:val="18"/>
                <w:highlight w:val="none"/>
                <w:u w:val="none"/>
                <w:lang w:val="en-US" w:eastAsia="zh-CN"/>
              </w:rPr>
              <w:t>白及</w:t>
            </w:r>
            <w:r>
              <w:rPr>
                <w:rFonts w:hint="eastAsia" w:ascii="宋体" w:hAnsi="宋体" w:eastAsia="宋体" w:cs="宋体"/>
                <w:i w:val="0"/>
                <w:iCs w:val="0"/>
                <w:color w:val="auto"/>
                <w:kern w:val="0"/>
                <w:sz w:val="18"/>
                <w:szCs w:val="18"/>
                <w:highlight w:val="none"/>
                <w:u w:val="none"/>
                <w:lang w:val="en-US" w:eastAsia="zh-CN"/>
              </w:rPr>
              <w:t>、百合、半夏、重楼、牡丹、金银花、冬凌草、黄连、三七、钩藤、独活、姜黄、青蒿、龙胆、巴戟天、砂仁、高良姜、广藿香、何首乌、益智、铁皮石斛、肉桂、佛手、沉香、</w:t>
            </w:r>
            <w:r>
              <w:rPr>
                <w:rFonts w:hint="eastAsia" w:ascii="宋体" w:hAnsi="宋体"/>
                <w:color w:val="auto"/>
                <w:kern w:val="0"/>
                <w:sz w:val="18"/>
                <w:szCs w:val="18"/>
                <w:highlight w:val="none"/>
                <w:u w:val="none"/>
              </w:rPr>
              <w:t>化橘红</w:t>
            </w:r>
            <w:r>
              <w:rPr>
                <w:rFonts w:hint="eastAsia" w:ascii="宋体" w:hAnsi="宋体" w:eastAsia="宋体" w:cs="宋体"/>
                <w:i w:val="0"/>
                <w:iCs w:val="0"/>
                <w:color w:val="auto"/>
                <w:kern w:val="0"/>
                <w:sz w:val="18"/>
                <w:szCs w:val="18"/>
                <w:highlight w:val="none"/>
                <w:u w:val="none"/>
                <w:lang w:val="en-US" w:eastAsia="zh-CN"/>
              </w:rPr>
              <w:t>、山豆根、鸡血藤</w:t>
            </w:r>
            <w:r>
              <w:rPr>
                <w:rFonts w:hint="eastAsia" w:ascii="宋体" w:hAnsi="宋体" w:cs="宋体"/>
                <w:i w:val="0"/>
                <w:iCs w:val="0"/>
                <w:color w:val="auto"/>
                <w:kern w:val="0"/>
                <w:sz w:val="18"/>
                <w:szCs w:val="18"/>
                <w:highlight w:val="none"/>
                <w:u w:val="none"/>
                <w:lang w:val="en-US" w:eastAsia="zh-CN"/>
              </w:rPr>
              <w:t>、狗脊、</w:t>
            </w:r>
            <w:r>
              <w:rPr>
                <w:rFonts w:hint="eastAsia" w:ascii="宋体" w:hAnsi="宋体"/>
                <w:color w:val="auto"/>
                <w:kern w:val="0"/>
                <w:sz w:val="18"/>
                <w:szCs w:val="18"/>
                <w:highlight w:val="none"/>
                <w:u w:val="none"/>
              </w:rPr>
              <w:t>肿节风</w:t>
            </w:r>
            <w:r>
              <w:rPr>
                <w:rFonts w:hint="eastAsia" w:ascii="宋体" w:hAnsi="宋体" w:cs="宋体"/>
                <w:i w:val="0"/>
                <w:iCs w:val="0"/>
                <w:color w:val="auto"/>
                <w:kern w:val="0"/>
                <w:sz w:val="18"/>
                <w:szCs w:val="18"/>
                <w:highlight w:val="none"/>
                <w:u w:val="none"/>
                <w:lang w:val="en-US" w:eastAsia="zh-CN"/>
              </w:rPr>
              <w:t>、淫羊藿</w:t>
            </w:r>
            <w:r>
              <w:rPr>
                <w:rFonts w:hint="eastAsia" w:ascii="宋体" w:hAnsi="宋体" w:eastAsia="宋体" w:cs="宋体"/>
                <w:i w:val="0"/>
                <w:iCs w:val="0"/>
                <w:color w:val="auto"/>
                <w:kern w:val="0"/>
                <w:sz w:val="18"/>
                <w:szCs w:val="18"/>
                <w:highlight w:val="none"/>
                <w:u w:val="none"/>
                <w:lang w:val="en-US" w:eastAsia="zh-CN"/>
              </w:rPr>
              <w:t>等适宜林下种植</w:t>
            </w:r>
            <w:r>
              <w:rPr>
                <w:rFonts w:hint="eastAsia" w:ascii="宋体" w:hAnsi="宋体" w:cs="宋体"/>
                <w:i w:val="0"/>
                <w:iCs w:val="0"/>
                <w:color w:val="auto"/>
                <w:kern w:val="0"/>
                <w:sz w:val="18"/>
                <w:szCs w:val="18"/>
                <w:highlight w:val="none"/>
                <w:u w:val="none"/>
                <w:lang w:val="en-US" w:eastAsia="zh-CN"/>
              </w:rPr>
              <w:t>的初级产品及其初加工产品</w:t>
            </w:r>
          </w:p>
        </w:tc>
      </w:tr>
      <w:tr w14:paraId="0CBB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4F04BE5D">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2EDD3D15">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林菌类</w:t>
            </w:r>
          </w:p>
        </w:tc>
        <w:tc>
          <w:tcPr>
            <w:tcW w:w="3810" w:type="pct"/>
            <w:tcBorders>
              <w:tl2br w:val="nil"/>
              <w:tr2bl w:val="nil"/>
            </w:tcBorders>
            <w:shd w:val="clear" w:color="auto" w:fill="auto"/>
            <w:vAlign w:val="center"/>
          </w:tcPr>
          <w:p w14:paraId="0F86B190">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rPr>
              <w:t>口蘑、猪苓、蘑菇、牛肝菌、铆钉菇、丝膜菌、木耳、香菇、侧耳、荷叶离褶伞、大球盖菇、猴头菇、灵芝、竹荪、</w:t>
            </w:r>
            <w:r>
              <w:rPr>
                <w:rFonts w:hint="eastAsia" w:ascii="宋体" w:hAnsi="宋体" w:cs="宋体"/>
                <w:i w:val="0"/>
                <w:iCs w:val="0"/>
                <w:color w:val="auto"/>
                <w:kern w:val="0"/>
                <w:sz w:val="18"/>
                <w:szCs w:val="18"/>
                <w:highlight w:val="none"/>
                <w:u w:val="none"/>
                <w:lang w:val="en-US" w:eastAsia="zh-CN"/>
              </w:rPr>
              <w:t>鸡枞菌、</w:t>
            </w:r>
            <w:r>
              <w:rPr>
                <w:rFonts w:hint="eastAsia" w:ascii="宋体" w:hAnsi="宋体" w:eastAsia="宋体" w:cs="宋体"/>
                <w:i w:val="0"/>
                <w:iCs w:val="0"/>
                <w:color w:val="auto"/>
                <w:kern w:val="0"/>
                <w:sz w:val="18"/>
                <w:szCs w:val="18"/>
                <w:highlight w:val="none"/>
                <w:u w:val="none"/>
                <w:lang w:val="en-US" w:eastAsia="zh-CN"/>
              </w:rPr>
              <w:t>鸡油菌、松菇、茶树菇、松乳菇、羊肚菌、冬荪及地方特色菌种</w:t>
            </w:r>
            <w:r>
              <w:rPr>
                <w:rFonts w:hint="eastAsia" w:ascii="宋体" w:hAnsi="宋体" w:cs="宋体"/>
                <w:i w:val="0"/>
                <w:iCs w:val="0"/>
                <w:color w:val="auto"/>
                <w:kern w:val="0"/>
                <w:sz w:val="18"/>
                <w:szCs w:val="18"/>
                <w:highlight w:val="none"/>
                <w:u w:val="none"/>
                <w:lang w:val="en-US" w:eastAsia="zh-CN"/>
              </w:rPr>
              <w:t>等初级产品及其初加工产品</w:t>
            </w:r>
          </w:p>
        </w:tc>
      </w:tr>
      <w:tr w14:paraId="0E95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2EA7FC5D">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1BF8B961">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rPr>
              <w:t>林粮类</w:t>
            </w:r>
          </w:p>
        </w:tc>
        <w:tc>
          <w:tcPr>
            <w:tcW w:w="3810" w:type="pct"/>
            <w:tcBorders>
              <w:tl2br w:val="nil"/>
              <w:tr2bl w:val="nil"/>
            </w:tcBorders>
            <w:shd w:val="clear" w:color="auto" w:fill="auto"/>
            <w:vAlign w:val="center"/>
          </w:tcPr>
          <w:p w14:paraId="3274BB3E">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rPr>
              <w:t>大豆、赤小豆、黑豆、芸豆、马铃薯、山药、荞麦等适宜林下种植的初级产品及其初加工产品</w:t>
            </w:r>
          </w:p>
        </w:tc>
      </w:tr>
      <w:tr w14:paraId="55D97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2E12B3A4">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5D6C9396">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林茶类</w:t>
            </w:r>
          </w:p>
        </w:tc>
        <w:tc>
          <w:tcPr>
            <w:tcW w:w="3810" w:type="pct"/>
            <w:tcBorders>
              <w:tl2br w:val="nil"/>
              <w:tr2bl w:val="nil"/>
            </w:tcBorders>
            <w:shd w:val="clear" w:color="auto" w:fill="auto"/>
            <w:vAlign w:val="center"/>
          </w:tcPr>
          <w:p w14:paraId="48EEC7D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rPr>
              <w:t>茶鲜叶、桑叶、刺五加叶、蒲公英、藤茶等适宜林下种植的茶及代用茶原料以及经初制形成的相关产品</w:t>
            </w:r>
          </w:p>
        </w:tc>
      </w:tr>
      <w:tr w14:paraId="45CB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580BE3E8">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49CE7E20">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rPr>
              <w:t>林菜类</w:t>
            </w:r>
          </w:p>
        </w:tc>
        <w:tc>
          <w:tcPr>
            <w:tcW w:w="3810" w:type="pct"/>
            <w:tcBorders>
              <w:tl2br w:val="nil"/>
              <w:tr2bl w:val="nil"/>
            </w:tcBorders>
            <w:shd w:val="clear" w:color="auto" w:fill="auto"/>
            <w:vAlign w:val="center"/>
          </w:tcPr>
          <w:p w14:paraId="15C8EE7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宋体" w:hAnsi="宋体" w:eastAsia="宋体" w:cs="宋体"/>
                <w:b/>
                <w:bCs/>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rPr>
              <w:t>萝卜、白菜、莴苣等适宜林下种植的蔬菜初级产品及其初加工产品</w:t>
            </w:r>
          </w:p>
        </w:tc>
      </w:tr>
      <w:tr w14:paraId="7FD5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27720F46">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5F51D4EC">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林果类</w:t>
            </w:r>
          </w:p>
        </w:tc>
        <w:tc>
          <w:tcPr>
            <w:tcW w:w="3810" w:type="pct"/>
            <w:tcBorders>
              <w:tl2br w:val="nil"/>
              <w:tr2bl w:val="nil"/>
            </w:tcBorders>
            <w:shd w:val="clear" w:color="auto" w:fill="auto"/>
            <w:vAlign w:val="center"/>
          </w:tcPr>
          <w:p w14:paraId="5DB99B16">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rPr>
              <w:t>蓝莓、蓝靛果、树莓、山葡萄、黑加仑、沙棘等适宜林下种植</w:t>
            </w:r>
            <w:r>
              <w:rPr>
                <w:rFonts w:hint="eastAsia" w:ascii="宋体" w:hAnsi="宋体" w:cs="宋体"/>
                <w:i w:val="0"/>
                <w:iCs w:val="0"/>
                <w:color w:val="auto"/>
                <w:kern w:val="0"/>
                <w:sz w:val="18"/>
                <w:szCs w:val="18"/>
                <w:highlight w:val="none"/>
                <w:u w:val="none"/>
                <w:lang w:val="en-US" w:eastAsia="zh-CN"/>
              </w:rPr>
              <w:t>初级产品及其初加工产品</w:t>
            </w:r>
          </w:p>
        </w:tc>
      </w:tr>
      <w:tr w14:paraId="75BA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378619AB">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06EB779A">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林花类</w:t>
            </w:r>
          </w:p>
        </w:tc>
        <w:tc>
          <w:tcPr>
            <w:tcW w:w="3810" w:type="pct"/>
            <w:tcBorders>
              <w:tl2br w:val="nil"/>
              <w:tr2bl w:val="nil"/>
            </w:tcBorders>
            <w:shd w:val="clear" w:color="auto" w:fill="auto"/>
            <w:vAlign w:val="center"/>
          </w:tcPr>
          <w:p w14:paraId="20FD7BA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rPr>
              <w:t>金莲花、芍药、连翘</w:t>
            </w:r>
            <w:r>
              <w:rPr>
                <w:rFonts w:hint="eastAsia" w:ascii="宋体" w:hAnsi="宋体" w:cs="宋体"/>
                <w:i w:val="0"/>
                <w:iCs w:val="0"/>
                <w:color w:val="auto"/>
                <w:kern w:val="0"/>
                <w:sz w:val="18"/>
                <w:szCs w:val="18"/>
                <w:highlight w:val="none"/>
                <w:u w:val="none"/>
                <w:lang w:val="en-US" w:eastAsia="zh-CN"/>
              </w:rPr>
              <w:t>、菊花、茉莉</w:t>
            </w:r>
            <w:r>
              <w:rPr>
                <w:rFonts w:hint="eastAsia" w:ascii="宋体" w:hAnsi="宋体" w:eastAsia="宋体" w:cs="宋体"/>
                <w:i w:val="0"/>
                <w:iCs w:val="0"/>
                <w:color w:val="auto"/>
                <w:kern w:val="0"/>
                <w:sz w:val="18"/>
                <w:szCs w:val="18"/>
                <w:highlight w:val="none"/>
                <w:u w:val="none"/>
                <w:lang w:val="en-US" w:eastAsia="zh-CN"/>
              </w:rPr>
              <w:t>等适宜林下种植</w:t>
            </w:r>
            <w:r>
              <w:rPr>
                <w:rFonts w:hint="eastAsia" w:ascii="宋体" w:hAnsi="宋体" w:cs="宋体"/>
                <w:i w:val="0"/>
                <w:iCs w:val="0"/>
                <w:color w:val="auto"/>
                <w:kern w:val="0"/>
                <w:sz w:val="18"/>
                <w:szCs w:val="18"/>
                <w:highlight w:val="none"/>
                <w:u w:val="none"/>
                <w:lang w:val="en-US" w:eastAsia="zh-CN"/>
              </w:rPr>
              <w:t>的初级产品及其初加工产品</w:t>
            </w:r>
          </w:p>
        </w:tc>
      </w:tr>
      <w:tr w14:paraId="322A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70593507">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0F2E5025">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林草类</w:t>
            </w:r>
          </w:p>
        </w:tc>
        <w:tc>
          <w:tcPr>
            <w:tcW w:w="3810" w:type="pct"/>
            <w:tcBorders>
              <w:tl2br w:val="nil"/>
              <w:tr2bl w:val="nil"/>
            </w:tcBorders>
            <w:shd w:val="clear" w:color="auto" w:fill="auto"/>
            <w:vAlign w:val="center"/>
          </w:tcPr>
          <w:p w14:paraId="73221948">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rPr>
              <w:t>苜蓿、黑麦草、</w:t>
            </w:r>
            <w:r>
              <w:rPr>
                <w:rFonts w:hint="eastAsia" w:ascii="宋体" w:hAnsi="宋体" w:cs="宋体"/>
                <w:i w:val="0"/>
                <w:iCs w:val="0"/>
                <w:color w:val="auto"/>
                <w:kern w:val="0"/>
                <w:sz w:val="18"/>
                <w:szCs w:val="18"/>
                <w:highlight w:val="none"/>
                <w:u w:val="none"/>
                <w:lang w:val="en-US" w:eastAsia="zh-CN"/>
              </w:rPr>
              <w:t>白三叶、菊苣、紫花地丁、狗牙根、野牛草、鸭茅、百脉根、狼尾草、红三叶</w:t>
            </w:r>
            <w:r>
              <w:rPr>
                <w:rFonts w:hint="eastAsia" w:ascii="宋体" w:hAnsi="宋体" w:eastAsia="宋体" w:cs="宋体"/>
                <w:i w:val="0"/>
                <w:iCs w:val="0"/>
                <w:color w:val="auto"/>
                <w:kern w:val="0"/>
                <w:sz w:val="18"/>
                <w:szCs w:val="18"/>
                <w:highlight w:val="none"/>
                <w:u w:val="none"/>
                <w:lang w:val="en-US" w:eastAsia="zh-CN"/>
              </w:rPr>
              <w:t>等适宜林下种植</w:t>
            </w:r>
            <w:r>
              <w:rPr>
                <w:rFonts w:hint="eastAsia" w:ascii="宋体" w:hAnsi="宋体" w:cs="宋体"/>
                <w:i w:val="0"/>
                <w:iCs w:val="0"/>
                <w:color w:val="auto"/>
                <w:kern w:val="0"/>
                <w:sz w:val="18"/>
                <w:szCs w:val="18"/>
                <w:highlight w:val="none"/>
                <w:u w:val="none"/>
                <w:lang w:val="en-US" w:eastAsia="zh-CN"/>
              </w:rPr>
              <w:t>初级产品及其初加工产品</w:t>
            </w:r>
          </w:p>
        </w:tc>
      </w:tr>
      <w:tr w14:paraId="1154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15FD329A">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1CA9542D">
            <w:pPr>
              <w:keepNext w:val="0"/>
              <w:keepLines w:val="0"/>
              <w:widowControl/>
              <w:suppressLineNumbers w:val="0"/>
              <w:adjustRightInd w:val="0"/>
              <w:snapToGrid w:val="0"/>
              <w:jc w:val="center"/>
              <w:textAlignment w:val="center"/>
              <w:rPr>
                <w:rFonts w:hint="default" w:ascii="宋体" w:hAnsi="宋体" w:eastAsia="宋体" w:cs="宋体"/>
                <w:i w:val="0"/>
                <w:iCs w:val="0"/>
                <w:color w:val="auto"/>
                <w:kern w:val="0"/>
                <w:sz w:val="18"/>
                <w:szCs w:val="18"/>
                <w:u w:val="none"/>
                <w:lang w:val="en-US" w:eastAsia="zh-CN"/>
              </w:rPr>
            </w:pPr>
            <w:r>
              <w:rPr>
                <w:rFonts w:hint="eastAsia" w:ascii="宋体" w:hAnsi="宋体" w:cs="宋体"/>
                <w:i w:val="0"/>
                <w:iCs w:val="0"/>
                <w:color w:val="auto"/>
                <w:kern w:val="0"/>
                <w:sz w:val="18"/>
                <w:szCs w:val="18"/>
                <w:u w:val="none"/>
                <w:lang w:val="en-US" w:eastAsia="zh-CN"/>
              </w:rPr>
              <w:t>其他类</w:t>
            </w:r>
          </w:p>
        </w:tc>
        <w:tc>
          <w:tcPr>
            <w:tcW w:w="3810" w:type="pct"/>
            <w:tcBorders>
              <w:tl2br w:val="nil"/>
              <w:tr2bl w:val="nil"/>
            </w:tcBorders>
            <w:shd w:val="clear" w:color="auto" w:fill="auto"/>
            <w:vAlign w:val="center"/>
          </w:tcPr>
          <w:p w14:paraId="113F7EF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其他</w:t>
            </w:r>
            <w:r>
              <w:rPr>
                <w:rFonts w:hint="eastAsia" w:ascii="宋体" w:hAnsi="宋体" w:cs="宋体"/>
                <w:i w:val="0"/>
                <w:iCs w:val="0"/>
                <w:color w:val="auto"/>
                <w:kern w:val="0"/>
                <w:sz w:val="18"/>
                <w:szCs w:val="18"/>
                <w:highlight w:val="none"/>
                <w:u w:val="none"/>
                <w:lang w:val="en-US" w:eastAsia="zh-CN"/>
              </w:rPr>
              <w:t>具有地方</w:t>
            </w:r>
            <w:r>
              <w:rPr>
                <w:rFonts w:hint="eastAsia" w:ascii="宋体" w:hAnsi="宋体" w:eastAsia="宋体" w:cs="宋体"/>
                <w:i w:val="0"/>
                <w:iCs w:val="0"/>
                <w:color w:val="auto"/>
                <w:kern w:val="0"/>
                <w:sz w:val="18"/>
                <w:szCs w:val="18"/>
                <w:highlight w:val="none"/>
                <w:u w:val="none"/>
                <w:lang w:val="en-US" w:eastAsia="zh-CN"/>
              </w:rPr>
              <w:t>特色</w:t>
            </w:r>
            <w:r>
              <w:rPr>
                <w:rFonts w:hint="eastAsia" w:ascii="宋体" w:hAnsi="宋体" w:cs="宋体"/>
                <w:i w:val="0"/>
                <w:iCs w:val="0"/>
                <w:color w:val="auto"/>
                <w:kern w:val="0"/>
                <w:sz w:val="18"/>
                <w:szCs w:val="18"/>
                <w:highlight w:val="none"/>
                <w:u w:val="none"/>
                <w:lang w:val="en-US" w:eastAsia="zh-CN"/>
              </w:rPr>
              <w:t>的林下种植</w:t>
            </w:r>
            <w:r>
              <w:rPr>
                <w:rFonts w:hint="eastAsia" w:ascii="宋体" w:hAnsi="宋体" w:eastAsia="宋体" w:cs="宋体"/>
                <w:i w:val="0"/>
                <w:iCs w:val="0"/>
                <w:color w:val="auto"/>
                <w:kern w:val="0"/>
                <w:sz w:val="18"/>
                <w:szCs w:val="18"/>
                <w:highlight w:val="none"/>
                <w:u w:val="none"/>
                <w:lang w:val="en-US" w:eastAsia="zh-CN"/>
              </w:rPr>
              <w:t>初级产品及其初加工产品</w:t>
            </w:r>
          </w:p>
        </w:tc>
      </w:tr>
      <w:tr w14:paraId="4EB4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restart"/>
            <w:tcBorders>
              <w:tl2br w:val="nil"/>
              <w:tr2bl w:val="nil"/>
            </w:tcBorders>
            <w:shd w:val="clear" w:color="auto" w:fill="auto"/>
            <w:vAlign w:val="center"/>
          </w:tcPr>
          <w:p w14:paraId="3732A67C">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林下养殖</w:t>
            </w:r>
            <w:r>
              <w:rPr>
                <w:rFonts w:hint="eastAsia" w:ascii="宋体" w:hAnsi="宋体" w:cs="宋体"/>
                <w:i w:val="0"/>
                <w:iCs w:val="0"/>
                <w:color w:val="auto"/>
                <w:kern w:val="0"/>
                <w:sz w:val="18"/>
                <w:szCs w:val="18"/>
                <w:u w:val="none"/>
                <w:lang w:val="en-US" w:eastAsia="zh-CN"/>
              </w:rPr>
              <w:t>产品</w:t>
            </w:r>
          </w:p>
        </w:tc>
        <w:tc>
          <w:tcPr>
            <w:tcW w:w="688" w:type="pct"/>
            <w:tcBorders>
              <w:tl2br w:val="nil"/>
              <w:tr2bl w:val="nil"/>
            </w:tcBorders>
            <w:shd w:val="clear" w:color="auto" w:fill="auto"/>
            <w:vAlign w:val="center"/>
          </w:tcPr>
          <w:p w14:paraId="1403F992">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林禽类</w:t>
            </w:r>
          </w:p>
        </w:tc>
        <w:tc>
          <w:tcPr>
            <w:tcW w:w="3810" w:type="pct"/>
            <w:tcBorders>
              <w:tl2br w:val="nil"/>
              <w:tr2bl w:val="nil"/>
            </w:tcBorders>
            <w:shd w:val="clear" w:color="auto" w:fill="auto"/>
            <w:vAlign w:val="center"/>
          </w:tcPr>
          <w:p w14:paraId="03084D4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rPr>
              <w:t>鸡、鸭、鹅等</w:t>
            </w:r>
            <w:r>
              <w:rPr>
                <w:rFonts w:hint="eastAsia" w:ascii="宋体" w:hAnsi="宋体" w:cs="宋体"/>
                <w:i w:val="0"/>
                <w:iCs w:val="0"/>
                <w:color w:val="auto"/>
                <w:kern w:val="0"/>
                <w:sz w:val="18"/>
                <w:szCs w:val="18"/>
                <w:highlight w:val="none"/>
                <w:u w:val="none"/>
                <w:lang w:val="en-US" w:eastAsia="zh-CN"/>
              </w:rPr>
              <w:t>初级产品及其初加工产品</w:t>
            </w:r>
          </w:p>
        </w:tc>
      </w:tr>
      <w:tr w14:paraId="1B8F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343C9300">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51187948">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林畜类</w:t>
            </w:r>
          </w:p>
        </w:tc>
        <w:tc>
          <w:tcPr>
            <w:tcW w:w="3810" w:type="pct"/>
            <w:tcBorders>
              <w:tl2br w:val="nil"/>
              <w:tr2bl w:val="nil"/>
            </w:tcBorders>
            <w:shd w:val="clear" w:color="auto" w:fill="auto"/>
            <w:vAlign w:val="center"/>
          </w:tcPr>
          <w:p w14:paraId="77B7903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猪、牛、羊</w:t>
            </w:r>
            <w:r>
              <w:rPr>
                <w:rFonts w:hint="eastAsia" w:ascii="宋体" w:hAnsi="宋体" w:cs="宋体"/>
                <w:i w:val="0"/>
                <w:iCs w:val="0"/>
                <w:color w:val="auto"/>
                <w:kern w:val="0"/>
                <w:sz w:val="18"/>
                <w:szCs w:val="18"/>
                <w:u w:val="none"/>
                <w:lang w:val="en-US" w:eastAsia="zh-CN"/>
              </w:rPr>
              <w:t>、兔</w:t>
            </w:r>
            <w:r>
              <w:rPr>
                <w:rFonts w:hint="eastAsia" w:ascii="宋体" w:hAnsi="宋体" w:eastAsia="宋体" w:cs="宋体"/>
                <w:i w:val="0"/>
                <w:iCs w:val="0"/>
                <w:color w:val="auto"/>
                <w:kern w:val="0"/>
                <w:sz w:val="18"/>
                <w:szCs w:val="18"/>
                <w:u w:val="none"/>
                <w:lang w:val="en-US" w:eastAsia="zh-CN"/>
              </w:rPr>
              <w:t>等</w:t>
            </w:r>
            <w:r>
              <w:rPr>
                <w:rFonts w:hint="eastAsia" w:ascii="宋体" w:hAnsi="宋体" w:cs="宋体"/>
                <w:i w:val="0"/>
                <w:iCs w:val="0"/>
                <w:color w:val="auto"/>
                <w:kern w:val="0"/>
                <w:sz w:val="18"/>
                <w:szCs w:val="18"/>
                <w:u w:val="none"/>
                <w:lang w:val="en-US" w:eastAsia="zh-CN"/>
              </w:rPr>
              <w:t>初级产品及其初加工产品</w:t>
            </w:r>
          </w:p>
        </w:tc>
      </w:tr>
      <w:tr w14:paraId="1BF3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2814D6FE">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331A9F58">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林蜂类</w:t>
            </w:r>
          </w:p>
        </w:tc>
        <w:tc>
          <w:tcPr>
            <w:tcW w:w="3810" w:type="pct"/>
            <w:tcBorders>
              <w:tl2br w:val="nil"/>
              <w:tr2bl w:val="nil"/>
            </w:tcBorders>
            <w:shd w:val="clear" w:color="auto" w:fill="auto"/>
            <w:vAlign w:val="center"/>
          </w:tcPr>
          <w:p w14:paraId="68FB431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highlight w:val="none"/>
                <w:u w:val="none"/>
                <w:lang w:val="en-US" w:eastAsia="zh-CN"/>
              </w:rPr>
              <w:t>蜜蜂、胡蜂</w:t>
            </w:r>
            <w:r>
              <w:rPr>
                <w:rFonts w:hint="eastAsia" w:ascii="宋体" w:hAnsi="宋体" w:eastAsia="宋体" w:cs="宋体"/>
                <w:i w:val="0"/>
                <w:iCs w:val="0"/>
                <w:color w:val="auto"/>
                <w:kern w:val="0"/>
                <w:sz w:val="18"/>
                <w:szCs w:val="18"/>
                <w:u w:val="none"/>
                <w:lang w:val="en-US" w:eastAsia="zh-CN"/>
              </w:rPr>
              <w:t>等</w:t>
            </w:r>
            <w:r>
              <w:rPr>
                <w:rFonts w:hint="eastAsia" w:ascii="宋体" w:hAnsi="宋体" w:cs="宋体"/>
                <w:i w:val="0"/>
                <w:iCs w:val="0"/>
                <w:color w:val="auto"/>
                <w:kern w:val="0"/>
                <w:sz w:val="18"/>
                <w:szCs w:val="18"/>
                <w:u w:val="none"/>
                <w:lang w:val="en-US" w:eastAsia="zh-CN"/>
              </w:rPr>
              <w:t>初级产品及其初加工产品</w:t>
            </w:r>
          </w:p>
        </w:tc>
      </w:tr>
      <w:tr w14:paraId="7876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796EBDD7">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58813FF1">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林渔类</w:t>
            </w:r>
          </w:p>
        </w:tc>
        <w:tc>
          <w:tcPr>
            <w:tcW w:w="3810" w:type="pct"/>
            <w:tcBorders>
              <w:tl2br w:val="nil"/>
              <w:tr2bl w:val="nil"/>
            </w:tcBorders>
            <w:shd w:val="clear" w:color="auto" w:fill="auto"/>
            <w:vAlign w:val="center"/>
          </w:tcPr>
          <w:p w14:paraId="0B15A67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鱼、虾、泥鳅、黄鳝等</w:t>
            </w:r>
            <w:r>
              <w:rPr>
                <w:rFonts w:hint="eastAsia" w:ascii="宋体" w:hAnsi="宋体" w:cs="宋体"/>
                <w:i w:val="0"/>
                <w:iCs w:val="0"/>
                <w:color w:val="auto"/>
                <w:kern w:val="0"/>
                <w:sz w:val="18"/>
                <w:szCs w:val="18"/>
                <w:u w:val="none"/>
                <w:lang w:val="en-US" w:eastAsia="zh-CN"/>
              </w:rPr>
              <w:t>初级产品及其初加工产品</w:t>
            </w:r>
          </w:p>
        </w:tc>
      </w:tr>
      <w:tr w14:paraId="495F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04B8AF3B">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13F65C34">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林特（特色养殖）类</w:t>
            </w:r>
          </w:p>
        </w:tc>
        <w:tc>
          <w:tcPr>
            <w:tcW w:w="3810" w:type="pct"/>
            <w:tcBorders>
              <w:tl2br w:val="nil"/>
              <w:tr2bl w:val="nil"/>
            </w:tcBorders>
            <w:shd w:val="clear" w:color="auto" w:fill="auto"/>
            <w:vAlign w:val="center"/>
          </w:tcPr>
          <w:p w14:paraId="522BDE2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梅花鹿、马鹿、林麝、马麝</w:t>
            </w:r>
            <w:r>
              <w:rPr>
                <w:rFonts w:hint="eastAsia" w:ascii="宋体" w:hAnsi="宋体" w:cs="宋体"/>
                <w:i w:val="0"/>
                <w:iCs w:val="0"/>
                <w:color w:val="auto"/>
                <w:kern w:val="0"/>
                <w:sz w:val="18"/>
                <w:szCs w:val="18"/>
                <w:u w:val="none"/>
                <w:lang w:val="en-US" w:eastAsia="zh-CN"/>
              </w:rPr>
              <w:t>、貂、蝉、金线蛙、石蛙、牛蛙</w:t>
            </w:r>
            <w:r>
              <w:rPr>
                <w:rFonts w:hint="eastAsia" w:ascii="宋体" w:hAnsi="宋体" w:eastAsia="宋体" w:cs="宋体"/>
                <w:i w:val="0"/>
                <w:iCs w:val="0"/>
                <w:color w:val="auto"/>
                <w:kern w:val="0"/>
                <w:sz w:val="18"/>
                <w:szCs w:val="18"/>
                <w:u w:val="none"/>
                <w:lang w:val="en-US" w:eastAsia="zh-CN"/>
              </w:rPr>
              <w:t>等</w:t>
            </w:r>
            <w:r>
              <w:rPr>
                <w:rFonts w:hint="eastAsia" w:ascii="宋体" w:hAnsi="宋体" w:cs="宋体"/>
                <w:i w:val="0"/>
                <w:iCs w:val="0"/>
                <w:color w:val="auto"/>
                <w:kern w:val="0"/>
                <w:sz w:val="18"/>
                <w:szCs w:val="18"/>
                <w:u w:val="none"/>
                <w:lang w:val="en-US" w:eastAsia="zh-CN"/>
              </w:rPr>
              <w:t>初级产品及其初加工产品</w:t>
            </w:r>
          </w:p>
        </w:tc>
      </w:tr>
      <w:tr w14:paraId="1393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793AEA87">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6C465897">
            <w:pPr>
              <w:keepNext w:val="0"/>
              <w:keepLines w:val="0"/>
              <w:widowControl/>
              <w:suppressLineNumbers w:val="0"/>
              <w:adjustRightInd w:val="0"/>
              <w:snapToGrid w:val="0"/>
              <w:jc w:val="center"/>
              <w:textAlignment w:val="center"/>
              <w:rPr>
                <w:rFonts w:hint="eastAsia" w:ascii="宋体" w:hAnsi="宋体" w:eastAsia="宋体" w:cs="宋体"/>
                <w:i w:val="0"/>
                <w:iCs w:val="0"/>
                <w:color w:val="auto"/>
                <w:kern w:val="0"/>
                <w:sz w:val="18"/>
                <w:szCs w:val="18"/>
                <w:u w:val="none"/>
                <w:lang w:val="en-US" w:eastAsia="zh-CN"/>
              </w:rPr>
            </w:pPr>
            <w:r>
              <w:rPr>
                <w:rFonts w:hint="eastAsia" w:ascii="宋体" w:hAnsi="宋体" w:cs="宋体"/>
                <w:i w:val="0"/>
                <w:iCs w:val="0"/>
                <w:color w:val="auto"/>
                <w:kern w:val="0"/>
                <w:sz w:val="18"/>
                <w:szCs w:val="18"/>
                <w:u w:val="none"/>
                <w:lang w:val="en-US" w:eastAsia="zh-CN"/>
              </w:rPr>
              <w:t>其他类</w:t>
            </w:r>
          </w:p>
        </w:tc>
        <w:tc>
          <w:tcPr>
            <w:tcW w:w="3810" w:type="pct"/>
            <w:tcBorders>
              <w:tl2br w:val="nil"/>
              <w:tr2bl w:val="nil"/>
            </w:tcBorders>
            <w:shd w:val="clear" w:color="auto" w:fill="auto"/>
            <w:vAlign w:val="center"/>
          </w:tcPr>
          <w:p w14:paraId="5A56965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rPr>
            </w:pPr>
            <w:r>
              <w:rPr>
                <w:rFonts w:hint="eastAsia" w:ascii="宋体" w:hAnsi="宋体" w:eastAsia="宋体" w:cs="宋体"/>
                <w:i w:val="0"/>
                <w:iCs w:val="0"/>
                <w:color w:val="auto"/>
                <w:kern w:val="0"/>
                <w:sz w:val="18"/>
                <w:szCs w:val="18"/>
                <w:u w:val="none"/>
                <w:lang w:val="en-US" w:eastAsia="zh-CN"/>
              </w:rPr>
              <w:t>其他</w:t>
            </w:r>
            <w:r>
              <w:rPr>
                <w:rFonts w:hint="eastAsia" w:ascii="宋体" w:hAnsi="宋体" w:cs="宋体"/>
                <w:i w:val="0"/>
                <w:iCs w:val="0"/>
                <w:color w:val="auto"/>
                <w:kern w:val="0"/>
                <w:sz w:val="18"/>
                <w:szCs w:val="18"/>
                <w:u w:val="none"/>
                <w:lang w:val="en-US" w:eastAsia="zh-CN"/>
              </w:rPr>
              <w:t>具有地方</w:t>
            </w:r>
            <w:r>
              <w:rPr>
                <w:rFonts w:hint="eastAsia" w:ascii="宋体" w:hAnsi="宋体" w:eastAsia="宋体" w:cs="宋体"/>
                <w:i w:val="0"/>
                <w:iCs w:val="0"/>
                <w:color w:val="auto"/>
                <w:kern w:val="0"/>
                <w:sz w:val="18"/>
                <w:szCs w:val="18"/>
                <w:u w:val="none"/>
                <w:lang w:val="en-US" w:eastAsia="zh-CN"/>
              </w:rPr>
              <w:t>特色</w:t>
            </w:r>
            <w:r>
              <w:rPr>
                <w:rFonts w:hint="eastAsia" w:ascii="宋体" w:hAnsi="宋体" w:cs="宋体"/>
                <w:i w:val="0"/>
                <w:iCs w:val="0"/>
                <w:color w:val="auto"/>
                <w:kern w:val="0"/>
                <w:sz w:val="18"/>
                <w:szCs w:val="18"/>
                <w:u w:val="none"/>
                <w:lang w:val="en-US" w:eastAsia="zh-CN"/>
              </w:rPr>
              <w:t>的林下养殖</w:t>
            </w:r>
            <w:r>
              <w:rPr>
                <w:rFonts w:hint="eastAsia" w:ascii="宋体" w:hAnsi="宋体" w:eastAsia="宋体" w:cs="宋体"/>
                <w:i w:val="0"/>
                <w:iCs w:val="0"/>
                <w:color w:val="auto"/>
                <w:kern w:val="0"/>
                <w:sz w:val="18"/>
                <w:szCs w:val="18"/>
                <w:u w:val="none"/>
                <w:lang w:val="en-US" w:eastAsia="zh-CN"/>
              </w:rPr>
              <w:t>初级产品及其初加工产品</w:t>
            </w:r>
          </w:p>
        </w:tc>
      </w:tr>
      <w:tr w14:paraId="236E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restart"/>
            <w:tcBorders>
              <w:tl2br w:val="nil"/>
              <w:tr2bl w:val="nil"/>
            </w:tcBorders>
            <w:shd w:val="clear" w:color="auto" w:fill="auto"/>
            <w:vAlign w:val="center"/>
          </w:tcPr>
          <w:p w14:paraId="09C1B6B8">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林下采集</w:t>
            </w:r>
            <w:r>
              <w:rPr>
                <w:rFonts w:hint="eastAsia" w:ascii="宋体" w:hAnsi="宋体" w:cs="宋体"/>
                <w:i w:val="0"/>
                <w:iCs w:val="0"/>
                <w:color w:val="auto"/>
                <w:kern w:val="0"/>
                <w:sz w:val="18"/>
                <w:szCs w:val="18"/>
                <w:u w:val="none"/>
                <w:lang w:val="en-US" w:eastAsia="zh-CN"/>
              </w:rPr>
              <w:t>产品</w:t>
            </w:r>
          </w:p>
        </w:tc>
        <w:tc>
          <w:tcPr>
            <w:tcW w:w="688" w:type="pct"/>
            <w:tcBorders>
              <w:tl2br w:val="nil"/>
              <w:tr2bl w:val="nil"/>
            </w:tcBorders>
            <w:shd w:val="clear" w:color="auto" w:fill="auto"/>
            <w:vAlign w:val="center"/>
          </w:tcPr>
          <w:p w14:paraId="2D205FCC">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野生植物类</w:t>
            </w:r>
          </w:p>
        </w:tc>
        <w:tc>
          <w:tcPr>
            <w:tcW w:w="3810" w:type="pct"/>
            <w:tcBorders>
              <w:tl2br w:val="nil"/>
              <w:tr2bl w:val="nil"/>
            </w:tcBorders>
            <w:shd w:val="clear" w:color="auto" w:fill="auto"/>
            <w:vAlign w:val="center"/>
          </w:tcPr>
          <w:p w14:paraId="358181C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rPr>
              <w:t>野生药材、山</w:t>
            </w:r>
            <w:r>
              <w:rPr>
                <w:rFonts w:hint="eastAsia" w:ascii="宋体" w:hAnsi="宋体" w:eastAsia="宋体" w:cs="宋体"/>
                <w:i w:val="0"/>
                <w:iCs w:val="0"/>
                <w:color w:val="auto"/>
                <w:kern w:val="0"/>
                <w:sz w:val="18"/>
                <w:szCs w:val="18"/>
                <w:u w:val="none"/>
                <w:lang w:val="en-US" w:eastAsia="zh-CN"/>
              </w:rPr>
              <w:t>野菜、竹笋等</w:t>
            </w:r>
            <w:r>
              <w:rPr>
                <w:rFonts w:hint="eastAsia" w:ascii="宋体" w:hAnsi="宋体" w:cs="宋体"/>
                <w:i w:val="0"/>
                <w:iCs w:val="0"/>
                <w:color w:val="auto"/>
                <w:kern w:val="0"/>
                <w:sz w:val="18"/>
                <w:szCs w:val="18"/>
                <w:u w:val="none"/>
                <w:lang w:val="en-US" w:eastAsia="zh-CN"/>
              </w:rPr>
              <w:t>初级产品及其初加工产品</w:t>
            </w:r>
          </w:p>
        </w:tc>
      </w:tr>
      <w:tr w14:paraId="7E19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4475110B">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6AF93AE5">
            <w:pPr>
              <w:keepNext w:val="0"/>
              <w:keepLines w:val="0"/>
              <w:widowControl/>
              <w:suppressLineNumbers w:val="0"/>
              <w:adjustRightInd w:val="0"/>
              <w:snapToGrid w:val="0"/>
              <w:jc w:val="center"/>
              <w:textAlignment w:val="center"/>
              <w:rPr>
                <w:rFonts w:hint="default" w:ascii="宋体" w:hAnsi="宋体" w:eastAsia="宋体" w:cs="宋体"/>
                <w:i w:val="0"/>
                <w:iCs w:val="0"/>
                <w:color w:val="auto"/>
                <w:kern w:val="0"/>
                <w:sz w:val="18"/>
                <w:szCs w:val="18"/>
                <w:u w:val="none"/>
                <w:lang w:val="en-US" w:eastAsia="zh-CN"/>
              </w:rPr>
            </w:pPr>
            <w:r>
              <w:rPr>
                <w:rFonts w:hint="eastAsia" w:ascii="宋体" w:hAnsi="宋体" w:cs="宋体"/>
                <w:i w:val="0"/>
                <w:iCs w:val="0"/>
                <w:color w:val="auto"/>
                <w:kern w:val="0"/>
                <w:sz w:val="18"/>
                <w:szCs w:val="18"/>
                <w:u w:val="none"/>
                <w:lang w:val="en-US" w:eastAsia="zh-CN"/>
              </w:rPr>
              <w:t>其他类</w:t>
            </w:r>
          </w:p>
        </w:tc>
        <w:tc>
          <w:tcPr>
            <w:tcW w:w="3810" w:type="pct"/>
            <w:tcBorders>
              <w:tl2br w:val="nil"/>
              <w:tr2bl w:val="nil"/>
            </w:tcBorders>
            <w:shd w:val="clear" w:color="auto" w:fill="auto"/>
            <w:vAlign w:val="center"/>
          </w:tcPr>
          <w:p w14:paraId="16DB475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rPr>
            </w:pPr>
            <w:r>
              <w:rPr>
                <w:rFonts w:hint="eastAsia" w:ascii="宋体" w:hAnsi="宋体" w:eastAsia="宋体" w:cs="宋体"/>
                <w:i w:val="0"/>
                <w:iCs w:val="0"/>
                <w:color w:val="auto"/>
                <w:kern w:val="0"/>
                <w:sz w:val="18"/>
                <w:szCs w:val="18"/>
                <w:u w:val="none"/>
                <w:lang w:val="en-US" w:eastAsia="zh-CN"/>
              </w:rPr>
              <w:t>其他林下非木质资源采集产品及其初加工产品</w:t>
            </w:r>
          </w:p>
        </w:tc>
      </w:tr>
      <w:tr w14:paraId="4F53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restart"/>
            <w:tcBorders>
              <w:tl2br w:val="nil"/>
              <w:tr2bl w:val="nil"/>
            </w:tcBorders>
            <w:shd w:val="clear" w:color="auto" w:fill="auto"/>
            <w:vAlign w:val="center"/>
          </w:tcPr>
          <w:p w14:paraId="16D076CD">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森林景观利用</w:t>
            </w:r>
            <w:r>
              <w:rPr>
                <w:rFonts w:hint="eastAsia" w:ascii="宋体" w:hAnsi="宋体" w:cs="宋体"/>
                <w:i w:val="0"/>
                <w:iCs w:val="0"/>
                <w:color w:val="auto"/>
                <w:kern w:val="0"/>
                <w:sz w:val="18"/>
                <w:szCs w:val="18"/>
                <w:u w:val="none"/>
                <w:lang w:val="en-US" w:eastAsia="zh-CN"/>
              </w:rPr>
              <w:t>产品</w:t>
            </w:r>
          </w:p>
        </w:tc>
        <w:tc>
          <w:tcPr>
            <w:tcW w:w="688" w:type="pct"/>
            <w:tcBorders>
              <w:tl2br w:val="nil"/>
              <w:tr2bl w:val="nil"/>
            </w:tcBorders>
            <w:shd w:val="clear" w:color="auto" w:fill="auto"/>
            <w:vAlign w:val="center"/>
          </w:tcPr>
          <w:p w14:paraId="22478333">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森林康养类</w:t>
            </w:r>
          </w:p>
        </w:tc>
        <w:tc>
          <w:tcPr>
            <w:tcW w:w="3810" w:type="pct"/>
            <w:tcBorders>
              <w:tl2br w:val="nil"/>
              <w:tr2bl w:val="nil"/>
            </w:tcBorders>
            <w:shd w:val="clear" w:color="auto" w:fill="auto"/>
            <w:vAlign w:val="center"/>
          </w:tcPr>
          <w:p w14:paraId="10B01B0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color w:val="auto"/>
                <w:kern w:val="0"/>
                <w:sz w:val="18"/>
                <w:szCs w:val="18"/>
                <w:u w:val="none"/>
              </w:rPr>
              <w:t>森林疗养、森林养生、森林康复</w:t>
            </w:r>
            <w:r>
              <w:rPr>
                <w:rFonts w:hint="eastAsia" w:ascii="宋体" w:hAnsi="宋体" w:eastAsia="宋体" w:cs="宋体"/>
                <w:i w:val="0"/>
                <w:iCs w:val="0"/>
                <w:color w:val="auto"/>
                <w:kern w:val="0"/>
                <w:sz w:val="18"/>
                <w:szCs w:val="18"/>
                <w:u w:val="none"/>
                <w:lang w:val="en-US" w:eastAsia="zh-CN"/>
              </w:rPr>
              <w:t>等</w:t>
            </w:r>
            <w:r>
              <w:rPr>
                <w:rFonts w:hint="eastAsia" w:ascii="宋体" w:hAnsi="宋体" w:cs="宋体"/>
                <w:i w:val="0"/>
                <w:iCs w:val="0"/>
                <w:color w:val="auto"/>
                <w:kern w:val="0"/>
                <w:sz w:val="18"/>
                <w:szCs w:val="18"/>
                <w:u w:val="none"/>
                <w:lang w:val="en-US" w:eastAsia="zh-CN"/>
              </w:rPr>
              <w:t>服务产品</w:t>
            </w:r>
          </w:p>
        </w:tc>
      </w:tr>
      <w:tr w14:paraId="4F5E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3EC19C07">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7193E06B">
            <w:pPr>
              <w:keepNext w:val="0"/>
              <w:keepLines w:val="0"/>
              <w:widowControl/>
              <w:suppressLineNumbers w:val="0"/>
              <w:adjustRightInd w:val="0"/>
              <w:snapToGrid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rPr>
              <w:t>森林旅游类</w:t>
            </w:r>
          </w:p>
        </w:tc>
        <w:tc>
          <w:tcPr>
            <w:tcW w:w="3810" w:type="pct"/>
            <w:tcBorders>
              <w:tl2br w:val="nil"/>
              <w:tr2bl w:val="nil"/>
            </w:tcBorders>
            <w:shd w:val="clear" w:color="auto" w:fill="auto"/>
            <w:vAlign w:val="center"/>
          </w:tcPr>
          <w:p w14:paraId="4EE5625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color w:val="auto"/>
                <w:kern w:val="0"/>
                <w:sz w:val="18"/>
                <w:szCs w:val="18"/>
                <w:u w:val="none"/>
              </w:rPr>
              <w:t>森林游憩、森林徒步、森林露营、森林度假、生态观鸟等服务产品</w:t>
            </w:r>
          </w:p>
        </w:tc>
      </w:tr>
      <w:tr w14:paraId="64B7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2019E06C">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4D73700F">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rPr>
              <w:t>自然教育类</w:t>
            </w:r>
          </w:p>
        </w:tc>
        <w:tc>
          <w:tcPr>
            <w:tcW w:w="3810" w:type="pct"/>
            <w:tcBorders>
              <w:tl2br w:val="nil"/>
              <w:tr2bl w:val="nil"/>
            </w:tcBorders>
            <w:shd w:val="clear" w:color="auto" w:fill="auto"/>
            <w:vAlign w:val="center"/>
          </w:tcPr>
          <w:p w14:paraId="01C5258C">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eastAsia" w:ascii="宋体" w:hAnsi="宋体" w:eastAsia="宋体" w:cs="宋体"/>
                <w:i w:val="0"/>
                <w:iCs w:val="0"/>
                <w:color w:val="auto"/>
                <w:sz w:val="18"/>
                <w:szCs w:val="18"/>
                <w:u w:val="none"/>
              </w:rPr>
            </w:pPr>
            <w:r>
              <w:rPr>
                <w:rFonts w:hint="eastAsia" w:ascii="宋体" w:hAnsi="宋体"/>
                <w:color w:val="auto"/>
                <w:kern w:val="0"/>
                <w:sz w:val="18"/>
                <w:szCs w:val="18"/>
                <w:u w:val="none"/>
              </w:rPr>
              <w:t>森林科普、生物多样性教育、自然研学、生态实践、森林文化体验、森林课堂等服务产品</w:t>
            </w:r>
          </w:p>
        </w:tc>
      </w:tr>
      <w:tr w14:paraId="04C8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501" w:type="pct"/>
            <w:vMerge w:val="continue"/>
            <w:tcBorders>
              <w:tl2br w:val="nil"/>
              <w:tr2bl w:val="nil"/>
            </w:tcBorders>
            <w:shd w:val="clear" w:color="auto" w:fill="auto"/>
            <w:vAlign w:val="center"/>
          </w:tcPr>
          <w:p w14:paraId="20E31E75">
            <w:pPr>
              <w:keepNext w:val="0"/>
              <w:keepLines w:val="0"/>
              <w:widowControl/>
              <w:suppressLineNumbers w:val="0"/>
              <w:adjustRightInd w:val="0"/>
              <w:snapToGrid w:val="0"/>
              <w:jc w:val="center"/>
              <w:textAlignment w:val="center"/>
              <w:rPr>
                <w:rFonts w:hint="eastAsia" w:ascii="宋体" w:hAnsi="宋体" w:eastAsia="宋体" w:cs="宋体"/>
                <w:i w:val="0"/>
                <w:iCs w:val="0"/>
                <w:color w:val="auto"/>
                <w:sz w:val="18"/>
                <w:szCs w:val="18"/>
                <w:u w:val="none"/>
              </w:rPr>
            </w:pPr>
          </w:p>
        </w:tc>
        <w:tc>
          <w:tcPr>
            <w:tcW w:w="688" w:type="pct"/>
            <w:tcBorders>
              <w:tl2br w:val="nil"/>
              <w:tr2bl w:val="nil"/>
            </w:tcBorders>
            <w:shd w:val="clear" w:color="auto" w:fill="auto"/>
            <w:vAlign w:val="center"/>
          </w:tcPr>
          <w:p w14:paraId="14E960C3">
            <w:pPr>
              <w:keepNext w:val="0"/>
              <w:keepLines w:val="0"/>
              <w:widowControl/>
              <w:suppressLineNumbers w:val="0"/>
              <w:adjustRightInd w:val="0"/>
              <w:snapToGrid w:val="0"/>
              <w:jc w:val="center"/>
              <w:textAlignment w:val="center"/>
              <w:rPr>
                <w:rFonts w:hint="default" w:ascii="宋体" w:hAnsi="宋体" w:eastAsia="宋体" w:cs="宋体"/>
                <w:i w:val="0"/>
                <w:iCs w:val="0"/>
                <w:color w:val="auto"/>
                <w:kern w:val="0"/>
                <w:sz w:val="18"/>
                <w:szCs w:val="18"/>
                <w:u w:val="none"/>
                <w:lang w:val="en-US" w:eastAsia="zh-CN"/>
              </w:rPr>
            </w:pPr>
            <w:r>
              <w:rPr>
                <w:rFonts w:hint="eastAsia" w:ascii="宋体" w:hAnsi="宋体" w:cs="宋体"/>
                <w:i w:val="0"/>
                <w:iCs w:val="0"/>
                <w:color w:val="auto"/>
                <w:kern w:val="0"/>
                <w:sz w:val="18"/>
                <w:szCs w:val="18"/>
                <w:u w:val="none"/>
                <w:lang w:val="en-US" w:eastAsia="zh-CN"/>
              </w:rPr>
              <w:t>其他类</w:t>
            </w:r>
          </w:p>
        </w:tc>
        <w:tc>
          <w:tcPr>
            <w:tcW w:w="3810" w:type="pct"/>
            <w:tcBorders>
              <w:tl2br w:val="nil"/>
              <w:tr2bl w:val="nil"/>
            </w:tcBorders>
            <w:shd w:val="clear" w:color="auto" w:fill="auto"/>
            <w:vAlign w:val="center"/>
          </w:tcPr>
          <w:p w14:paraId="1D37DBD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rPr>
            </w:pPr>
            <w:r>
              <w:rPr>
                <w:rFonts w:hint="eastAsia" w:ascii="宋体" w:hAnsi="宋体" w:eastAsia="宋体" w:cs="宋体"/>
                <w:i w:val="0"/>
                <w:iCs w:val="0"/>
                <w:color w:val="auto"/>
                <w:kern w:val="0"/>
                <w:sz w:val="18"/>
                <w:szCs w:val="18"/>
                <w:u w:val="none"/>
                <w:lang w:val="en-US" w:eastAsia="zh-CN"/>
              </w:rPr>
              <w:t>其他依托森林生态环境开展的体验服务产品</w:t>
            </w:r>
          </w:p>
        </w:tc>
      </w:tr>
    </w:tbl>
    <w:p w14:paraId="443FA985">
      <w:pPr>
        <w:keepNext w:val="0"/>
        <w:keepLines w:val="0"/>
        <w:pageBreakBefore w:val="0"/>
        <w:widowControl w:val="0"/>
        <w:kinsoku/>
        <w:wordWrap/>
        <w:overflowPunct/>
        <w:topLinePunct w:val="0"/>
        <w:autoSpaceDE/>
        <w:autoSpaceDN/>
        <w:bidi w:val="0"/>
        <w:adjustRightInd w:val="0"/>
        <w:snapToGrid w:val="0"/>
        <w:ind w:firstLine="360" w:firstLineChars="200"/>
        <w:textAlignment w:val="auto"/>
        <w:rPr>
          <w:rFonts w:hint="eastAsia" w:ascii="宋体" w:hAnsi="Times New Roman" w:cs="Times New Roman"/>
          <w:color w:val="auto"/>
          <w:kern w:val="0"/>
          <w:szCs w:val="20"/>
        </w:rPr>
      </w:pPr>
      <w:r>
        <w:rPr>
          <w:rFonts w:hint="eastAsia" w:ascii="黑体" w:hAnsi="黑体" w:eastAsia="黑体" w:cs="黑体"/>
          <w:color w:val="auto"/>
          <w:kern w:val="0"/>
          <w:sz w:val="18"/>
          <w:szCs w:val="18"/>
        </w:rPr>
        <w:t>注1</w:t>
      </w:r>
      <w:r>
        <w:rPr>
          <w:rFonts w:hint="eastAsia" w:ascii="宋体" w:hAnsi="Times New Roman" w:cs="Times New Roman"/>
          <w:color w:val="auto"/>
          <w:kern w:val="0"/>
          <w:szCs w:val="20"/>
        </w:rPr>
        <w:t>：</w:t>
      </w:r>
      <w:r>
        <w:rPr>
          <w:rFonts w:hint="eastAsia" w:ascii="宋体" w:hAnsi="Times New Roman" w:cs="Times New Roman"/>
          <w:color w:val="auto"/>
          <w:kern w:val="0"/>
          <w:sz w:val="18"/>
          <w:szCs w:val="18"/>
        </w:rPr>
        <w:t>表中林下种植、林下养殖和林下采集类产品，包括符合第5章、第6章规定的初级产品及其初加工产品</w:t>
      </w:r>
      <w:r>
        <w:rPr>
          <w:rFonts w:hint="eastAsia" w:ascii="宋体" w:hAnsi="Times New Roman" w:cs="Times New Roman"/>
          <w:color w:val="auto"/>
          <w:kern w:val="0"/>
          <w:szCs w:val="20"/>
        </w:rPr>
        <w:t xml:space="preserve">  </w:t>
      </w:r>
    </w:p>
    <w:p w14:paraId="4B2F6AFA">
      <w:pPr>
        <w:keepNext w:val="0"/>
        <w:keepLines w:val="0"/>
        <w:pageBreakBefore w:val="0"/>
        <w:widowControl w:val="0"/>
        <w:kinsoku/>
        <w:wordWrap/>
        <w:overflowPunct/>
        <w:topLinePunct w:val="0"/>
        <w:autoSpaceDE/>
        <w:autoSpaceDN/>
        <w:bidi w:val="0"/>
        <w:adjustRightInd w:val="0"/>
        <w:snapToGrid w:val="0"/>
        <w:ind w:left="837" w:leftChars="171" w:hanging="478" w:hangingChars="266"/>
        <w:textAlignment w:val="auto"/>
        <w:rPr>
          <w:rFonts w:hint="eastAsia" w:ascii="宋体" w:hAnsi="Times New Roman" w:cs="Times New Roman"/>
          <w:color w:val="auto"/>
          <w:kern w:val="0"/>
          <w:szCs w:val="20"/>
        </w:rPr>
      </w:pPr>
      <w:r>
        <w:rPr>
          <w:rFonts w:hint="eastAsia" w:ascii="黑体" w:hAnsi="黑体" w:eastAsia="黑体" w:cs="黑体"/>
          <w:color w:val="auto"/>
          <w:kern w:val="0"/>
          <w:sz w:val="18"/>
          <w:szCs w:val="18"/>
        </w:rPr>
        <w:t>注2：</w:t>
      </w:r>
      <w:r>
        <w:rPr>
          <w:rFonts w:hint="eastAsia" w:ascii="宋体" w:hAnsi="Times New Roman" w:cs="Times New Roman"/>
          <w:color w:val="auto"/>
          <w:kern w:val="0"/>
          <w:sz w:val="18"/>
          <w:szCs w:val="18"/>
        </w:rPr>
        <w:t>表中涉及国家重点保护野生动</w:t>
      </w:r>
      <w:r>
        <w:rPr>
          <w:rFonts w:hint="eastAsia" w:ascii="宋体" w:hAnsi="Times New Roman" w:cs="Times New Roman"/>
          <w:color w:val="auto"/>
          <w:kern w:val="0"/>
          <w:sz w:val="18"/>
          <w:szCs w:val="18"/>
          <w:lang w:val="en-US" w:eastAsia="zh-CN"/>
        </w:rPr>
        <w:t>植</w:t>
      </w:r>
      <w:r>
        <w:rPr>
          <w:rFonts w:hint="eastAsia" w:ascii="宋体" w:hAnsi="Times New Roman" w:cs="Times New Roman"/>
          <w:color w:val="auto"/>
          <w:kern w:val="0"/>
          <w:sz w:val="18"/>
          <w:szCs w:val="18"/>
        </w:rPr>
        <w:t>物的，仅指来源合法、依法取得人工繁育</w:t>
      </w:r>
      <w:r>
        <w:rPr>
          <w:rFonts w:hint="eastAsia" w:ascii="宋体" w:hAnsi="Times New Roman" w:cs="Times New Roman"/>
          <w:color w:val="auto"/>
          <w:kern w:val="0"/>
          <w:sz w:val="18"/>
          <w:szCs w:val="18"/>
          <w:lang w:eastAsia="zh-CN"/>
        </w:rPr>
        <w:t>（</w:t>
      </w:r>
      <w:r>
        <w:rPr>
          <w:rFonts w:hint="eastAsia" w:ascii="宋体" w:hAnsi="Times New Roman" w:cs="Times New Roman"/>
          <w:color w:val="auto"/>
          <w:kern w:val="0"/>
          <w:sz w:val="18"/>
          <w:szCs w:val="18"/>
          <w:lang w:val="en-US" w:eastAsia="zh-CN"/>
        </w:rPr>
        <w:t>种植</w:t>
      </w:r>
      <w:r>
        <w:rPr>
          <w:rFonts w:hint="eastAsia" w:ascii="宋体" w:hAnsi="Times New Roman" w:cs="Times New Roman"/>
          <w:color w:val="auto"/>
          <w:kern w:val="0"/>
          <w:sz w:val="18"/>
          <w:szCs w:val="18"/>
          <w:lang w:eastAsia="zh-CN"/>
        </w:rPr>
        <w:t>）</w:t>
      </w:r>
      <w:r>
        <w:rPr>
          <w:rFonts w:hint="eastAsia" w:ascii="宋体" w:hAnsi="Times New Roman" w:cs="Times New Roman"/>
          <w:color w:val="auto"/>
          <w:kern w:val="0"/>
          <w:sz w:val="18"/>
          <w:szCs w:val="18"/>
        </w:rPr>
        <w:t>许可的人工繁育</w:t>
      </w:r>
      <w:r>
        <w:rPr>
          <w:rFonts w:hint="eastAsia" w:ascii="宋体" w:hAnsi="Times New Roman" w:cs="Times New Roman"/>
          <w:color w:val="auto"/>
          <w:kern w:val="0"/>
          <w:sz w:val="18"/>
          <w:szCs w:val="18"/>
          <w:lang w:eastAsia="zh-CN"/>
        </w:rPr>
        <w:t>（</w:t>
      </w:r>
      <w:r>
        <w:rPr>
          <w:rFonts w:hint="eastAsia" w:ascii="宋体" w:hAnsi="Times New Roman" w:cs="Times New Roman"/>
          <w:color w:val="auto"/>
          <w:kern w:val="0"/>
          <w:sz w:val="18"/>
          <w:szCs w:val="18"/>
          <w:lang w:val="en-US" w:eastAsia="zh-CN"/>
        </w:rPr>
        <w:t>种植</w:t>
      </w:r>
      <w:r>
        <w:rPr>
          <w:rFonts w:hint="eastAsia" w:ascii="宋体" w:hAnsi="Times New Roman" w:cs="Times New Roman"/>
          <w:color w:val="auto"/>
          <w:kern w:val="0"/>
          <w:sz w:val="18"/>
          <w:szCs w:val="18"/>
          <w:lang w:eastAsia="zh-CN"/>
        </w:rPr>
        <w:t>）</w:t>
      </w:r>
      <w:r>
        <w:rPr>
          <w:rFonts w:hint="eastAsia" w:ascii="宋体" w:hAnsi="Times New Roman" w:cs="Times New Roman"/>
          <w:color w:val="auto"/>
          <w:kern w:val="0"/>
          <w:sz w:val="18"/>
          <w:szCs w:val="18"/>
        </w:rPr>
        <w:t>个体及其产品</w:t>
      </w:r>
      <w:r>
        <w:rPr>
          <w:rFonts w:hint="eastAsia" w:ascii="宋体" w:hAnsi="Times New Roman" w:cs="Times New Roman"/>
          <w:color w:val="auto"/>
          <w:kern w:val="0"/>
          <w:sz w:val="18"/>
          <w:szCs w:val="18"/>
          <w:lang w:eastAsia="zh-CN"/>
        </w:rPr>
        <w:t>，</w:t>
      </w:r>
      <w:r>
        <w:rPr>
          <w:rFonts w:hint="eastAsia" w:ascii="宋体" w:hAnsi="Times New Roman" w:cs="Times New Roman"/>
          <w:color w:val="auto"/>
          <w:kern w:val="0"/>
          <w:sz w:val="18"/>
          <w:szCs w:val="18"/>
        </w:rPr>
        <w:t>野生个体及其产品不纳入本目录范围；以人工培植方式生产的，应符合野生植物保护、种源管理和相关审批规定</w:t>
      </w:r>
    </w:p>
    <w:p w14:paraId="407A9C4E">
      <w:pPr>
        <w:keepNext w:val="0"/>
        <w:keepLines w:val="0"/>
        <w:pageBreakBefore w:val="0"/>
        <w:widowControl w:val="0"/>
        <w:kinsoku/>
        <w:wordWrap/>
        <w:overflowPunct/>
        <w:topLinePunct w:val="0"/>
        <w:autoSpaceDE/>
        <w:autoSpaceDN/>
        <w:bidi w:val="0"/>
        <w:adjustRightInd w:val="0"/>
        <w:snapToGrid w:val="0"/>
        <w:ind w:left="837" w:leftChars="171" w:hanging="478" w:hangingChars="266"/>
        <w:textAlignment w:val="auto"/>
        <w:rPr>
          <w:rFonts w:hint="eastAsia" w:ascii="宋体" w:hAnsi="Times New Roman" w:cs="Times New Roman"/>
          <w:color w:val="auto"/>
          <w:kern w:val="0"/>
          <w:szCs w:val="20"/>
        </w:rPr>
      </w:pPr>
      <w:r>
        <w:rPr>
          <w:rFonts w:hint="eastAsia" w:ascii="黑体" w:hAnsi="黑体" w:eastAsia="黑体" w:cs="黑体"/>
          <w:color w:val="auto"/>
          <w:kern w:val="0"/>
          <w:sz w:val="18"/>
          <w:szCs w:val="18"/>
        </w:rPr>
        <w:t>注3：</w:t>
      </w:r>
      <w:r>
        <w:rPr>
          <w:rFonts w:hint="eastAsia" w:ascii="宋体" w:hAnsi="Times New Roman" w:eastAsia="宋体" w:cs="Times New Roman"/>
          <w:color w:val="auto"/>
          <w:kern w:val="0"/>
          <w:sz w:val="18"/>
          <w:szCs w:val="18"/>
        </w:rPr>
        <w:t>同一产品具有多种属性或用途的，按照其主要生产经营方式和主要产品属性归入一个类别</w:t>
      </w:r>
    </w:p>
    <w:p w14:paraId="429BCBFB">
      <w:pPr>
        <w:keepNext w:val="0"/>
        <w:keepLines w:val="0"/>
        <w:pageBreakBefore w:val="0"/>
        <w:widowControl w:val="0"/>
        <w:kinsoku/>
        <w:wordWrap/>
        <w:overflowPunct/>
        <w:topLinePunct w:val="0"/>
        <w:autoSpaceDE/>
        <w:autoSpaceDN/>
        <w:bidi w:val="0"/>
        <w:adjustRightInd w:val="0"/>
        <w:snapToGrid w:val="0"/>
        <w:ind w:left="837" w:leftChars="171" w:hanging="478" w:hangingChars="266"/>
        <w:textAlignment w:val="auto"/>
        <w:rPr>
          <w:rFonts w:hint="eastAsia" w:ascii="宋体" w:hAnsi="Times New Roman" w:eastAsia="宋体" w:cs="Times New Roman"/>
          <w:color w:val="auto"/>
          <w:kern w:val="0"/>
          <w:szCs w:val="20"/>
          <w:lang w:val="en-US" w:eastAsia="zh-CN"/>
        </w:rPr>
      </w:pPr>
      <w:r>
        <w:rPr>
          <w:rFonts w:hint="eastAsia" w:ascii="黑体" w:hAnsi="黑体" w:eastAsia="黑体" w:cs="黑体"/>
          <w:color w:val="auto"/>
          <w:kern w:val="0"/>
          <w:sz w:val="18"/>
          <w:szCs w:val="18"/>
        </w:rPr>
        <w:t>注4：</w:t>
      </w:r>
      <w:r>
        <w:rPr>
          <w:rFonts w:hint="eastAsia" w:ascii="宋体" w:hAnsi="Times New Roman" w:eastAsia="宋体" w:cs="Times New Roman"/>
          <w:color w:val="auto"/>
          <w:kern w:val="0"/>
          <w:sz w:val="18"/>
          <w:szCs w:val="18"/>
        </w:rPr>
        <w:t>未列出的产品，符合本文件规定的认定条件、认定依据和分类规则的，可按照8.3的规定归入相应类别</w:t>
      </w:r>
    </w:p>
    <w:p w14:paraId="0892F217">
      <w:pPr>
        <w:adjustRightInd w:val="0"/>
        <w:snapToGrid w:val="0"/>
        <w:rPr>
          <w:color w:val="auto"/>
          <w:sz w:val="21"/>
        </w:rPr>
      </w:pPr>
      <w:r>
        <w:rPr>
          <w:color w:val="auto"/>
          <w:sz w:val="21"/>
        </w:rPr>
        <mc:AlternateContent>
          <mc:Choice Requires="wps">
            <w:drawing>
              <wp:anchor distT="0" distB="0" distL="114300" distR="114300" simplePos="0" relativeHeight="251661312" behindDoc="0" locked="0" layoutInCell="1" allowOverlap="1">
                <wp:simplePos x="0" y="0"/>
                <wp:positionH relativeFrom="column">
                  <wp:posOffset>1986915</wp:posOffset>
                </wp:positionH>
                <wp:positionV relativeFrom="paragraph">
                  <wp:posOffset>169545</wp:posOffset>
                </wp:positionV>
                <wp:extent cx="1440180" cy="635"/>
                <wp:effectExtent l="0" t="0" r="0" b="0"/>
                <wp:wrapNone/>
                <wp:docPr id="4" name="直接连接符 4"/>
                <wp:cNvGraphicFramePr/>
                <a:graphic xmlns:a="http://schemas.openxmlformats.org/drawingml/2006/main">
                  <a:graphicData uri="http://schemas.microsoft.com/office/word/2010/wordprocessingShape">
                    <wps:wsp>
                      <wps:cNvCnPr/>
                      <wps:spPr>
                        <a:xfrm>
                          <a:off x="2788285" y="9293225"/>
                          <a:ext cx="1440180" cy="635"/>
                        </a:xfrm>
                        <a:prstGeom prst="line">
                          <a:avLst/>
                        </a:prstGeom>
                        <a:ln w="9525"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56.45pt;margin-top:13.35pt;height:0.05pt;width:113.4pt;z-index:251661312;mso-width-relative:page;mso-height-relative:page;" filled="f" stroked="t" coordsize="21600,21600" o:gfxdata="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TzVhF&#10;1wAAAAkBAAAPAAAAAAAAAAEAIAAAACIAAABkcnMvZG93bnJldi54bWxQSwECFAAUAAAACACHTuJA&#10;LJL9eekBAACoAwAADgAAAAAAAAABACAAAAAmAQAAZHJzL2Uyb0RvYy54bWxQSwUGAAAAAAYABgBZ&#10;AQAAgQUAAAAA&#10;">
                <v:fill on="f" focussize="0,0"/>
                <v:stroke color="#000000 [3213]" joinstyle="round"/>
                <v:imagedata o:title=""/>
                <o:lock v:ext="edit" aspectratio="f"/>
              </v:line>
            </w:pict>
          </mc:Fallback>
        </mc:AlternateContent>
      </w:r>
    </w:p>
    <w:p w14:paraId="506F1768">
      <w:pPr>
        <w:adjustRightInd w:val="0"/>
        <w:snapToGrid w:val="0"/>
        <w:rPr>
          <w:rFonts w:hint="eastAsia"/>
          <w:color w:val="auto"/>
          <w:sz w:val="21"/>
          <w:lang w:val="en-US" w:eastAsia="zh-CN"/>
        </w:rPr>
      </w:pPr>
      <w:bookmarkStart w:id="34" w:name="_GoBack"/>
      <w:bookmarkEnd w:id="34"/>
    </w:p>
    <w:sectPr>
      <w:pgSz w:w="11906" w:h="16838"/>
      <w:pgMar w:top="567" w:right="1134" w:bottom="1134" w:left="1418" w:header="1417" w:footer="1134" w:gutter="0"/>
      <w:pgBorders>
        <w:top w:val="none" w:sz="0" w:space="0"/>
        <w:left w:val="none" w:sz="0" w:space="0"/>
        <w:bottom w:val="none" w:sz="0" w:space="0"/>
        <w:right w:val="none" w:sz="0" w:space="0"/>
      </w:pgBorders>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EFF" w:usb1="C000785B" w:usb2="00000009" w:usb3="00000000" w:csb0="400001FF" w:csb1="FFFF0000"/>
  </w:font>
  <w:font w:name="方正书宋_GBK">
    <w:panose1 w:val="02000000000000000000"/>
    <w:charset w:val="86"/>
    <w:family w:val="auto"/>
    <w:pitch w:val="default"/>
    <w:sig w:usb0="00000001" w:usb1="08000000" w:usb2="00000000" w:usb3="00000000" w:csb0="00040000" w:csb1="00000000"/>
  </w:font>
  <w:font w:name="Calibri Light">
    <w:altName w:val="Arial"/>
    <w:panose1 w:val="020F0302020204030204"/>
    <w:charset w:val="00"/>
    <w:family w:val="swiss"/>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00BA">
    <w:pPr>
      <w:pStyle w:val="14"/>
      <w:jc w:val="right"/>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PAGE   \* MERGEFORMAT</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lang w:val="zh-CN"/>
      </w:rPr>
      <w:t>11</w:t>
    </w:r>
    <w:r>
      <w:rPr>
        <w:rFonts w:hint="eastAsia" w:asciiTheme="majorEastAsia" w:hAnsiTheme="majorEastAsia" w:eastAsiaTheme="majorEastAsia" w:cstheme="majorEastAsi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7E429">
    <w:pPr>
      <w:pStyle w:val="14"/>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II</w:t>
    </w:r>
    <w:r>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42E89">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7F6D5">
    <w:pPr>
      <w:pStyle w:val="14"/>
      <w:jc w:val="left"/>
    </w:pPr>
    <w:r>
      <w:rPr>
        <w:rFonts w:ascii="宋体" w:hAnsi="宋体" w:eastAsia="宋体"/>
      </w:rPr>
      <w:fldChar w:fldCharType="begin"/>
    </w:r>
    <w:r>
      <w:rPr>
        <w:rFonts w:ascii="宋体" w:hAnsi="宋体" w:eastAsia="宋体"/>
      </w:rPr>
      <w:instrText xml:space="preserve"> PAGE   \* MERGEFORMAT </w:instrText>
    </w:r>
    <w:r>
      <w:rPr>
        <w:rFonts w:ascii="宋体" w:hAnsi="宋体" w:eastAsia="宋体"/>
      </w:rPr>
      <w:fldChar w:fldCharType="separate"/>
    </w:r>
    <w:r>
      <w:rPr>
        <w:rFonts w:ascii="宋体" w:hAnsi="宋体" w:eastAsia="宋体"/>
        <w:lang w:val="zh-CN"/>
      </w:rPr>
      <w:t>1</w:t>
    </w:r>
    <w:r>
      <w:rPr>
        <w:rFonts w:ascii="宋体" w:hAnsi="宋体" w:eastAsia="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D87F3">
    <w:pPr>
      <w:pStyle w:val="14"/>
      <w:jc w:val="right"/>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PAGE   \* MERGEFORMAT</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lang w:val="zh-CN"/>
      </w:rPr>
      <w:t>11</w:t>
    </w:r>
    <w:r>
      <w:rPr>
        <w:rFonts w:hint="eastAsia" w:asciiTheme="majorEastAsia" w:hAnsiTheme="majorEastAsia" w:eastAsiaTheme="majorEastAsia" w:cstheme="majorEastAsia"/>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D1A83">
    <w:pPr>
      <w:pStyle w:val="14"/>
      <w:rPr>
        <w:rFonts w:hint="eastAsia" w:asciiTheme="majorEastAsia" w:hAnsiTheme="majorEastAsia" w:eastAsiaTheme="majorEastAsia" w:cstheme="majorEastAsia"/>
      </w:rPr>
    </w:pP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PAGE   \* MERGEFORMAT</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lang w:val="zh-CN"/>
      </w:rPr>
      <w:t>II</w:t>
    </w:r>
    <w:r>
      <w:rPr>
        <w:rFonts w:hint="eastAsia" w:asciiTheme="majorEastAsia" w:hAnsiTheme="majorEastAsia" w:eastAsiaTheme="majorEastAsia" w:cstheme="majorEastAsia"/>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488B2">
    <w:pPr>
      <w:pStyle w:val="14"/>
      <w:jc w:val="right"/>
    </w:pPr>
    <w:r>
      <w:rPr>
        <w:rFonts w:ascii="宋体" w:hAnsi="宋体" w:eastAsia="宋体"/>
      </w:rPr>
      <w:fldChar w:fldCharType="begin"/>
    </w:r>
    <w:r>
      <w:rPr>
        <w:rFonts w:ascii="宋体" w:hAnsi="宋体" w:eastAsia="宋体"/>
      </w:rPr>
      <w:instrText xml:space="preserve"> PAGE   \* MERGEFORMAT </w:instrText>
    </w:r>
    <w:r>
      <w:rPr>
        <w:rFonts w:ascii="宋体" w:hAnsi="宋体" w:eastAsia="宋体"/>
      </w:rPr>
      <w:fldChar w:fldCharType="separate"/>
    </w:r>
    <w:r>
      <w:rPr>
        <w:rFonts w:ascii="宋体" w:hAnsi="宋体" w:eastAsia="宋体"/>
        <w:lang w:val="zh-CN"/>
      </w:rPr>
      <w:t>1</w:t>
    </w:r>
    <w:r>
      <w:rPr>
        <w:rFonts w:ascii="宋体" w:hAnsi="宋体" w:eastAsia="宋体"/>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CF055">
    <w:pPr>
      <w:pStyle w:val="15"/>
      <w:pBdr>
        <w:top w:val="none" w:color="auto" w:sz="0" w:space="0"/>
        <w:left w:val="none" w:color="auto" w:sz="0" w:space="0"/>
        <w:bottom w:val="none" w:color="auto" w:sz="0" w:space="0"/>
        <w:right w:val="none" w:color="auto" w:sz="0" w:space="0"/>
        <w:between w:val="none" w:color="auto" w:sz="0" w:space="0"/>
      </w:pBdr>
      <w:jc w:val="right"/>
      <w:rPr>
        <w:rFonts w:ascii="黑体" w:hAnsi="黑体" w:eastAsia="黑体" w:cs="Times New Roman"/>
        <w:sz w:val="21"/>
        <w:szCs w:val="21"/>
      </w:rPr>
    </w:pPr>
    <w:r>
      <w:rPr>
        <w:rFonts w:ascii="黑体" w:hAnsi="黑体" w:eastAsia="黑体" w:cs="Times New Roman"/>
        <w:sz w:val="21"/>
        <w:szCs w:val="21"/>
      </w:rPr>
      <w:t>T/CSF</w:t>
    </w:r>
    <w:r>
      <w:rPr>
        <w:rFonts w:hint="eastAsia" w:ascii="黑体" w:hAnsi="黑体" w:eastAsia="黑体" w:cs="Times New Roman"/>
        <w:sz w:val="21"/>
        <w:szCs w:val="21"/>
      </w:rPr>
      <w:t xml:space="preserve"> </w:t>
    </w:r>
    <w:r>
      <w:rPr>
        <w:rFonts w:ascii="黑体" w:hAnsi="黑体" w:eastAsia="黑体" w:cs="Times New Roman"/>
        <w:sz w:val="21"/>
        <w:szCs w:val="21"/>
      </w:rPr>
      <w:t>×××</w:t>
    </w:r>
    <w:r>
      <w:rPr>
        <w:rFonts w:hint="eastAsia" w:ascii="黑体" w:hAnsi="黑体" w:eastAsia="黑体" w:cs="Times New Roman"/>
        <w:sz w:val="21"/>
        <w:szCs w:val="21"/>
      </w:rPr>
      <w:t>—</w:t>
    </w:r>
    <w:r>
      <w:rPr>
        <w:rFonts w:ascii="黑体" w:hAnsi="黑体" w:eastAsia="黑体" w:cs="Times New Roman"/>
        <w:sz w:val="21"/>
        <w:szCs w:val="21"/>
      </w:rPr>
      <w:t>××××</w:t>
    </w:r>
  </w:p>
  <w:p w14:paraId="7C6E23E1">
    <w:pPr>
      <w:pStyle w:val="15"/>
      <w:pBdr>
        <w:top w:val="none" w:color="auto" w:sz="0" w:space="0"/>
        <w:left w:val="none" w:color="auto" w:sz="0" w:space="0"/>
        <w:bottom w:val="none" w:color="auto" w:sz="0" w:space="1"/>
        <w:right w:val="none" w:color="auto" w:sz="0" w:space="0"/>
        <w:between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0517C">
    <w:pPr>
      <w:pStyle w:val="15"/>
      <w:pBdr>
        <w:bottom w:val="none" w:color="auto" w:sz="0" w:space="0"/>
      </w:pBdr>
      <w:jc w:val="left"/>
      <w:rPr>
        <w:rFonts w:ascii="黑体" w:hAnsi="黑体" w:eastAsia="黑体" w:cs="Times New Roman"/>
        <w:sz w:val="21"/>
        <w:szCs w:val="21"/>
      </w:rPr>
    </w:pPr>
    <w:r>
      <w:rPr>
        <w:rFonts w:ascii="黑体" w:hAnsi="黑体" w:eastAsia="黑体" w:cs="Times New Roman"/>
        <w:sz w:val="21"/>
        <w:szCs w:val="21"/>
      </w:rPr>
      <w:t>T/CSF</w:t>
    </w:r>
    <w:r>
      <w:rPr>
        <w:rFonts w:hint="eastAsia" w:ascii="黑体" w:hAnsi="黑体" w:eastAsia="黑体" w:cs="Times New Roman"/>
        <w:sz w:val="21"/>
        <w:szCs w:val="21"/>
      </w:rPr>
      <w:t xml:space="preserve"> </w:t>
    </w:r>
    <w:r>
      <w:rPr>
        <w:rFonts w:ascii="黑体" w:hAnsi="黑体" w:eastAsia="黑体" w:cs="Times New Roman"/>
        <w:sz w:val="21"/>
        <w:szCs w:val="21"/>
      </w:rPr>
      <w:t>×××</w:t>
    </w:r>
    <w:r>
      <w:rPr>
        <w:rFonts w:hint="eastAsia" w:ascii="黑体" w:hAnsi="黑体" w:eastAsia="黑体" w:cs="Times New Roman"/>
        <w:sz w:val="21"/>
        <w:szCs w:val="21"/>
      </w:rPr>
      <w:t>—</w:t>
    </w:r>
    <w:r>
      <w:rPr>
        <w:rFonts w:ascii="黑体" w:hAnsi="黑体" w:eastAsia="黑体" w:cs="Times New Roman"/>
        <w:sz w:val="21"/>
        <w:szCs w:val="21"/>
      </w:rPr>
      <w:t>××××</w:t>
    </w:r>
  </w:p>
  <w:p w14:paraId="54E724FB">
    <w:pPr>
      <w:pStyle w:val="15"/>
      <w:pBdr>
        <w:bottom w:val="none" w:color="auto" w:sz="0" w:space="0"/>
      </w:pBdr>
      <w:jc w:val="left"/>
      <w:rPr>
        <w:rFonts w:ascii="黑体" w:hAnsi="黑体" w:eastAsia="黑体" w:cs="Times New Roman"/>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50C3C">
    <w:pPr>
      <w:tabs>
        <w:tab w:val="center" w:pos="4153"/>
        <w:tab w:val="right" w:pos="8306"/>
      </w:tabs>
      <w:snapToGrid w:val="0"/>
      <w:spacing w:afterLines="100"/>
      <w:jc w:val="right"/>
      <w:rPr>
        <w:rFonts w:ascii="黑体" w:hAnsi="黑体" w:eastAsia="黑体" w:cs="Times New Roman"/>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2F08">
    <w:pPr>
      <w:tabs>
        <w:tab w:val="center" w:pos="4153"/>
        <w:tab w:val="right" w:pos="8306"/>
      </w:tabs>
      <w:snapToGrid w:val="0"/>
      <w:spacing w:afterLines="100"/>
      <w:jc w:val="right"/>
      <w:rPr>
        <w:rFonts w:ascii="黑体" w:hAnsi="黑体" w:eastAsia="黑体" w:cs="Times New Roman"/>
        <w:szCs w:val="21"/>
      </w:rPr>
    </w:pPr>
    <w:r>
      <w:rPr>
        <w:rFonts w:ascii="黑体" w:hAnsi="黑体" w:eastAsia="黑体" w:cs="Times New Roman"/>
        <w:szCs w:val="21"/>
      </w:rPr>
      <w:t>T/CSF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9EB8AC"/>
    <w:multiLevelType w:val="singleLevel"/>
    <w:tmpl w:val="F79EB8AC"/>
    <w:lvl w:ilvl="0" w:tentative="0">
      <w:start w:val="1"/>
      <w:numFmt w:val="lowerLetter"/>
      <w:suff w:val="space"/>
      <w:lvlText w:val="%1）"/>
      <w:lvlJc w:val="left"/>
    </w:lvl>
  </w:abstractNum>
  <w:abstractNum w:abstractNumId="1">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60"/>
      <w:suff w:val="space"/>
      <w:lvlText w:val="表%1.%2"/>
      <w:lvlJc w:val="center"/>
      <w:pPr>
        <w:ind w:left="0" w:firstLine="0"/>
      </w:pPr>
      <w:rPr>
        <w:rFonts w:hint="eastAsia" w:ascii="黑体" w:eastAsia="黑体"/>
        <w:sz w:val="21"/>
        <w:lang w:val="en-U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657D3FBC"/>
    <w:multiLevelType w:val="multilevel"/>
    <w:tmpl w:val="657D3FBC"/>
    <w:lvl w:ilvl="0" w:tentative="0">
      <w:start w:val="1"/>
      <w:numFmt w:val="upperLetter"/>
      <w:pStyle w:val="58"/>
      <w:suff w:val="nothing"/>
      <w:lvlText w:val="附录%1"/>
      <w:lvlJc w:val="left"/>
      <w:pPr>
        <w:ind w:left="0" w:firstLine="0"/>
      </w:pPr>
      <w:rPr>
        <w:rFonts w:hint="eastAsia"/>
        <w:spacing w:val="100"/>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eastAsia="黑体"/>
        <w:b w:val="0"/>
        <w:i w:val="0"/>
        <w:sz w:val="21"/>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hideGrammaticalErrors/>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E1403"/>
    <w:rsid w:val="0046550B"/>
    <w:rsid w:val="01671BDD"/>
    <w:rsid w:val="01AC0464"/>
    <w:rsid w:val="028C11CF"/>
    <w:rsid w:val="02DC3F04"/>
    <w:rsid w:val="0305345B"/>
    <w:rsid w:val="03062D2F"/>
    <w:rsid w:val="047B27F8"/>
    <w:rsid w:val="04C82992"/>
    <w:rsid w:val="05410997"/>
    <w:rsid w:val="066C1A43"/>
    <w:rsid w:val="07CC279A"/>
    <w:rsid w:val="08717802"/>
    <w:rsid w:val="08F024B8"/>
    <w:rsid w:val="09916EF4"/>
    <w:rsid w:val="099F5C8C"/>
    <w:rsid w:val="0A6071C9"/>
    <w:rsid w:val="0B7C0033"/>
    <w:rsid w:val="0B903ADE"/>
    <w:rsid w:val="0BDF05C2"/>
    <w:rsid w:val="0BE61950"/>
    <w:rsid w:val="0BFA53FB"/>
    <w:rsid w:val="0CD36378"/>
    <w:rsid w:val="0D935B07"/>
    <w:rsid w:val="0D984ECC"/>
    <w:rsid w:val="0DA47320"/>
    <w:rsid w:val="0E231C5F"/>
    <w:rsid w:val="0F953DB9"/>
    <w:rsid w:val="0FBD0C1A"/>
    <w:rsid w:val="0FF94348"/>
    <w:rsid w:val="10392996"/>
    <w:rsid w:val="111725AC"/>
    <w:rsid w:val="11BC4CC4"/>
    <w:rsid w:val="136F48CA"/>
    <w:rsid w:val="1638724C"/>
    <w:rsid w:val="16AF2A39"/>
    <w:rsid w:val="16D36F75"/>
    <w:rsid w:val="17567ACB"/>
    <w:rsid w:val="182C4B8E"/>
    <w:rsid w:val="188B3FAB"/>
    <w:rsid w:val="197874D5"/>
    <w:rsid w:val="19D159ED"/>
    <w:rsid w:val="1B410951"/>
    <w:rsid w:val="1B86AF52"/>
    <w:rsid w:val="1BDE1B13"/>
    <w:rsid w:val="1C350C8A"/>
    <w:rsid w:val="1C8C20A0"/>
    <w:rsid w:val="1C8F30AE"/>
    <w:rsid w:val="1FAE149F"/>
    <w:rsid w:val="206C46C2"/>
    <w:rsid w:val="21F506E7"/>
    <w:rsid w:val="22317971"/>
    <w:rsid w:val="22857CBD"/>
    <w:rsid w:val="23405992"/>
    <w:rsid w:val="24545B99"/>
    <w:rsid w:val="24C0322E"/>
    <w:rsid w:val="24F627AC"/>
    <w:rsid w:val="251470D6"/>
    <w:rsid w:val="25270BB7"/>
    <w:rsid w:val="26E825C8"/>
    <w:rsid w:val="26F61189"/>
    <w:rsid w:val="292F44DF"/>
    <w:rsid w:val="29377200"/>
    <w:rsid w:val="2ABA28EB"/>
    <w:rsid w:val="2C363DD6"/>
    <w:rsid w:val="2C4A1610"/>
    <w:rsid w:val="2DFB094C"/>
    <w:rsid w:val="2E1B14D5"/>
    <w:rsid w:val="2ED9B11C"/>
    <w:rsid w:val="2EE95130"/>
    <w:rsid w:val="2FC11C09"/>
    <w:rsid w:val="30000983"/>
    <w:rsid w:val="31532D34"/>
    <w:rsid w:val="31857392"/>
    <w:rsid w:val="32756B74"/>
    <w:rsid w:val="35BB19C0"/>
    <w:rsid w:val="36A74218"/>
    <w:rsid w:val="37152F66"/>
    <w:rsid w:val="37BF115C"/>
    <w:rsid w:val="382F0057"/>
    <w:rsid w:val="385C4BC4"/>
    <w:rsid w:val="388C54AA"/>
    <w:rsid w:val="39363667"/>
    <w:rsid w:val="399D36E6"/>
    <w:rsid w:val="3A683CF4"/>
    <w:rsid w:val="3AC16F61"/>
    <w:rsid w:val="3B6C3964"/>
    <w:rsid w:val="3BD50F16"/>
    <w:rsid w:val="3C3585E3"/>
    <w:rsid w:val="3CB16E10"/>
    <w:rsid w:val="3DAB63D2"/>
    <w:rsid w:val="3DB3152D"/>
    <w:rsid w:val="3E522CF1"/>
    <w:rsid w:val="3EDF3E59"/>
    <w:rsid w:val="3EFDFB87"/>
    <w:rsid w:val="3F2D1069"/>
    <w:rsid w:val="3F77FB35"/>
    <w:rsid w:val="40073668"/>
    <w:rsid w:val="408E25DC"/>
    <w:rsid w:val="417D62D7"/>
    <w:rsid w:val="41874618"/>
    <w:rsid w:val="42646F88"/>
    <w:rsid w:val="42AE5357"/>
    <w:rsid w:val="43035AFF"/>
    <w:rsid w:val="432000AC"/>
    <w:rsid w:val="4391729B"/>
    <w:rsid w:val="43C31F9B"/>
    <w:rsid w:val="43C40015"/>
    <w:rsid w:val="43CE2E1A"/>
    <w:rsid w:val="44ED72D0"/>
    <w:rsid w:val="457DA55C"/>
    <w:rsid w:val="460C7C2A"/>
    <w:rsid w:val="47121270"/>
    <w:rsid w:val="47AC7782"/>
    <w:rsid w:val="47C84024"/>
    <w:rsid w:val="48E22EC4"/>
    <w:rsid w:val="48F67DD6"/>
    <w:rsid w:val="49457A8B"/>
    <w:rsid w:val="49BB5BEF"/>
    <w:rsid w:val="49F42EAF"/>
    <w:rsid w:val="4A3E3BA7"/>
    <w:rsid w:val="4A547DF1"/>
    <w:rsid w:val="4A606796"/>
    <w:rsid w:val="4A745D9D"/>
    <w:rsid w:val="4C006279"/>
    <w:rsid w:val="4CBB5F06"/>
    <w:rsid w:val="4EA62211"/>
    <w:rsid w:val="4F6A448C"/>
    <w:rsid w:val="50011E81"/>
    <w:rsid w:val="5023629C"/>
    <w:rsid w:val="51B54715"/>
    <w:rsid w:val="51B84B13"/>
    <w:rsid w:val="53332C9A"/>
    <w:rsid w:val="534F55FA"/>
    <w:rsid w:val="54BE2A37"/>
    <w:rsid w:val="54CB2D82"/>
    <w:rsid w:val="55055F70"/>
    <w:rsid w:val="56114DE8"/>
    <w:rsid w:val="57442BEE"/>
    <w:rsid w:val="57F6AD7B"/>
    <w:rsid w:val="597C5E8F"/>
    <w:rsid w:val="5A2A46CB"/>
    <w:rsid w:val="5AA8066B"/>
    <w:rsid w:val="5ACA5839"/>
    <w:rsid w:val="5B433C96"/>
    <w:rsid w:val="5BC8131D"/>
    <w:rsid w:val="5C113DF4"/>
    <w:rsid w:val="5C401F83"/>
    <w:rsid w:val="5C853E3A"/>
    <w:rsid w:val="5D7C523D"/>
    <w:rsid w:val="5E6A32E8"/>
    <w:rsid w:val="5EBF34D2"/>
    <w:rsid w:val="5F5F6BC4"/>
    <w:rsid w:val="5F951241"/>
    <w:rsid w:val="5FA647F3"/>
    <w:rsid w:val="60AA20C1"/>
    <w:rsid w:val="61024E44"/>
    <w:rsid w:val="62371A21"/>
    <w:rsid w:val="6253A17E"/>
    <w:rsid w:val="62B800DA"/>
    <w:rsid w:val="638D632F"/>
    <w:rsid w:val="64B67287"/>
    <w:rsid w:val="650F4BE9"/>
    <w:rsid w:val="659FA18E"/>
    <w:rsid w:val="66206D4A"/>
    <w:rsid w:val="663A3EE7"/>
    <w:rsid w:val="66D118B4"/>
    <w:rsid w:val="66EA3218"/>
    <w:rsid w:val="67A1421E"/>
    <w:rsid w:val="68BB30BE"/>
    <w:rsid w:val="693F19BC"/>
    <w:rsid w:val="694C1F68"/>
    <w:rsid w:val="6A0171F6"/>
    <w:rsid w:val="6A3C39E1"/>
    <w:rsid w:val="6AA2035E"/>
    <w:rsid w:val="6B163B4D"/>
    <w:rsid w:val="6B3B04E6"/>
    <w:rsid w:val="6B6712DB"/>
    <w:rsid w:val="6BBDDCCA"/>
    <w:rsid w:val="6BD10E4A"/>
    <w:rsid w:val="6C564DD5"/>
    <w:rsid w:val="6CE72954"/>
    <w:rsid w:val="6CF03552"/>
    <w:rsid w:val="6D6B6F58"/>
    <w:rsid w:val="6E5C0E9F"/>
    <w:rsid w:val="6E7B6E4B"/>
    <w:rsid w:val="6EA01056"/>
    <w:rsid w:val="6EBF920C"/>
    <w:rsid w:val="6F7FA392"/>
    <w:rsid w:val="6FB9E109"/>
    <w:rsid w:val="6FE78A6A"/>
    <w:rsid w:val="71145A61"/>
    <w:rsid w:val="71D442A8"/>
    <w:rsid w:val="723D2D95"/>
    <w:rsid w:val="7261193D"/>
    <w:rsid w:val="72964253"/>
    <w:rsid w:val="72F07E08"/>
    <w:rsid w:val="73BB0416"/>
    <w:rsid w:val="73C3551C"/>
    <w:rsid w:val="745FBD16"/>
    <w:rsid w:val="749D5D6D"/>
    <w:rsid w:val="765606D8"/>
    <w:rsid w:val="76562678"/>
    <w:rsid w:val="76B86E8E"/>
    <w:rsid w:val="7725204A"/>
    <w:rsid w:val="776B2153"/>
    <w:rsid w:val="77901BB9"/>
    <w:rsid w:val="77FA5285"/>
    <w:rsid w:val="78016613"/>
    <w:rsid w:val="788FFF4F"/>
    <w:rsid w:val="7931117A"/>
    <w:rsid w:val="7AEF4E49"/>
    <w:rsid w:val="7B7FFA45"/>
    <w:rsid w:val="7C83A8DA"/>
    <w:rsid w:val="7CFD1A9F"/>
    <w:rsid w:val="7D2A03BA"/>
    <w:rsid w:val="7D72408C"/>
    <w:rsid w:val="7D7A30EF"/>
    <w:rsid w:val="7D983576"/>
    <w:rsid w:val="7E7F102A"/>
    <w:rsid w:val="7F778732"/>
    <w:rsid w:val="7F9FD7EA"/>
    <w:rsid w:val="7FEF95CC"/>
    <w:rsid w:val="9E37E3E2"/>
    <w:rsid w:val="9F9D3F67"/>
    <w:rsid w:val="AEFED6DB"/>
    <w:rsid w:val="AF9D6568"/>
    <w:rsid w:val="BBEE0F00"/>
    <w:rsid w:val="BFDF9073"/>
    <w:rsid w:val="CF9BC94A"/>
    <w:rsid w:val="D3CB4F20"/>
    <w:rsid w:val="DF1C3BAC"/>
    <w:rsid w:val="E9FDF436"/>
    <w:rsid w:val="EDD7EE96"/>
    <w:rsid w:val="EF7F0391"/>
    <w:rsid w:val="EFDC1E1A"/>
    <w:rsid w:val="EFED2E8F"/>
    <w:rsid w:val="F37F4688"/>
    <w:rsid w:val="F62F3FA2"/>
    <w:rsid w:val="F6BEBE39"/>
    <w:rsid w:val="F7CFA901"/>
    <w:rsid w:val="F7EF29D3"/>
    <w:rsid w:val="F9F3EDB5"/>
    <w:rsid w:val="FD7D3EDB"/>
    <w:rsid w:val="FE5F0192"/>
    <w:rsid w:val="FEBD29C9"/>
    <w:rsid w:val="FEFDA421"/>
    <w:rsid w:val="FF79EF10"/>
    <w:rsid w:val="FFDED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55"/>
    <w:qFormat/>
    <w:uiPriority w:val="9"/>
    <w:pPr>
      <w:keepNext/>
      <w:keepLines/>
      <w:spacing w:line="576" w:lineRule="auto"/>
      <w:outlineLvl w:val="0"/>
    </w:pPr>
    <w:rPr>
      <w:b/>
      <w:kern w:val="44"/>
      <w:sz w:val="44"/>
    </w:rPr>
  </w:style>
  <w:style w:type="paragraph" w:styleId="3">
    <w:name w:val="heading 2"/>
    <w:basedOn w:val="1"/>
    <w:next w:val="1"/>
    <w:link w:val="35"/>
    <w:qFormat/>
    <w:uiPriority w:val="9"/>
    <w:pPr>
      <w:keepNext/>
      <w:keepLines/>
      <w:spacing w:line="413" w:lineRule="auto"/>
      <w:outlineLvl w:val="1"/>
    </w:pPr>
    <w:rPr>
      <w:rFonts w:ascii="Arial" w:hAnsi="Arial" w:eastAsia="黑体"/>
      <w:b/>
      <w:sz w:val="32"/>
    </w:rPr>
  </w:style>
  <w:style w:type="paragraph" w:styleId="4">
    <w:name w:val="heading 3"/>
    <w:basedOn w:val="1"/>
    <w:next w:val="1"/>
    <w:qFormat/>
    <w:uiPriority w:val="9"/>
    <w:pPr>
      <w:keepNext/>
      <w:keepLines/>
      <w:spacing w:line="413" w:lineRule="auto"/>
      <w:outlineLvl w:val="2"/>
    </w:pPr>
    <w:rPr>
      <w:b/>
      <w:sz w:val="32"/>
    </w:rPr>
  </w:style>
  <w:style w:type="paragraph" w:styleId="5">
    <w:name w:val="heading 4"/>
    <w:basedOn w:val="1"/>
    <w:next w:val="1"/>
    <w:qFormat/>
    <w:uiPriority w:val="9"/>
    <w:pPr>
      <w:keepNext/>
      <w:keepLines/>
      <w:spacing w:line="372" w:lineRule="auto"/>
      <w:outlineLvl w:val="3"/>
    </w:pPr>
    <w:rPr>
      <w:rFonts w:ascii="Arial" w:hAnsi="Arial" w:eastAsia="黑体"/>
      <w:b/>
      <w:sz w:val="28"/>
    </w:rPr>
  </w:style>
  <w:style w:type="paragraph" w:styleId="6">
    <w:name w:val="heading 6"/>
    <w:basedOn w:val="1"/>
    <w:next w:val="1"/>
    <w:link w:val="42"/>
    <w:qFormat/>
    <w:uiPriority w:val="9"/>
    <w:pPr>
      <w:keepNext/>
      <w:keepLines/>
      <w:spacing w:before="240" w:after="64" w:line="320" w:lineRule="auto"/>
      <w:outlineLvl w:val="5"/>
    </w:pPr>
    <w:rPr>
      <w:rFonts w:ascii="Calibri Light" w:hAnsi="Calibri Light" w:eastAsia="宋体" w:cs="宋体"/>
      <w:b/>
      <w:bCs/>
      <w:sz w:val="24"/>
      <w:szCs w:val="24"/>
    </w:rPr>
  </w:style>
  <w:style w:type="character" w:default="1" w:styleId="25">
    <w:name w:val="Default Paragraph Font"/>
    <w:qFormat/>
    <w:uiPriority w:val="1"/>
  </w:style>
  <w:style w:type="table" w:default="1" w:styleId="23">
    <w:name w:val="Normal Table"/>
    <w:qFormat/>
    <w:uiPriority w:val="99"/>
    <w:tblPr>
      <w:tblCellMar>
        <w:top w:w="0" w:type="dxa"/>
        <w:left w:w="108" w:type="dxa"/>
        <w:bottom w:w="0" w:type="dxa"/>
        <w:right w:w="108" w:type="dxa"/>
      </w:tblCellMar>
    </w:tblPr>
  </w:style>
  <w:style w:type="paragraph" w:styleId="7">
    <w:name w:val="toc 7"/>
    <w:basedOn w:val="1"/>
    <w:next w:val="1"/>
    <w:qFormat/>
    <w:uiPriority w:val="39"/>
    <w:pPr>
      <w:ind w:left="1260"/>
      <w:jc w:val="left"/>
    </w:pPr>
    <w:rPr>
      <w:sz w:val="18"/>
      <w:szCs w:val="18"/>
    </w:rPr>
  </w:style>
  <w:style w:type="paragraph" w:styleId="8">
    <w:name w:val="annotation text"/>
    <w:basedOn w:val="1"/>
    <w:link w:val="39"/>
    <w:qFormat/>
    <w:uiPriority w:val="99"/>
    <w:pPr>
      <w:jc w:val="left"/>
    </w:pPr>
  </w:style>
  <w:style w:type="paragraph" w:styleId="9">
    <w:name w:val="toc 5"/>
    <w:basedOn w:val="1"/>
    <w:next w:val="1"/>
    <w:qFormat/>
    <w:uiPriority w:val="39"/>
    <w:pPr>
      <w:ind w:left="840"/>
      <w:jc w:val="left"/>
    </w:pPr>
    <w:rPr>
      <w:sz w:val="18"/>
      <w:szCs w:val="18"/>
    </w:rPr>
  </w:style>
  <w:style w:type="paragraph" w:styleId="10">
    <w:name w:val="toc 3"/>
    <w:basedOn w:val="1"/>
    <w:next w:val="1"/>
    <w:qFormat/>
    <w:uiPriority w:val="39"/>
    <w:pPr>
      <w:ind w:left="420"/>
      <w:jc w:val="left"/>
    </w:pPr>
    <w:rPr>
      <w:i/>
      <w:iCs/>
      <w:sz w:val="20"/>
      <w:szCs w:val="20"/>
    </w:rPr>
  </w:style>
  <w:style w:type="paragraph" w:styleId="11">
    <w:name w:val="toc 8"/>
    <w:basedOn w:val="1"/>
    <w:next w:val="1"/>
    <w:qFormat/>
    <w:uiPriority w:val="39"/>
    <w:pPr>
      <w:ind w:left="1470"/>
      <w:jc w:val="left"/>
    </w:pPr>
    <w:rPr>
      <w:sz w:val="18"/>
      <w:szCs w:val="18"/>
    </w:rPr>
  </w:style>
  <w:style w:type="paragraph" w:styleId="12">
    <w:name w:val="Date"/>
    <w:basedOn w:val="1"/>
    <w:next w:val="1"/>
    <w:link w:val="54"/>
    <w:qFormat/>
    <w:uiPriority w:val="99"/>
    <w:pPr>
      <w:ind w:left="100" w:leftChars="2500"/>
    </w:pPr>
  </w:style>
  <w:style w:type="paragraph" w:styleId="13">
    <w:name w:val="Balloon Text"/>
    <w:basedOn w:val="1"/>
    <w:link w:val="32"/>
    <w:qFormat/>
    <w:uiPriority w:val="99"/>
    <w:rPr>
      <w:sz w:val="18"/>
      <w:szCs w:val="18"/>
    </w:rPr>
  </w:style>
  <w:style w:type="paragraph" w:styleId="14">
    <w:name w:val="footer"/>
    <w:basedOn w:val="1"/>
    <w:link w:val="31"/>
    <w:qFormat/>
    <w:uiPriority w:val="99"/>
    <w:pPr>
      <w:tabs>
        <w:tab w:val="center" w:pos="4153"/>
        <w:tab w:val="right" w:pos="8306"/>
      </w:tabs>
      <w:snapToGrid w:val="0"/>
      <w:jc w:val="left"/>
    </w:pPr>
    <w:rPr>
      <w:sz w:val="18"/>
      <w:szCs w:val="18"/>
    </w:rPr>
  </w:style>
  <w:style w:type="paragraph" w:styleId="15">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before="120" w:after="120"/>
      <w:jc w:val="left"/>
    </w:pPr>
    <w:rPr>
      <w:b/>
      <w:bCs/>
      <w:caps/>
      <w:sz w:val="20"/>
      <w:szCs w:val="20"/>
    </w:rPr>
  </w:style>
  <w:style w:type="paragraph" w:styleId="17">
    <w:name w:val="toc 4"/>
    <w:basedOn w:val="1"/>
    <w:next w:val="1"/>
    <w:qFormat/>
    <w:uiPriority w:val="39"/>
    <w:pPr>
      <w:ind w:left="630"/>
      <w:jc w:val="left"/>
    </w:pPr>
    <w:rPr>
      <w:sz w:val="18"/>
      <w:szCs w:val="18"/>
    </w:rPr>
  </w:style>
  <w:style w:type="paragraph" w:styleId="18">
    <w:name w:val="toc 6"/>
    <w:basedOn w:val="1"/>
    <w:next w:val="1"/>
    <w:qFormat/>
    <w:uiPriority w:val="39"/>
    <w:pPr>
      <w:ind w:left="1050"/>
      <w:jc w:val="left"/>
    </w:pPr>
    <w:rPr>
      <w:sz w:val="18"/>
      <w:szCs w:val="18"/>
    </w:rPr>
  </w:style>
  <w:style w:type="paragraph" w:styleId="19">
    <w:name w:val="toc 2"/>
    <w:basedOn w:val="1"/>
    <w:next w:val="1"/>
    <w:qFormat/>
    <w:uiPriority w:val="39"/>
    <w:pPr>
      <w:ind w:left="210"/>
      <w:jc w:val="left"/>
    </w:pPr>
    <w:rPr>
      <w:smallCaps/>
      <w:sz w:val="20"/>
      <w:szCs w:val="20"/>
    </w:rPr>
  </w:style>
  <w:style w:type="paragraph" w:styleId="20">
    <w:name w:val="toc 9"/>
    <w:basedOn w:val="1"/>
    <w:next w:val="1"/>
    <w:qFormat/>
    <w:uiPriority w:val="39"/>
    <w:pPr>
      <w:ind w:left="1680"/>
      <w:jc w:val="left"/>
    </w:pPr>
    <w:rPr>
      <w:sz w:val="18"/>
      <w:szCs w:val="18"/>
    </w:rPr>
  </w:style>
  <w:style w:type="paragraph" w:styleId="21">
    <w:name w:val="Normal (Web)"/>
    <w:basedOn w:val="1"/>
    <w:qFormat/>
    <w:uiPriority w:val="0"/>
    <w:rPr>
      <w:sz w:val="24"/>
    </w:rPr>
  </w:style>
  <w:style w:type="paragraph" w:styleId="22">
    <w:name w:val="annotation subject"/>
    <w:basedOn w:val="8"/>
    <w:next w:val="8"/>
    <w:link w:val="40"/>
    <w:qFormat/>
    <w:uiPriority w:val="99"/>
    <w:rPr>
      <w:b/>
      <w:bCs/>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page number"/>
    <w:basedOn w:val="25"/>
    <w:qFormat/>
    <w:uiPriority w:val="0"/>
  </w:style>
  <w:style w:type="character" w:styleId="27">
    <w:name w:val="Hyperlink"/>
    <w:basedOn w:val="25"/>
    <w:qFormat/>
    <w:uiPriority w:val="99"/>
    <w:rPr>
      <w:color w:val="0000FF"/>
      <w:u w:val="single"/>
    </w:rPr>
  </w:style>
  <w:style w:type="character" w:styleId="28">
    <w:name w:val="annotation reference"/>
    <w:basedOn w:val="25"/>
    <w:qFormat/>
    <w:uiPriority w:val="99"/>
    <w:rPr>
      <w:sz w:val="21"/>
      <w:szCs w:val="21"/>
    </w:rPr>
  </w:style>
  <w:style w:type="paragraph" w:customStyle="1" w:styleId="29">
    <w:name w:val="列出段落1"/>
    <w:basedOn w:val="1"/>
    <w:qFormat/>
    <w:uiPriority w:val="34"/>
    <w:pPr>
      <w:ind w:firstLine="420" w:firstLineChars="200"/>
    </w:pPr>
  </w:style>
  <w:style w:type="character" w:customStyle="1" w:styleId="30">
    <w:name w:val="页眉 Char"/>
    <w:basedOn w:val="25"/>
    <w:link w:val="15"/>
    <w:qFormat/>
    <w:uiPriority w:val="99"/>
    <w:rPr>
      <w:sz w:val="18"/>
      <w:szCs w:val="18"/>
    </w:rPr>
  </w:style>
  <w:style w:type="character" w:customStyle="1" w:styleId="31">
    <w:name w:val="页脚 Char"/>
    <w:basedOn w:val="25"/>
    <w:link w:val="14"/>
    <w:qFormat/>
    <w:uiPriority w:val="99"/>
    <w:rPr>
      <w:sz w:val="18"/>
      <w:szCs w:val="18"/>
    </w:rPr>
  </w:style>
  <w:style w:type="character" w:customStyle="1" w:styleId="32">
    <w:name w:val="批注框文本 Char"/>
    <w:basedOn w:val="25"/>
    <w:link w:val="13"/>
    <w:qFormat/>
    <w:uiPriority w:val="99"/>
    <w:rPr>
      <w:sz w:val="18"/>
      <w:szCs w:val="18"/>
    </w:rPr>
  </w:style>
  <w:style w:type="paragraph" w:customStyle="1" w:styleId="33">
    <w:name w:val="段"/>
    <w:qFormat/>
    <w:uiPriority w:val="0"/>
    <w:pPr>
      <w:tabs>
        <w:tab w:val="center" w:pos="4201"/>
        <w:tab w:val="right" w:leader="dot" w:pos="9298"/>
      </w:tabs>
      <w:autoSpaceDE w:val="0"/>
      <w:autoSpaceDN w:val="0"/>
      <w:ind w:firstLine="420" w:firstLineChars="200"/>
      <w:jc w:val="both"/>
    </w:pPr>
    <w:rPr>
      <w:rFonts w:ascii="宋体" w:hAnsi="Calibri" w:eastAsia="宋体" w:cs="宋体"/>
      <w:sz w:val="21"/>
      <w:szCs w:val="22"/>
      <w:lang w:val="en-US" w:eastAsia="zh-CN" w:bidi="ar-SA"/>
    </w:rPr>
  </w:style>
  <w:style w:type="paragraph" w:customStyle="1" w:styleId="34">
    <w:name w:val="列项——（一级）"/>
    <w:qFormat/>
    <w:uiPriority w:val="0"/>
    <w:pPr>
      <w:widowControl w:val="0"/>
      <w:spacing w:line="360" w:lineRule="auto"/>
      <w:ind w:left="-25" w:leftChars="-12" w:firstLine="580" w:firstLineChars="207"/>
      <w:jc w:val="both"/>
    </w:pPr>
    <w:rPr>
      <w:rFonts w:ascii="Times New Roman" w:hAnsi="Times New Roman" w:eastAsia="仿宋_GB2312" w:cs="Times New Roman"/>
      <w:sz w:val="28"/>
      <w:szCs w:val="28"/>
      <w:lang w:val="en-US" w:eastAsia="zh-CN" w:bidi="ar-SA"/>
    </w:rPr>
  </w:style>
  <w:style w:type="character" w:customStyle="1" w:styleId="35">
    <w:name w:val="标题 2 Char"/>
    <w:link w:val="3"/>
    <w:qFormat/>
    <w:uiPriority w:val="9"/>
    <w:rPr>
      <w:rFonts w:ascii="Arial" w:hAnsi="Arial" w:eastAsia="黑体"/>
      <w:b/>
      <w:sz w:val="32"/>
    </w:rPr>
  </w:style>
  <w:style w:type="paragraph" w:customStyle="1" w:styleId="36">
    <w:name w:val="前言、引言标题"/>
    <w:next w:val="33"/>
    <w:qFormat/>
    <w:uiPriority w:val="0"/>
    <w:pPr>
      <w:keepNext/>
      <w:pageBreakBefore/>
      <w:shd w:val="clear" w:color="FFFFFF" w:fill="FFFFFF"/>
      <w:spacing w:before="640" w:after="560"/>
      <w:jc w:val="center"/>
      <w:outlineLvl w:val="0"/>
    </w:pPr>
    <w:rPr>
      <w:rFonts w:ascii="黑体" w:hAnsi="Times New Roman" w:eastAsia="黑体" w:cs="Times New Roman"/>
      <w:sz w:val="32"/>
      <w:szCs w:val="22"/>
      <w:lang w:val="en-US" w:eastAsia="zh-CN" w:bidi="ar-SA"/>
    </w:rPr>
  </w:style>
  <w:style w:type="paragraph" w:customStyle="1" w:styleId="37">
    <w:name w:val="文献分类号"/>
    <w:qFormat/>
    <w:uiPriority w:val="0"/>
    <w:pPr>
      <w:widowControl w:val="0"/>
      <w:jc w:val="both"/>
      <w:textAlignment w:val="center"/>
    </w:pPr>
    <w:rPr>
      <w:rFonts w:ascii="Times New Roman" w:hAnsi="Times New Roman" w:eastAsia="黑体" w:cs="Times New Roman"/>
      <w:sz w:val="21"/>
      <w:lang w:val="en-US" w:eastAsia="zh-CN" w:bidi="ar-SA"/>
    </w:rPr>
  </w:style>
  <w:style w:type="paragraph" w:styleId="38">
    <w:name w:val="List Paragraph"/>
    <w:basedOn w:val="1"/>
    <w:qFormat/>
    <w:uiPriority w:val="99"/>
    <w:pPr>
      <w:ind w:firstLine="420" w:firstLineChars="200"/>
    </w:pPr>
  </w:style>
  <w:style w:type="character" w:customStyle="1" w:styleId="39">
    <w:name w:val="批注文字 Char"/>
    <w:basedOn w:val="25"/>
    <w:link w:val="8"/>
    <w:qFormat/>
    <w:uiPriority w:val="99"/>
    <w:rPr>
      <w:rFonts w:ascii="Calibri" w:hAnsi="Calibri" w:eastAsia="宋体" w:cs="宋体"/>
      <w:kern w:val="2"/>
      <w:sz w:val="21"/>
      <w:szCs w:val="22"/>
    </w:rPr>
  </w:style>
  <w:style w:type="character" w:customStyle="1" w:styleId="40">
    <w:name w:val="批注主题 Char"/>
    <w:basedOn w:val="39"/>
    <w:link w:val="22"/>
    <w:qFormat/>
    <w:uiPriority w:val="99"/>
    <w:rPr>
      <w:rFonts w:ascii="Calibri" w:hAnsi="Calibri" w:eastAsia="宋体" w:cs="宋体"/>
      <w:b/>
      <w:bCs/>
      <w:kern w:val="2"/>
      <w:sz w:val="21"/>
      <w:szCs w:val="22"/>
    </w:rPr>
  </w:style>
  <w:style w:type="paragraph" w:customStyle="1" w:styleId="41">
    <w:name w:val="修订1"/>
    <w:qFormat/>
    <w:uiPriority w:val="99"/>
    <w:rPr>
      <w:rFonts w:ascii="Calibri" w:hAnsi="Calibri" w:eastAsia="宋体" w:cs="宋体"/>
      <w:kern w:val="2"/>
      <w:sz w:val="21"/>
      <w:szCs w:val="22"/>
      <w:lang w:val="en-US" w:eastAsia="zh-CN" w:bidi="ar-SA"/>
    </w:rPr>
  </w:style>
  <w:style w:type="character" w:customStyle="1" w:styleId="42">
    <w:name w:val="标题 6 Char"/>
    <w:basedOn w:val="25"/>
    <w:link w:val="6"/>
    <w:qFormat/>
    <w:uiPriority w:val="9"/>
    <w:rPr>
      <w:rFonts w:ascii="Calibri Light" w:hAnsi="Calibri Light" w:eastAsia="宋体" w:cs="宋体"/>
      <w:b/>
      <w:bCs/>
      <w:kern w:val="2"/>
      <w:sz w:val="24"/>
      <w:szCs w:val="24"/>
    </w:rPr>
  </w:style>
  <w:style w:type="paragraph" w:customStyle="1" w:styleId="43">
    <w:name w:val="TOC 标题1"/>
    <w:basedOn w:val="2"/>
    <w:next w:val="1"/>
    <w:qFormat/>
    <w:uiPriority w:val="39"/>
    <w:pPr>
      <w:widowControl/>
      <w:spacing w:before="480" w:line="276" w:lineRule="auto"/>
      <w:jc w:val="left"/>
      <w:outlineLvl w:val="9"/>
    </w:pPr>
    <w:rPr>
      <w:rFonts w:ascii="Calibri Light" w:hAnsi="Calibri Light" w:eastAsia="宋体" w:cs="宋体"/>
      <w:bCs/>
      <w:color w:val="2E75B6"/>
      <w:kern w:val="0"/>
      <w:sz w:val="28"/>
      <w:szCs w:val="28"/>
    </w:rPr>
  </w:style>
  <w:style w:type="character" w:customStyle="1" w:styleId="44">
    <w:name w:val="font31"/>
    <w:basedOn w:val="25"/>
    <w:qFormat/>
    <w:uiPriority w:val="0"/>
    <w:rPr>
      <w:rFonts w:hint="eastAsia" w:ascii="宋体" w:hAnsi="宋体" w:eastAsia="宋体" w:cs="宋体"/>
      <w:b/>
      <w:color w:val="000000"/>
      <w:sz w:val="40"/>
      <w:szCs w:val="40"/>
      <w:u w:val="none"/>
    </w:rPr>
  </w:style>
  <w:style w:type="character" w:customStyle="1" w:styleId="45">
    <w:name w:val="font01"/>
    <w:basedOn w:val="25"/>
    <w:qFormat/>
    <w:uiPriority w:val="0"/>
    <w:rPr>
      <w:rFonts w:hint="eastAsia" w:ascii="宋体" w:hAnsi="宋体" w:eastAsia="宋体" w:cs="宋体"/>
      <w:b/>
      <w:color w:val="000000"/>
      <w:sz w:val="28"/>
      <w:szCs w:val="28"/>
      <w:u w:val="none"/>
    </w:rPr>
  </w:style>
  <w:style w:type="paragraph" w:customStyle="1" w:styleId="46">
    <w:name w:val="TOC Heading_8dea4e19-3710-4b98-9b97-3f02740c1194"/>
    <w:basedOn w:val="2"/>
    <w:next w:val="1"/>
    <w:qFormat/>
    <w:uiPriority w:val="39"/>
    <w:pPr>
      <w:widowControl/>
      <w:spacing w:before="480" w:line="276" w:lineRule="auto"/>
      <w:jc w:val="left"/>
      <w:outlineLvl w:val="9"/>
    </w:pPr>
    <w:rPr>
      <w:rFonts w:ascii="Calibri Light" w:hAnsi="Calibri Light" w:eastAsia="宋体" w:cs="宋体"/>
      <w:bCs/>
      <w:color w:val="2E75B6"/>
      <w:kern w:val="0"/>
      <w:sz w:val="28"/>
      <w:szCs w:val="28"/>
    </w:rPr>
  </w:style>
  <w:style w:type="paragraph" w:customStyle="1" w:styleId="47">
    <w:name w:val="发布日期"/>
    <w:qFormat/>
    <w:uiPriority w:val="0"/>
    <w:pPr>
      <w:framePr w:w="3997" w:h="471" w:vSpace="181" w:wrap="around" w:vAnchor="margin" w:hAnchor="page" w:x="7089" w:y="14097" w:anchorLock="1"/>
    </w:pPr>
    <w:rPr>
      <w:rFonts w:ascii="Times New Roman" w:hAnsi="Times New Roman" w:eastAsia="黑体" w:cs="Times New Roman"/>
      <w:sz w:val="28"/>
      <w:szCs w:val="22"/>
      <w:lang w:val="en-US" w:eastAsia="zh-CN" w:bidi="ar-SA"/>
    </w:rPr>
  </w:style>
  <w:style w:type="paragraph" w:customStyle="1" w:styleId="48">
    <w:name w:val="其他发布部门"/>
    <w:basedOn w:val="1"/>
    <w:qFormat/>
    <w:uiPriority w:val="0"/>
    <w:pPr>
      <w:framePr w:w="7938" w:h="1134" w:hSpace="125" w:vSpace="181" w:wrap="around" w:vAnchor="page" w:hAnchor="page" w:x="2150" w:y="15310" w:anchorLock="1"/>
      <w:widowControl/>
      <w:spacing w:line="0" w:lineRule="atLeast"/>
      <w:jc w:val="center"/>
    </w:pPr>
    <w:rPr>
      <w:rFonts w:ascii="黑体" w:hAnsi="Times New Roman" w:eastAsia="黑体" w:cs="Times New Roman"/>
      <w:spacing w:val="20"/>
      <w:w w:val="135"/>
      <w:kern w:val="0"/>
      <w:sz w:val="28"/>
    </w:rPr>
  </w:style>
  <w:style w:type="paragraph" w:customStyle="1" w:styleId="49">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50">
    <w:name w:val="封面标准号2"/>
    <w:qFormat/>
    <w:uiPriority w:val="0"/>
    <w:pPr>
      <w:framePr w:w="9140" w:h="1242"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character" w:customStyle="1" w:styleId="51">
    <w:name w:val="发布"/>
    <w:qFormat/>
    <w:uiPriority w:val="0"/>
    <w:rPr>
      <w:rFonts w:hint="eastAsia" w:ascii="黑体" w:hAnsi="黑体" w:eastAsia="黑体"/>
      <w:spacing w:val="85"/>
      <w:w w:val="100"/>
      <w:position w:val="3"/>
      <w:sz w:val="28"/>
      <w:szCs w:val="28"/>
    </w:rPr>
  </w:style>
  <w:style w:type="paragraph" w:customStyle="1" w:styleId="52">
    <w:name w:val="实施日期"/>
    <w:basedOn w:val="47"/>
    <w:qFormat/>
    <w:uiPriority w:val="0"/>
    <w:pPr>
      <w:framePr w:wrap="around" w:vAnchor="page" w:hAnchor="text"/>
      <w:jc w:val="right"/>
    </w:pPr>
  </w:style>
  <w:style w:type="paragraph" w:customStyle="1" w:styleId="53">
    <w:name w:val="其他发布日期"/>
    <w:basedOn w:val="47"/>
    <w:qFormat/>
    <w:uiPriority w:val="0"/>
    <w:pPr>
      <w:framePr w:wrap="around" w:vAnchor="page" w:hAnchor="text" w:x="1419"/>
    </w:pPr>
  </w:style>
  <w:style w:type="character" w:customStyle="1" w:styleId="54">
    <w:name w:val="日期 Char"/>
    <w:basedOn w:val="25"/>
    <w:link w:val="12"/>
    <w:qFormat/>
    <w:uiPriority w:val="99"/>
    <w:rPr>
      <w:rFonts w:ascii="Calibri" w:hAnsi="Calibri" w:eastAsia="宋体" w:cs="宋体"/>
      <w:kern w:val="2"/>
      <w:sz w:val="21"/>
      <w:szCs w:val="22"/>
    </w:rPr>
  </w:style>
  <w:style w:type="character" w:customStyle="1" w:styleId="55">
    <w:name w:val="标题 1 Char"/>
    <w:basedOn w:val="25"/>
    <w:link w:val="2"/>
    <w:qFormat/>
    <w:uiPriority w:val="9"/>
    <w:rPr>
      <w:rFonts w:ascii="Calibri" w:hAnsi="Calibri" w:eastAsia="宋体" w:cs="宋体"/>
      <w:b/>
      <w:kern w:val="44"/>
      <w:sz w:val="44"/>
      <w:szCs w:val="22"/>
    </w:rPr>
  </w:style>
  <w:style w:type="paragraph" w:customStyle="1" w:styleId="56">
    <w:name w:val="Revision_8d59a45c-158d-4793-a1da-85347823c35e"/>
    <w:qFormat/>
    <w:uiPriority w:val="99"/>
    <w:rPr>
      <w:rFonts w:ascii="Calibri" w:hAnsi="Calibri" w:eastAsia="宋体" w:cs="宋体"/>
      <w:kern w:val="2"/>
      <w:sz w:val="21"/>
      <w:szCs w:val="22"/>
      <w:lang w:val="en-US" w:eastAsia="zh-CN" w:bidi="ar-SA"/>
    </w:rPr>
  </w:style>
  <w:style w:type="paragraph" w:customStyle="1" w:styleId="57">
    <w:name w:val="目次、标准名称标题"/>
    <w:basedOn w:val="1"/>
    <w:next w:val="33"/>
    <w:qFormat/>
    <w:uiPriority w:val="0"/>
    <w:pPr>
      <w:keepNext/>
      <w:pageBreakBefore/>
      <w:widowControl/>
      <w:shd w:val="clear" w:color="FFFFFF" w:fill="FFFFFF"/>
      <w:spacing w:before="640" w:after="560" w:line="460" w:lineRule="exact"/>
      <w:jc w:val="center"/>
      <w:outlineLvl w:val="0"/>
    </w:pPr>
    <w:rPr>
      <w:rFonts w:ascii="黑体" w:hAnsi="Times New Roman" w:eastAsia="黑体" w:cs="Times New Roman"/>
      <w:kern w:val="0"/>
      <w:sz w:val="32"/>
      <w:szCs w:val="20"/>
    </w:rPr>
  </w:style>
  <w:style w:type="paragraph" w:customStyle="1" w:styleId="58">
    <w:name w:val="标准文件_附录标识"/>
    <w:next w:val="59"/>
    <w:qFormat/>
    <w:uiPriority w:val="0"/>
    <w:pPr>
      <w:numPr>
        <w:ilvl w:val="0"/>
        <w:numId w:val="1"/>
      </w:numPr>
      <w:shd w:val="clear" w:color="FFFFFF" w:fill="FFFFFF"/>
      <w:spacing w:before="560" w:afterLines="50"/>
      <w:jc w:val="center"/>
      <w:outlineLvl w:val="0"/>
    </w:pPr>
    <w:rPr>
      <w:rFonts w:ascii="黑体" w:hAnsi="Times New Roman" w:eastAsia="黑体" w:cs="Times New Roman"/>
      <w:sz w:val="21"/>
      <w:lang w:val="en-US" w:eastAsia="zh-CN" w:bidi="ar-SA"/>
    </w:rPr>
  </w:style>
  <w:style w:type="paragraph" w:customStyle="1" w:styleId="5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附录表标题"/>
    <w:next w:val="59"/>
    <w:qFormat/>
    <w:uiPriority w:val="0"/>
    <w:pPr>
      <w:numPr>
        <w:ilvl w:val="1"/>
        <w:numId w:val="2"/>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41862c2f-68db-4861-ab03-861adfe5d88f</errorID>
      <errorWord xmlns="http://schemas.wps.cn/vas-ai-hub/contract-review">non</errorWord>
      <group xmlns="http://schemas.wps.cn/vas-ai-hub/contract-review">L1_English</group>
      <groupName xmlns="http://schemas.wps.cn/vas-ai-hub/contract-review">英文问题</groupName>
      <ability xmlns="http://schemas.wps.cn/vas-ai-hub/contract-review">L2_Word</ability>
      <abilityName xmlns="http://schemas.wps.cn/vas-ai-hub/contract-review">字词问题</abilityName>
      <candidateList xmlns="http://schemas.wps.cn/vas-ai-hub/contract-review">
        <item xmlns="http://schemas.wps.cn/vas-ai-hub/contract-review">the non</item>
      </candidateList>
      <explain xmlns="http://schemas.wps.cn/vas-ai-hub/contract-review">此处疑似有限定词缺失，建议将单词non修改为the non</explain>
      <paraID xmlns="http://schemas.wps.cn/vas-ai-hub/contract-review">35715A36</paraID>
      <start xmlns="http://schemas.wps.cn/vas-ai-hub/contract-review">45</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42f660dc-2d9a-40ce-851c-ad23c7078916</errorID>
      <errorWord xmlns="http://schemas.wps.cn/vas-ai-hub/contract-review">遮阴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遮荫</item>
      </candidateList>
      <explain xmlns="http://schemas.wps.cn/vas-ai-hub/contract-review">存在发音相同字词的误用。</explain>
      <paraID xmlns="http://schemas.wps.cn/vas-ai-hub/contract-review"> 64B138D</paraID>
      <start xmlns="http://schemas.wps.cn/vas-ai-hub/contract-review">12</start>
      <end xmlns="http://schemas.wps.cn/vas-ai-hub/contract-review">14</end>
      <status xmlns="http://schemas.wps.cn/vas-ai-hub/contract-review">modified</status>
      <modifiedWord xmlns="http://schemas.wps.cn/vas-ai-hub/contract-review">遮荫</modifiedWord>
      <trackRevisions xmlns="http://schemas.wps.cn/vas-ai-hub/contract-review">true</trackRevisions>
    </reviewItem>
    <reviewItem xmlns="http://schemas.wps.cn/vas-ai-hub/contract-review">
      <errorID xmlns="http://schemas.wps.cn/vas-ai-hub/contract-review">c9781d3f-385e-4fc4-8e54-d13217811ecf</errorID>
      <errorWord xmlns="http://schemas.wps.cn/vas-ai-hub/contract-review">白芨</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白及</item>
      </candidateList>
      <explain xmlns="http://schemas.wps.cn/vas-ai-hub/contract-review">医学名词[白芨]为不规范表述或旧称，其规范书面表述为[白及]。</explain>
      <paraID xmlns="http://schemas.wps.cn/vas-ai-hub/contract-review">2805563C</paraID>
      <start xmlns="http://schemas.wps.cn/vas-ai-hub/contract-review">200</start>
      <end xmlns="http://schemas.wps.cn/vas-ai-hub/contract-review">202</end>
      <status xmlns="http://schemas.wps.cn/vas-ai-hub/contract-review">modified</status>
      <modifiedWord xmlns="http://schemas.wps.cn/vas-ai-hub/contract-review">白及</modifiedWord>
      <trackRevisions xmlns="http://schemas.wps.cn/vas-ai-hub/contract-review">true</trackRevisions>
    </reviewItem>
  </reviewItems>
  <config xmlns="http://schemas.wps.cn/vas-ai-hub/contract-review"/>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59e0f1-e2cc-479f-8663-2052eff22f41}">
  <ds:schemaRefs/>
</ds:datastoreItem>
</file>

<file path=customXml/itemProps3.xml><?xml version="1.0" encoding="utf-8"?>
<ds:datastoreItem xmlns:ds="http://schemas.openxmlformats.org/officeDocument/2006/customXml" ds:itemID="{D02A3AC6-9D22-4F08-95B8-2E5C464B12A5}">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Pages>
  <Words>6443</Words>
  <Characters>7153</Characters>
  <Paragraphs>316</Paragraphs>
  <TotalTime>7</TotalTime>
  <ScaleCrop>false</ScaleCrop>
  <LinksUpToDate>false</LinksUpToDate>
  <CharactersWithSpaces>7457</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2018-09-24T18:57:00Z</dcterms:created>
  <dc:creator>wy</dc:creator>
  <cp:lastModifiedBy>gjlcj</cp:lastModifiedBy>
  <cp:lastPrinted>2018-10-11T20:52:00Z</cp:lastPrinted>
  <dcterms:modified xsi:type="dcterms:W3CDTF">2026-10-27T16:30:04Z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eyJoZGlkIjoiZjgxNzExMDFiNWM5ZDZiN2RkNjc5MTdiZmQ4Njg1ZWYiLCJ1c2VySWQiOiIyMTUwOTk3MDgifQ==</vt:lpwstr>
  </property>
  <property fmtid="{D5CDD505-2E9C-101B-9397-08002B2CF9AE}" pid="4" name="ICV">
    <vt:lpwstr>E7499517A9054B6B825280536B868204_13</vt:lpwstr>
  </property>
</Properties>
</file>